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F6825" w14:textId="77777777" w:rsidR="009E4375" w:rsidRDefault="00000000">
      <w:pPr>
        <w:jc w:val="center"/>
      </w:pPr>
      <w:bookmarkStart w:id="0" w:name="_Hlk214523021"/>
      <w:bookmarkEnd w:id="0"/>
      <w:r>
        <w:t>The Relationship Between Signed Languages and the Quality of Life of Deaf Adults in Malaysia</w:t>
      </w:r>
    </w:p>
    <w:p w14:paraId="10CF6826" w14:textId="77777777" w:rsidR="009E4375" w:rsidRDefault="009E4375">
      <w:pPr>
        <w:pStyle w:val="Heading1"/>
      </w:pPr>
      <w:bookmarkStart w:id="1" w:name="_ypdnd3egyow5" w:colFirst="0" w:colLast="0"/>
      <w:bookmarkEnd w:id="1"/>
    </w:p>
    <w:p w14:paraId="10CF6827" w14:textId="77777777" w:rsidR="009E4375" w:rsidRDefault="009E4375"/>
    <w:p w14:paraId="10CF6828" w14:textId="77777777" w:rsidR="009E4375" w:rsidRDefault="009E4375"/>
    <w:p w14:paraId="10CF6829" w14:textId="77777777" w:rsidR="009E4375" w:rsidRDefault="009E4375"/>
    <w:p w14:paraId="10CF682A" w14:textId="77777777" w:rsidR="009E4375" w:rsidRDefault="00000000">
      <w:pPr>
        <w:jc w:val="center"/>
      </w:pPr>
      <w:r>
        <w:t>A Dissertation Presented for the</w:t>
      </w:r>
    </w:p>
    <w:p w14:paraId="10CF682B" w14:textId="77777777" w:rsidR="009E4375" w:rsidRDefault="00000000">
      <w:pPr>
        <w:jc w:val="center"/>
      </w:pPr>
      <w:r>
        <w:t>Doctor of Philosophy</w:t>
      </w:r>
    </w:p>
    <w:p w14:paraId="10CF682C" w14:textId="77777777" w:rsidR="009E4375" w:rsidRDefault="00000000">
      <w:pPr>
        <w:jc w:val="center"/>
      </w:pPr>
      <w:r>
        <w:t>Degree</w:t>
      </w:r>
    </w:p>
    <w:p w14:paraId="10CF682D" w14:textId="77777777" w:rsidR="009E4375" w:rsidRDefault="00000000">
      <w:pPr>
        <w:jc w:val="center"/>
      </w:pPr>
      <w:r>
        <w:t>The University of Tennessee, Knoxville</w:t>
      </w:r>
    </w:p>
    <w:p w14:paraId="10CF682E" w14:textId="77777777" w:rsidR="009E4375" w:rsidRDefault="009E4375">
      <w:pPr>
        <w:jc w:val="center"/>
      </w:pPr>
    </w:p>
    <w:p w14:paraId="10CF682F" w14:textId="77777777" w:rsidR="009E4375" w:rsidRDefault="009E4375">
      <w:pPr>
        <w:jc w:val="center"/>
      </w:pPr>
    </w:p>
    <w:p w14:paraId="10CF6830" w14:textId="77777777" w:rsidR="009E4375" w:rsidRDefault="009E4375">
      <w:pPr>
        <w:jc w:val="center"/>
      </w:pPr>
    </w:p>
    <w:p w14:paraId="10CF6831" w14:textId="77777777" w:rsidR="009E4375" w:rsidRDefault="009E4375">
      <w:pPr>
        <w:jc w:val="center"/>
      </w:pPr>
    </w:p>
    <w:p w14:paraId="10CF6832" w14:textId="77777777" w:rsidR="009E4375" w:rsidRDefault="009E4375">
      <w:pPr>
        <w:jc w:val="center"/>
      </w:pPr>
    </w:p>
    <w:p w14:paraId="10CF6833" w14:textId="77777777" w:rsidR="009E4375" w:rsidRDefault="009E4375">
      <w:pPr>
        <w:jc w:val="center"/>
      </w:pPr>
    </w:p>
    <w:p w14:paraId="10CF6834" w14:textId="77777777" w:rsidR="009E4375" w:rsidRDefault="00000000">
      <w:pPr>
        <w:jc w:val="center"/>
      </w:pPr>
      <w:r>
        <w:t>Tur Chung, Lee</w:t>
      </w:r>
    </w:p>
    <w:p w14:paraId="10CF6835" w14:textId="77777777" w:rsidR="009E4375" w:rsidRDefault="00000000">
      <w:pPr>
        <w:jc w:val="center"/>
      </w:pPr>
      <w:r>
        <w:t>December 2025</w:t>
      </w:r>
    </w:p>
    <w:p w14:paraId="10CF6836" w14:textId="77777777" w:rsidR="009E4375" w:rsidRDefault="009E4375">
      <w:pPr>
        <w:jc w:val="center"/>
      </w:pPr>
    </w:p>
    <w:p w14:paraId="10CF6837" w14:textId="77777777" w:rsidR="009E4375" w:rsidRDefault="009E4375">
      <w:pPr>
        <w:jc w:val="center"/>
      </w:pPr>
    </w:p>
    <w:p w14:paraId="10CF6838" w14:textId="77777777" w:rsidR="009E4375" w:rsidRDefault="009E4375">
      <w:pPr>
        <w:jc w:val="center"/>
      </w:pPr>
    </w:p>
    <w:p w14:paraId="10CF6839" w14:textId="77777777" w:rsidR="009E4375" w:rsidRDefault="009E4375">
      <w:pPr>
        <w:jc w:val="center"/>
      </w:pPr>
    </w:p>
    <w:p w14:paraId="10CF683A" w14:textId="77777777" w:rsidR="009E4375" w:rsidRDefault="009E4375">
      <w:pPr>
        <w:jc w:val="center"/>
      </w:pPr>
    </w:p>
    <w:p w14:paraId="10CF683B" w14:textId="77777777" w:rsidR="009E4375" w:rsidRDefault="009E4375">
      <w:pPr>
        <w:jc w:val="center"/>
      </w:pPr>
    </w:p>
    <w:p w14:paraId="10CF683C" w14:textId="77777777" w:rsidR="009E4375" w:rsidRDefault="009E4375">
      <w:pPr>
        <w:jc w:val="center"/>
      </w:pPr>
    </w:p>
    <w:p w14:paraId="10CF683D" w14:textId="77777777" w:rsidR="009E4375" w:rsidRDefault="009E4375">
      <w:pPr>
        <w:jc w:val="center"/>
      </w:pPr>
    </w:p>
    <w:p w14:paraId="10CF683E" w14:textId="77777777" w:rsidR="009E4375" w:rsidRDefault="009E4375">
      <w:pPr>
        <w:jc w:val="center"/>
      </w:pPr>
    </w:p>
    <w:p w14:paraId="10CF683F" w14:textId="77777777" w:rsidR="009E4375" w:rsidRDefault="009E4375">
      <w:pPr>
        <w:jc w:val="center"/>
      </w:pPr>
    </w:p>
    <w:p w14:paraId="10CF6840" w14:textId="77777777" w:rsidR="009E4375" w:rsidRDefault="009E4375">
      <w:pPr>
        <w:jc w:val="center"/>
      </w:pPr>
    </w:p>
    <w:p w14:paraId="10CF6841" w14:textId="77777777" w:rsidR="009E4375" w:rsidRDefault="009E4375">
      <w:pPr>
        <w:jc w:val="center"/>
      </w:pPr>
    </w:p>
    <w:p w14:paraId="10CF6842" w14:textId="77777777" w:rsidR="009E4375" w:rsidRDefault="00000000">
      <w:pPr>
        <w:spacing w:before="200" w:after="200"/>
        <w:jc w:val="center"/>
      </w:pPr>
      <w:r>
        <w:t>Copyright © 2025 by Tur Chung, Lee</w:t>
      </w:r>
    </w:p>
    <w:p w14:paraId="10CF6843" w14:textId="77777777" w:rsidR="009E4375" w:rsidRDefault="00000000">
      <w:pPr>
        <w:spacing w:before="200" w:after="200"/>
        <w:jc w:val="center"/>
      </w:pPr>
      <w:r>
        <w:t>All rights reserved</w:t>
      </w:r>
    </w:p>
    <w:p w14:paraId="10CF6844" w14:textId="77777777" w:rsidR="009E4375" w:rsidRDefault="009E4375">
      <w:pPr>
        <w:jc w:val="center"/>
      </w:pPr>
    </w:p>
    <w:p w14:paraId="10CF6845" w14:textId="77777777" w:rsidR="009E4375" w:rsidRDefault="009E4375">
      <w:pPr>
        <w:jc w:val="center"/>
      </w:pPr>
    </w:p>
    <w:p w14:paraId="10CF6846" w14:textId="77777777" w:rsidR="009E4375" w:rsidRDefault="00000000">
      <w:pPr>
        <w:jc w:val="center"/>
        <w:rPr>
          <w:b/>
          <w:bCs/>
        </w:rPr>
      </w:pPr>
      <w:r>
        <w:br w:type="page"/>
      </w:r>
    </w:p>
    <w:p w14:paraId="10CF6847" w14:textId="77777777" w:rsidR="009E4375" w:rsidRDefault="00000000">
      <w:pPr>
        <w:spacing w:before="0" w:after="0"/>
        <w:jc w:val="center"/>
      </w:pPr>
      <w:r>
        <w:rPr>
          <w:b/>
          <w:bCs/>
        </w:rPr>
        <w:lastRenderedPageBreak/>
        <w:t>ABSTRACT</w:t>
      </w:r>
    </w:p>
    <w:p w14:paraId="10CF6848" w14:textId="77777777" w:rsidR="009E4375" w:rsidRDefault="00000000">
      <w:r>
        <w:t xml:space="preserve">Various instruments have been used to assess the quality of life (QOL) of individuals. An exhaustive literature review identifies which instruments can be used to evaluate participants' QOL in the deaf community and how those instruments can be employed to assess one’s self-acceptance/advocacy, perception of stigma, and participation in society.  The primary purpose of this study is to investigate how mode of signing, such as natural Malaysian Sign language compared to contrived systems, in one’s childhood and adult life, may influence the QOL of Malaysian deaf adults. The Youth Quality of Life Instrument - Deaf and Hard of Hearing Module (YQOL-DHH) was translated and formatted for online administration in Malaysian Sign Language, Malay, and English. This study examined QOL in relation to demographic variables, satisfaction with signed communication across three settings, and the </w:t>
      </w:r>
      <w:proofErr w:type="gramStart"/>
      <w:r>
        <w:t>most commonly used</w:t>
      </w:r>
      <w:proofErr w:type="gramEnd"/>
      <w:r>
        <w:t xml:space="preserve"> signed communication in these settings during one’s previous school years. This study did not find that one’s most frequently used signed language during previous schooling, across settings, had a statistically significant impact on QOL for deaf adults in Malaysia; however, satisfaction with signed communication in the past correlated with self-acceptance in adulthood. These findings may provide insight into the intersection between the signed language deaf adults use in their daily lives and their QOL in Malaysia. These findings may provide insight into how </w:t>
      </w:r>
      <w:r>
        <w:rPr>
          <w:i/>
          <w:iCs/>
        </w:rPr>
        <w:t xml:space="preserve">Bahasa </w:t>
      </w:r>
      <w:proofErr w:type="spellStart"/>
      <w:r>
        <w:rPr>
          <w:i/>
          <w:iCs/>
        </w:rPr>
        <w:t>Isyarat</w:t>
      </w:r>
      <w:proofErr w:type="spellEnd"/>
      <w:r>
        <w:rPr>
          <w:i/>
          <w:iCs/>
        </w:rPr>
        <w:t xml:space="preserve"> Malaysia</w:t>
      </w:r>
      <w:r>
        <w:t>, (Malaysian Signed Language), might be studied further by researchers and policymakers.</w:t>
      </w:r>
    </w:p>
    <w:p w14:paraId="10CF6849" w14:textId="77777777" w:rsidR="009E4375" w:rsidRDefault="009E4375">
      <w:pPr>
        <w:jc w:val="center"/>
      </w:pPr>
    </w:p>
    <w:p w14:paraId="10CF684A" w14:textId="77777777" w:rsidR="009E4375" w:rsidRDefault="009E4375">
      <w:pPr>
        <w:jc w:val="center"/>
      </w:pPr>
    </w:p>
    <w:p w14:paraId="10CF684B" w14:textId="77777777" w:rsidR="009E4375" w:rsidRDefault="009E4375">
      <w:pPr>
        <w:jc w:val="center"/>
      </w:pPr>
    </w:p>
    <w:p w14:paraId="10CF684C" w14:textId="77777777" w:rsidR="009E4375" w:rsidRDefault="009E4375">
      <w:pPr>
        <w:jc w:val="center"/>
      </w:pPr>
    </w:p>
    <w:p w14:paraId="10CF684D" w14:textId="77777777" w:rsidR="009E4375" w:rsidRDefault="009E4375">
      <w:pPr>
        <w:jc w:val="center"/>
      </w:pPr>
    </w:p>
    <w:p w14:paraId="10CF684E" w14:textId="77777777" w:rsidR="009E4375" w:rsidRDefault="00000000">
      <w:r>
        <w:br w:type="page"/>
      </w:r>
    </w:p>
    <w:p w14:paraId="10CF684F" w14:textId="77777777" w:rsidR="009E4375" w:rsidRDefault="00000000">
      <w:pPr>
        <w:spacing w:before="0" w:after="0"/>
        <w:jc w:val="center"/>
        <w:rPr>
          <w:b/>
          <w:bCs/>
        </w:rPr>
      </w:pPr>
      <w:r>
        <w:rPr>
          <w:b/>
          <w:bCs/>
        </w:rPr>
        <w:lastRenderedPageBreak/>
        <w:t>DEDICATION</w:t>
      </w:r>
    </w:p>
    <w:p w14:paraId="10CF6850" w14:textId="77777777" w:rsidR="009E4375" w:rsidRDefault="00000000">
      <w:r>
        <w:t xml:space="preserve">I dedicate this dissertation to my father, Lee Le Chuan, and my late mother, Ngau Set Lin. This dissertation is what I accomplished because of you. You taught me that education is the key to our successful lives. Despite many attempts, you have always believed that I would be able to climb the ladder without giving up. </w:t>
      </w:r>
    </w:p>
    <w:p w14:paraId="10CF6851" w14:textId="77777777" w:rsidR="009E4375" w:rsidRDefault="00000000">
      <w:r>
        <w:t>My dissertation is also dedicated to the Deaf community in Malaysia for inspiring me to pursue an academic career. I hope this contribution will be beneficial to our community and contribute positively to our well-being.</w:t>
      </w:r>
      <w:r>
        <w:br w:type="page"/>
      </w:r>
    </w:p>
    <w:p w14:paraId="10CF6852" w14:textId="77777777" w:rsidR="009E4375" w:rsidRDefault="00000000">
      <w:pPr>
        <w:spacing w:before="0" w:after="0"/>
        <w:jc w:val="center"/>
        <w:rPr>
          <w:b/>
          <w:bCs/>
        </w:rPr>
      </w:pPr>
      <w:r>
        <w:rPr>
          <w:b/>
          <w:bCs/>
        </w:rPr>
        <w:lastRenderedPageBreak/>
        <w:t>ACKNOWLEDGMENTS</w:t>
      </w:r>
    </w:p>
    <w:p w14:paraId="10CF6853" w14:textId="77777777" w:rsidR="009E4375" w:rsidRDefault="00000000">
      <w:r>
        <w:t xml:space="preserve">I am so thankful that the </w:t>
      </w:r>
      <w:proofErr w:type="gramStart"/>
      <w:r>
        <w:t>Malaysian-American</w:t>
      </w:r>
      <w:proofErr w:type="gramEnd"/>
      <w:r>
        <w:t xml:space="preserve"> Commission on Educational Exchange (MACEE) and Fulbright scholarship have given me the opportunity to pursue my doctoral study overseas where I studied in the United States of America (USA). I moved more than 15,500 kilometers (9,600 miles) away from my parents to study in the USA. I had dreamed of this for many years since completing high school. </w:t>
      </w:r>
    </w:p>
    <w:p w14:paraId="10CF6854" w14:textId="77777777" w:rsidR="009E4375" w:rsidRDefault="00000000">
      <w:r>
        <w:t xml:space="preserve">I am so grateful to have Dr. Kimberly Wolbers and Dr. Cheryl Shahan as my academic advisors. You are amazing professors. Only because of your standing beside me and providing all possible solutions you could have, this dissertation has been completed. Thank you for continually supporting me financially, morally, mentally, knowledgeably and motivationally. The two of you have been committed to providing proofreading, valuable suggestions and insightful criticism for my dissertation. Thank you for being more than a professor. I would like to extend my thanks to the committee members: Dr. Louis Rocconi, my </w:t>
      </w:r>
      <w:proofErr w:type="gramStart"/>
      <w:r>
        <w:t>professor</w:t>
      </w:r>
      <w:proofErr w:type="gramEnd"/>
      <w:r>
        <w:t xml:space="preserve"> who is an expert in </w:t>
      </w:r>
      <w:proofErr w:type="gramStart"/>
      <w:r>
        <w:t>statistics</w:t>
      </w:r>
      <w:proofErr w:type="gramEnd"/>
      <w:r>
        <w:t xml:space="preserve"> and Dr David Smith, my </w:t>
      </w:r>
      <w:proofErr w:type="gramStart"/>
      <w:r>
        <w:t>professor</w:t>
      </w:r>
      <w:proofErr w:type="gramEnd"/>
      <w:r>
        <w:t xml:space="preserve"> who is an expert in deaf education and history. Thank you for your valuable feedback on my dissertation by reading every page of this dissertation.</w:t>
      </w:r>
    </w:p>
    <w:p w14:paraId="10CF6855" w14:textId="77777777" w:rsidR="009E4375" w:rsidRDefault="00000000">
      <w:r>
        <w:t xml:space="preserve">I am so thankful to my colleagues and professors who inspired me and helped me in the process of doctoral studies and completing the dissertation. Thank you for your support, feedback and corrections, and suggestions. </w:t>
      </w:r>
      <w:proofErr w:type="gramStart"/>
      <w:r>
        <w:t>Also</w:t>
      </w:r>
      <w:proofErr w:type="gramEnd"/>
      <w:r>
        <w:t xml:space="preserve"> I would like to thank Laurie Knox, with whom I worked in the Judith Anderson Herbert Writing Center at the University of Tennessee. Thank you to Cary Springer for providing support with the results of the data analysis.</w:t>
      </w:r>
    </w:p>
    <w:p w14:paraId="10CF6856" w14:textId="77777777" w:rsidR="009E4375" w:rsidRDefault="00000000">
      <w:r>
        <w:t xml:space="preserve">Thanks to the assistance of artificial intelligence programs: </w:t>
      </w:r>
      <w:proofErr w:type="spellStart"/>
      <w:r>
        <w:t>Wordtune</w:t>
      </w:r>
      <w:proofErr w:type="spellEnd"/>
      <w:r>
        <w:t xml:space="preserve"> and Grammarly, I </w:t>
      </w:r>
      <w:proofErr w:type="gramStart"/>
      <w:r>
        <w:t>am able to</w:t>
      </w:r>
      <w:proofErr w:type="gramEnd"/>
      <w:r>
        <w:t xml:space="preserve"> check for grammar errors and make corrections to my dissertation.</w:t>
      </w:r>
    </w:p>
    <w:p w14:paraId="10CF6857" w14:textId="77777777" w:rsidR="009E4375" w:rsidRDefault="00000000">
      <w:r>
        <w:t>I would also like to thank the Student Disability Services at the University of Tennessee and the interpreting team, Amy Cone, Heather Webb, Tiffany Chaperon, Kim Hinchey, Kristi Pearson and Deby Torbett for providing interpreting services that have allowed me to focus on my doctoral studies completely.</w:t>
      </w:r>
    </w:p>
    <w:p w14:paraId="10CF6858" w14:textId="77777777" w:rsidR="009E4375" w:rsidRDefault="00000000">
      <w:r>
        <w:lastRenderedPageBreak/>
        <w:t xml:space="preserve">I am so thankful to the community including Deaf and hearing communities and nonprofit organizations in Knoxville, Tennessee for supporting me financially, motivationally, cheeringly, funnily, mentally, and spiritually including Judith Maynard, Albert Owen, Nina Owen, David Moore, Debra Moore, Mary Kay Horton, Lindon Thomas and many other seniors that I cannot remember their names. Thanks to James Gregory, my host father and the first deaf person I know, who supports me whenever I need it when there are no relatives around.  </w:t>
      </w:r>
    </w:p>
    <w:p w14:paraId="10CF6859" w14:textId="2F5D49E7" w:rsidR="009E4375" w:rsidRDefault="00000000">
      <w:r>
        <w:t>Thank you to the University of Tennessee, the department of Theory and Practice in Teacher Education, Student Disability Services, John C.</w:t>
      </w:r>
      <w:r w:rsidR="00D43BCC">
        <w:t xml:space="preserve"> </w:t>
      </w:r>
      <w:r>
        <w:t>Hodges Library, Center for Global Engagement</w:t>
      </w:r>
      <w:r w:rsidR="00245B9E">
        <w:t>, and the</w:t>
      </w:r>
      <w:r>
        <w:t xml:space="preserve"> International House for providing me with the financial support I needed when I studied there.</w:t>
      </w:r>
    </w:p>
    <w:p w14:paraId="10CF685A" w14:textId="77777777" w:rsidR="009E4375" w:rsidRDefault="00000000">
      <w:r>
        <w:t>I am grateful to the Deaf community in Malaysia for encouraging and supporting me by providing data for my dissertation and motivation.</w:t>
      </w:r>
    </w:p>
    <w:p w14:paraId="10CF685B" w14:textId="77777777" w:rsidR="009E4375" w:rsidRDefault="00000000">
      <w:r>
        <w:t>Lastly, I would like to thank my parents and aunts for taking care of me while I worked on my dissertation.</w:t>
      </w:r>
    </w:p>
    <w:p w14:paraId="10CF685C" w14:textId="77777777" w:rsidR="009E4375" w:rsidRDefault="009E4375"/>
    <w:p w14:paraId="10CF685D" w14:textId="77777777" w:rsidR="009E4375" w:rsidRDefault="009E4375"/>
    <w:p w14:paraId="10CF685E" w14:textId="77777777" w:rsidR="009E4375" w:rsidRDefault="00000000">
      <w:r>
        <w:br w:type="page"/>
      </w:r>
    </w:p>
    <w:p w14:paraId="10CF685F" w14:textId="77777777" w:rsidR="009E4375" w:rsidRDefault="00000000">
      <w:pPr>
        <w:spacing w:before="0" w:after="0"/>
        <w:jc w:val="center"/>
        <w:rPr>
          <w:b/>
          <w:bCs/>
        </w:rPr>
      </w:pPr>
      <w:r>
        <w:rPr>
          <w:b/>
          <w:bCs/>
        </w:rPr>
        <w:lastRenderedPageBreak/>
        <w:t>TABLE OF CONTENTS</w:t>
      </w:r>
    </w:p>
    <w:p w14:paraId="10CF6860" w14:textId="77777777" w:rsidR="009E4375" w:rsidRDefault="009E4375">
      <w:pPr>
        <w:spacing w:before="0" w:after="0"/>
        <w:jc w:val="center"/>
        <w:rPr>
          <w:b/>
          <w:bCs/>
        </w:rPr>
      </w:pPr>
    </w:p>
    <w:sdt>
      <w:sdtPr>
        <w:rPr>
          <w:b w:val="0"/>
          <w:bCs w:val="0"/>
          <w:noProof w:val="0"/>
        </w:rPr>
        <w:id w:val="1920248428"/>
        <w:docPartObj>
          <w:docPartGallery w:val="Table of Contents"/>
          <w:docPartUnique/>
        </w:docPartObj>
      </w:sdtPr>
      <w:sdtContent>
        <w:p w14:paraId="272AF50A" w14:textId="174BF9B7" w:rsidR="002C1FA9" w:rsidRDefault="00000000" w:rsidP="00442436">
          <w:pPr>
            <w:pStyle w:val="TOC1"/>
            <w:rPr>
              <w:rFonts w:asciiTheme="minorHAnsi" w:eastAsiaTheme="minorEastAsia" w:hAnsiTheme="minorHAnsi" w:cstheme="minorBidi"/>
              <w:kern w:val="2"/>
              <w:lang w:val="en-US"/>
              <w14:ligatures w14:val="standardContextual"/>
            </w:rPr>
          </w:pPr>
          <w:r w:rsidRPr="00B57A92">
            <w:fldChar w:fldCharType="begin"/>
          </w:r>
          <w:r w:rsidRPr="00B57A92">
            <w:instrText xml:space="preserve"> TOC \h \u \z \t "Heading 1,1,Heading 2,2,Heading 3,3,Heading 4,4,Heading 5,5,Heading 6,6,"</w:instrText>
          </w:r>
          <w:r w:rsidRPr="00B57A92">
            <w:fldChar w:fldCharType="separate"/>
          </w:r>
          <w:hyperlink w:anchor="_Toc214490362" w:history="1">
            <w:r w:rsidR="002C1FA9" w:rsidRPr="00BF358B">
              <w:rPr>
                <w:rStyle w:val="Hyperlink"/>
                <w:b w:val="0"/>
                <w:bCs w:val="0"/>
              </w:rPr>
              <w:t>CHAPTER I</w:t>
            </w:r>
            <w:r w:rsidR="002C1FA9" w:rsidRPr="00BF358B">
              <w:rPr>
                <w:webHidden/>
              </w:rPr>
              <w:tab/>
            </w:r>
            <w:r w:rsidR="002C1FA9" w:rsidRPr="00BF358B">
              <w:rPr>
                <w:webHidden/>
              </w:rPr>
              <w:fldChar w:fldCharType="begin"/>
            </w:r>
            <w:r w:rsidR="002C1FA9" w:rsidRPr="00BF358B">
              <w:rPr>
                <w:webHidden/>
              </w:rPr>
              <w:instrText xml:space="preserve"> PAGEREF _Toc214490362 \h </w:instrText>
            </w:r>
            <w:r w:rsidR="002C1FA9" w:rsidRPr="00BF358B">
              <w:rPr>
                <w:webHidden/>
              </w:rPr>
            </w:r>
            <w:r w:rsidR="002C1FA9" w:rsidRPr="00BF358B">
              <w:rPr>
                <w:webHidden/>
              </w:rPr>
              <w:fldChar w:fldCharType="separate"/>
            </w:r>
            <w:r w:rsidR="00A62649">
              <w:rPr>
                <w:webHidden/>
              </w:rPr>
              <w:t>1</w:t>
            </w:r>
            <w:r w:rsidR="002C1FA9" w:rsidRPr="00BF358B">
              <w:rPr>
                <w:webHidden/>
              </w:rPr>
              <w:fldChar w:fldCharType="end"/>
            </w:r>
          </w:hyperlink>
        </w:p>
        <w:p w14:paraId="36073FCC" w14:textId="69F51883"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363" w:history="1">
            <w:r w:rsidRPr="003A7E96">
              <w:rPr>
                <w:rStyle w:val="Hyperlink"/>
                <w:noProof/>
              </w:rPr>
              <w:t>Introduction</w:t>
            </w:r>
            <w:r>
              <w:rPr>
                <w:noProof/>
                <w:webHidden/>
              </w:rPr>
              <w:tab/>
            </w:r>
            <w:r>
              <w:rPr>
                <w:noProof/>
                <w:webHidden/>
              </w:rPr>
              <w:fldChar w:fldCharType="begin"/>
            </w:r>
            <w:r>
              <w:rPr>
                <w:noProof/>
                <w:webHidden/>
              </w:rPr>
              <w:instrText xml:space="preserve"> PAGEREF _Toc214490363 \h </w:instrText>
            </w:r>
            <w:r>
              <w:rPr>
                <w:noProof/>
                <w:webHidden/>
              </w:rPr>
            </w:r>
            <w:r>
              <w:rPr>
                <w:noProof/>
                <w:webHidden/>
              </w:rPr>
              <w:fldChar w:fldCharType="separate"/>
            </w:r>
            <w:r w:rsidR="00A62649">
              <w:rPr>
                <w:noProof/>
                <w:webHidden/>
              </w:rPr>
              <w:t>1</w:t>
            </w:r>
            <w:r>
              <w:rPr>
                <w:noProof/>
                <w:webHidden/>
              </w:rPr>
              <w:fldChar w:fldCharType="end"/>
            </w:r>
          </w:hyperlink>
        </w:p>
        <w:p w14:paraId="4F2753AB" w14:textId="55D7E32C"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64" w:history="1">
            <w:r w:rsidRPr="003A7E96">
              <w:rPr>
                <w:rStyle w:val="Hyperlink"/>
                <w:noProof/>
              </w:rPr>
              <w:t>Introduction to the Study</w:t>
            </w:r>
            <w:r>
              <w:rPr>
                <w:noProof/>
                <w:webHidden/>
              </w:rPr>
              <w:tab/>
            </w:r>
            <w:r>
              <w:rPr>
                <w:noProof/>
                <w:webHidden/>
              </w:rPr>
              <w:fldChar w:fldCharType="begin"/>
            </w:r>
            <w:r>
              <w:rPr>
                <w:noProof/>
                <w:webHidden/>
              </w:rPr>
              <w:instrText xml:space="preserve"> PAGEREF _Toc214490364 \h </w:instrText>
            </w:r>
            <w:r>
              <w:rPr>
                <w:noProof/>
                <w:webHidden/>
              </w:rPr>
            </w:r>
            <w:r>
              <w:rPr>
                <w:noProof/>
                <w:webHidden/>
              </w:rPr>
              <w:fldChar w:fldCharType="separate"/>
            </w:r>
            <w:r w:rsidR="00A62649">
              <w:rPr>
                <w:noProof/>
                <w:webHidden/>
              </w:rPr>
              <w:t>1</w:t>
            </w:r>
            <w:r>
              <w:rPr>
                <w:noProof/>
                <w:webHidden/>
              </w:rPr>
              <w:fldChar w:fldCharType="end"/>
            </w:r>
          </w:hyperlink>
        </w:p>
        <w:p w14:paraId="32C1A9CE" w14:textId="7CE957FD"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365" w:history="1">
            <w:r w:rsidRPr="003A7E96">
              <w:rPr>
                <w:rStyle w:val="Hyperlink"/>
                <w:noProof/>
              </w:rPr>
              <w:t>Rationale</w:t>
            </w:r>
            <w:r>
              <w:rPr>
                <w:noProof/>
                <w:webHidden/>
              </w:rPr>
              <w:tab/>
            </w:r>
            <w:r>
              <w:rPr>
                <w:noProof/>
                <w:webHidden/>
              </w:rPr>
              <w:fldChar w:fldCharType="begin"/>
            </w:r>
            <w:r>
              <w:rPr>
                <w:noProof/>
                <w:webHidden/>
              </w:rPr>
              <w:instrText xml:space="preserve"> PAGEREF _Toc214490365 \h </w:instrText>
            </w:r>
            <w:r>
              <w:rPr>
                <w:noProof/>
                <w:webHidden/>
              </w:rPr>
            </w:r>
            <w:r>
              <w:rPr>
                <w:noProof/>
                <w:webHidden/>
              </w:rPr>
              <w:fldChar w:fldCharType="separate"/>
            </w:r>
            <w:r w:rsidR="00A62649">
              <w:rPr>
                <w:noProof/>
                <w:webHidden/>
              </w:rPr>
              <w:t>2</w:t>
            </w:r>
            <w:r>
              <w:rPr>
                <w:noProof/>
                <w:webHidden/>
              </w:rPr>
              <w:fldChar w:fldCharType="end"/>
            </w:r>
          </w:hyperlink>
        </w:p>
        <w:p w14:paraId="4A9BFFC7" w14:textId="4D7FF27D"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66" w:history="1">
            <w:r w:rsidRPr="003A7E96">
              <w:rPr>
                <w:rStyle w:val="Hyperlink"/>
                <w:noProof/>
              </w:rPr>
              <w:t>Signed Languages in Malaysia</w:t>
            </w:r>
            <w:r>
              <w:rPr>
                <w:noProof/>
                <w:webHidden/>
              </w:rPr>
              <w:tab/>
            </w:r>
            <w:r>
              <w:rPr>
                <w:noProof/>
                <w:webHidden/>
              </w:rPr>
              <w:fldChar w:fldCharType="begin"/>
            </w:r>
            <w:r>
              <w:rPr>
                <w:noProof/>
                <w:webHidden/>
              </w:rPr>
              <w:instrText xml:space="preserve"> PAGEREF _Toc214490366 \h </w:instrText>
            </w:r>
            <w:r>
              <w:rPr>
                <w:noProof/>
                <w:webHidden/>
              </w:rPr>
            </w:r>
            <w:r>
              <w:rPr>
                <w:noProof/>
                <w:webHidden/>
              </w:rPr>
              <w:fldChar w:fldCharType="separate"/>
            </w:r>
            <w:r w:rsidR="00A62649">
              <w:rPr>
                <w:noProof/>
                <w:webHidden/>
              </w:rPr>
              <w:t>2</w:t>
            </w:r>
            <w:r>
              <w:rPr>
                <w:noProof/>
                <w:webHidden/>
              </w:rPr>
              <w:fldChar w:fldCharType="end"/>
            </w:r>
          </w:hyperlink>
        </w:p>
        <w:p w14:paraId="5DB05B1E" w14:textId="020634D9"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67" w:history="1">
            <w:r w:rsidRPr="003A7E96">
              <w:rPr>
                <w:rStyle w:val="Hyperlink"/>
                <w:noProof/>
              </w:rPr>
              <w:t>A New Approach to Deaf Education in Malaysia</w:t>
            </w:r>
            <w:r>
              <w:rPr>
                <w:noProof/>
                <w:webHidden/>
              </w:rPr>
              <w:tab/>
            </w:r>
            <w:r>
              <w:rPr>
                <w:noProof/>
                <w:webHidden/>
              </w:rPr>
              <w:fldChar w:fldCharType="begin"/>
            </w:r>
            <w:r>
              <w:rPr>
                <w:noProof/>
                <w:webHidden/>
              </w:rPr>
              <w:instrText xml:space="preserve"> PAGEREF _Toc214490367 \h </w:instrText>
            </w:r>
            <w:r>
              <w:rPr>
                <w:noProof/>
                <w:webHidden/>
              </w:rPr>
            </w:r>
            <w:r>
              <w:rPr>
                <w:noProof/>
                <w:webHidden/>
              </w:rPr>
              <w:fldChar w:fldCharType="separate"/>
            </w:r>
            <w:r w:rsidR="00A62649">
              <w:rPr>
                <w:noProof/>
                <w:webHidden/>
              </w:rPr>
              <w:t>3</w:t>
            </w:r>
            <w:r>
              <w:rPr>
                <w:noProof/>
                <w:webHidden/>
              </w:rPr>
              <w:fldChar w:fldCharType="end"/>
            </w:r>
          </w:hyperlink>
        </w:p>
        <w:p w14:paraId="51A48855" w14:textId="2A6619DD"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68" w:history="1">
            <w:r w:rsidRPr="003A7E96">
              <w:rPr>
                <w:rStyle w:val="Hyperlink"/>
                <w:noProof/>
              </w:rPr>
              <w:t>Total Communication</w:t>
            </w:r>
            <w:r>
              <w:rPr>
                <w:noProof/>
                <w:webHidden/>
              </w:rPr>
              <w:tab/>
            </w:r>
            <w:r>
              <w:rPr>
                <w:noProof/>
                <w:webHidden/>
              </w:rPr>
              <w:fldChar w:fldCharType="begin"/>
            </w:r>
            <w:r>
              <w:rPr>
                <w:noProof/>
                <w:webHidden/>
              </w:rPr>
              <w:instrText xml:space="preserve"> PAGEREF _Toc214490368 \h </w:instrText>
            </w:r>
            <w:r>
              <w:rPr>
                <w:noProof/>
                <w:webHidden/>
              </w:rPr>
            </w:r>
            <w:r>
              <w:rPr>
                <w:noProof/>
                <w:webHidden/>
              </w:rPr>
              <w:fldChar w:fldCharType="separate"/>
            </w:r>
            <w:r w:rsidR="00A62649">
              <w:rPr>
                <w:noProof/>
                <w:webHidden/>
              </w:rPr>
              <w:t>4</w:t>
            </w:r>
            <w:r>
              <w:rPr>
                <w:noProof/>
                <w:webHidden/>
              </w:rPr>
              <w:fldChar w:fldCharType="end"/>
            </w:r>
          </w:hyperlink>
        </w:p>
        <w:p w14:paraId="300EF714" w14:textId="1CB53302"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69" w:history="1">
            <w:r w:rsidRPr="003A7E96">
              <w:rPr>
                <w:rStyle w:val="Hyperlink"/>
                <w:noProof/>
              </w:rPr>
              <w:t>Signed English</w:t>
            </w:r>
            <w:r>
              <w:rPr>
                <w:noProof/>
                <w:webHidden/>
              </w:rPr>
              <w:tab/>
            </w:r>
            <w:r>
              <w:rPr>
                <w:noProof/>
                <w:webHidden/>
              </w:rPr>
              <w:fldChar w:fldCharType="begin"/>
            </w:r>
            <w:r>
              <w:rPr>
                <w:noProof/>
                <w:webHidden/>
              </w:rPr>
              <w:instrText xml:space="preserve"> PAGEREF _Toc214490369 \h </w:instrText>
            </w:r>
            <w:r>
              <w:rPr>
                <w:noProof/>
                <w:webHidden/>
              </w:rPr>
            </w:r>
            <w:r>
              <w:rPr>
                <w:noProof/>
                <w:webHidden/>
              </w:rPr>
              <w:fldChar w:fldCharType="separate"/>
            </w:r>
            <w:r w:rsidR="00A62649">
              <w:rPr>
                <w:noProof/>
                <w:webHidden/>
              </w:rPr>
              <w:t>4</w:t>
            </w:r>
            <w:r>
              <w:rPr>
                <w:noProof/>
                <w:webHidden/>
              </w:rPr>
              <w:fldChar w:fldCharType="end"/>
            </w:r>
          </w:hyperlink>
        </w:p>
        <w:p w14:paraId="492977B5" w14:textId="3F87F036"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70" w:history="1">
            <w:r w:rsidRPr="003A7E96">
              <w:rPr>
                <w:rStyle w:val="Hyperlink"/>
                <w:noProof/>
              </w:rPr>
              <w:t>Signed Malay</w:t>
            </w:r>
            <w:r>
              <w:rPr>
                <w:noProof/>
                <w:webHidden/>
              </w:rPr>
              <w:tab/>
            </w:r>
            <w:r>
              <w:rPr>
                <w:noProof/>
                <w:webHidden/>
              </w:rPr>
              <w:fldChar w:fldCharType="begin"/>
            </w:r>
            <w:r>
              <w:rPr>
                <w:noProof/>
                <w:webHidden/>
              </w:rPr>
              <w:instrText xml:space="preserve"> PAGEREF _Toc214490370 \h </w:instrText>
            </w:r>
            <w:r>
              <w:rPr>
                <w:noProof/>
                <w:webHidden/>
              </w:rPr>
            </w:r>
            <w:r>
              <w:rPr>
                <w:noProof/>
                <w:webHidden/>
              </w:rPr>
              <w:fldChar w:fldCharType="separate"/>
            </w:r>
            <w:r w:rsidR="00A62649">
              <w:rPr>
                <w:noProof/>
                <w:webHidden/>
              </w:rPr>
              <w:t>5</w:t>
            </w:r>
            <w:r>
              <w:rPr>
                <w:noProof/>
                <w:webHidden/>
              </w:rPr>
              <w:fldChar w:fldCharType="end"/>
            </w:r>
          </w:hyperlink>
        </w:p>
        <w:p w14:paraId="56E2327E" w14:textId="5B825624"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71" w:history="1">
            <w:r w:rsidRPr="003A7E96">
              <w:rPr>
                <w:rStyle w:val="Hyperlink"/>
                <w:noProof/>
              </w:rPr>
              <w:t>Kod Tangan Bahasa Malaysia (KTBM)</w:t>
            </w:r>
            <w:r>
              <w:rPr>
                <w:noProof/>
                <w:webHidden/>
              </w:rPr>
              <w:tab/>
            </w:r>
            <w:r>
              <w:rPr>
                <w:noProof/>
                <w:webHidden/>
              </w:rPr>
              <w:fldChar w:fldCharType="begin"/>
            </w:r>
            <w:r>
              <w:rPr>
                <w:noProof/>
                <w:webHidden/>
              </w:rPr>
              <w:instrText xml:space="preserve"> PAGEREF _Toc214490371 \h </w:instrText>
            </w:r>
            <w:r>
              <w:rPr>
                <w:noProof/>
                <w:webHidden/>
              </w:rPr>
            </w:r>
            <w:r>
              <w:rPr>
                <w:noProof/>
                <w:webHidden/>
              </w:rPr>
              <w:fldChar w:fldCharType="separate"/>
            </w:r>
            <w:r w:rsidR="00A62649">
              <w:rPr>
                <w:noProof/>
                <w:webHidden/>
              </w:rPr>
              <w:t>6</w:t>
            </w:r>
            <w:r>
              <w:rPr>
                <w:noProof/>
                <w:webHidden/>
              </w:rPr>
              <w:fldChar w:fldCharType="end"/>
            </w:r>
          </w:hyperlink>
        </w:p>
        <w:p w14:paraId="3EB80083" w14:textId="6395CC81"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72" w:history="1">
            <w:r w:rsidRPr="003A7E96">
              <w:rPr>
                <w:rStyle w:val="Hyperlink"/>
                <w:noProof/>
              </w:rPr>
              <w:t>American Sign Language (ASL)</w:t>
            </w:r>
            <w:r>
              <w:rPr>
                <w:noProof/>
                <w:webHidden/>
              </w:rPr>
              <w:tab/>
            </w:r>
            <w:r>
              <w:rPr>
                <w:noProof/>
                <w:webHidden/>
              </w:rPr>
              <w:fldChar w:fldCharType="begin"/>
            </w:r>
            <w:r>
              <w:rPr>
                <w:noProof/>
                <w:webHidden/>
              </w:rPr>
              <w:instrText xml:space="preserve"> PAGEREF _Toc214490372 \h </w:instrText>
            </w:r>
            <w:r>
              <w:rPr>
                <w:noProof/>
                <w:webHidden/>
              </w:rPr>
            </w:r>
            <w:r>
              <w:rPr>
                <w:noProof/>
                <w:webHidden/>
              </w:rPr>
              <w:fldChar w:fldCharType="separate"/>
            </w:r>
            <w:r w:rsidR="00A62649">
              <w:rPr>
                <w:noProof/>
                <w:webHidden/>
              </w:rPr>
              <w:t>7</w:t>
            </w:r>
            <w:r>
              <w:rPr>
                <w:noProof/>
                <w:webHidden/>
              </w:rPr>
              <w:fldChar w:fldCharType="end"/>
            </w:r>
          </w:hyperlink>
        </w:p>
        <w:p w14:paraId="33F87B48" w14:textId="3E0FF193"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73" w:history="1">
            <w:r w:rsidRPr="003A7E96">
              <w:rPr>
                <w:rStyle w:val="Hyperlink"/>
                <w:noProof/>
              </w:rPr>
              <w:t>Bahasa Isyarat Malaysia (BIM)</w:t>
            </w:r>
            <w:r>
              <w:rPr>
                <w:noProof/>
                <w:webHidden/>
              </w:rPr>
              <w:tab/>
            </w:r>
            <w:r>
              <w:rPr>
                <w:noProof/>
                <w:webHidden/>
              </w:rPr>
              <w:fldChar w:fldCharType="begin"/>
            </w:r>
            <w:r>
              <w:rPr>
                <w:noProof/>
                <w:webHidden/>
              </w:rPr>
              <w:instrText xml:space="preserve"> PAGEREF _Toc214490373 \h </w:instrText>
            </w:r>
            <w:r>
              <w:rPr>
                <w:noProof/>
                <w:webHidden/>
              </w:rPr>
            </w:r>
            <w:r>
              <w:rPr>
                <w:noProof/>
                <w:webHidden/>
              </w:rPr>
              <w:fldChar w:fldCharType="separate"/>
            </w:r>
            <w:r w:rsidR="00A62649">
              <w:rPr>
                <w:noProof/>
                <w:webHidden/>
              </w:rPr>
              <w:t>7</w:t>
            </w:r>
            <w:r>
              <w:rPr>
                <w:noProof/>
                <w:webHidden/>
              </w:rPr>
              <w:fldChar w:fldCharType="end"/>
            </w:r>
          </w:hyperlink>
        </w:p>
        <w:p w14:paraId="5E9E3CE4" w14:textId="70266E63"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74" w:history="1">
            <w:r w:rsidRPr="003A7E96">
              <w:rPr>
                <w:rStyle w:val="Hyperlink"/>
                <w:noProof/>
              </w:rPr>
              <w:t>Mixed Lexicons from Signed Languages</w:t>
            </w:r>
            <w:r>
              <w:rPr>
                <w:noProof/>
                <w:webHidden/>
              </w:rPr>
              <w:tab/>
            </w:r>
            <w:r>
              <w:rPr>
                <w:noProof/>
                <w:webHidden/>
              </w:rPr>
              <w:fldChar w:fldCharType="begin"/>
            </w:r>
            <w:r>
              <w:rPr>
                <w:noProof/>
                <w:webHidden/>
              </w:rPr>
              <w:instrText xml:space="preserve"> PAGEREF _Toc214490374 \h </w:instrText>
            </w:r>
            <w:r>
              <w:rPr>
                <w:noProof/>
                <w:webHidden/>
              </w:rPr>
            </w:r>
            <w:r>
              <w:rPr>
                <w:noProof/>
                <w:webHidden/>
              </w:rPr>
              <w:fldChar w:fldCharType="separate"/>
            </w:r>
            <w:r w:rsidR="00A62649">
              <w:rPr>
                <w:noProof/>
                <w:webHidden/>
              </w:rPr>
              <w:t>8</w:t>
            </w:r>
            <w:r>
              <w:rPr>
                <w:noProof/>
                <w:webHidden/>
              </w:rPr>
              <w:fldChar w:fldCharType="end"/>
            </w:r>
          </w:hyperlink>
        </w:p>
        <w:p w14:paraId="7792D875" w14:textId="11EC86B0"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75" w:history="1">
            <w:r w:rsidRPr="003A7E96">
              <w:rPr>
                <w:rStyle w:val="Hyperlink"/>
                <w:noProof/>
              </w:rPr>
              <w:t>Quality of Life of Deaf Malaysians</w:t>
            </w:r>
            <w:r>
              <w:rPr>
                <w:noProof/>
                <w:webHidden/>
              </w:rPr>
              <w:tab/>
            </w:r>
            <w:r>
              <w:rPr>
                <w:noProof/>
                <w:webHidden/>
              </w:rPr>
              <w:fldChar w:fldCharType="begin"/>
            </w:r>
            <w:r>
              <w:rPr>
                <w:noProof/>
                <w:webHidden/>
              </w:rPr>
              <w:instrText xml:space="preserve"> PAGEREF _Toc214490375 \h </w:instrText>
            </w:r>
            <w:r>
              <w:rPr>
                <w:noProof/>
                <w:webHidden/>
              </w:rPr>
            </w:r>
            <w:r>
              <w:rPr>
                <w:noProof/>
                <w:webHidden/>
              </w:rPr>
              <w:fldChar w:fldCharType="separate"/>
            </w:r>
            <w:r w:rsidR="00A62649">
              <w:rPr>
                <w:noProof/>
                <w:webHidden/>
              </w:rPr>
              <w:t>10</w:t>
            </w:r>
            <w:r>
              <w:rPr>
                <w:noProof/>
                <w:webHidden/>
              </w:rPr>
              <w:fldChar w:fldCharType="end"/>
            </w:r>
          </w:hyperlink>
        </w:p>
        <w:p w14:paraId="5786F458" w14:textId="6FC3FCB0"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376" w:history="1">
            <w:r w:rsidRPr="003A7E96">
              <w:rPr>
                <w:rStyle w:val="Hyperlink"/>
                <w:noProof/>
              </w:rPr>
              <w:t>Purpose of the Study</w:t>
            </w:r>
            <w:r>
              <w:rPr>
                <w:noProof/>
                <w:webHidden/>
              </w:rPr>
              <w:tab/>
            </w:r>
            <w:r>
              <w:rPr>
                <w:noProof/>
                <w:webHidden/>
              </w:rPr>
              <w:fldChar w:fldCharType="begin"/>
            </w:r>
            <w:r>
              <w:rPr>
                <w:noProof/>
                <w:webHidden/>
              </w:rPr>
              <w:instrText xml:space="preserve"> PAGEREF _Toc214490376 \h </w:instrText>
            </w:r>
            <w:r>
              <w:rPr>
                <w:noProof/>
                <w:webHidden/>
              </w:rPr>
            </w:r>
            <w:r>
              <w:rPr>
                <w:noProof/>
                <w:webHidden/>
              </w:rPr>
              <w:fldChar w:fldCharType="separate"/>
            </w:r>
            <w:r w:rsidR="00A62649">
              <w:rPr>
                <w:noProof/>
                <w:webHidden/>
              </w:rPr>
              <w:t>12</w:t>
            </w:r>
            <w:r>
              <w:rPr>
                <w:noProof/>
                <w:webHidden/>
              </w:rPr>
              <w:fldChar w:fldCharType="end"/>
            </w:r>
          </w:hyperlink>
        </w:p>
        <w:p w14:paraId="6F58A6E9" w14:textId="43F4F0A0"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77" w:history="1">
            <w:r w:rsidRPr="003A7E96">
              <w:rPr>
                <w:rStyle w:val="Hyperlink"/>
                <w:noProof/>
              </w:rPr>
              <w:t>Research Questions</w:t>
            </w:r>
            <w:r>
              <w:rPr>
                <w:noProof/>
                <w:webHidden/>
              </w:rPr>
              <w:tab/>
            </w:r>
            <w:r>
              <w:rPr>
                <w:noProof/>
                <w:webHidden/>
              </w:rPr>
              <w:fldChar w:fldCharType="begin"/>
            </w:r>
            <w:r>
              <w:rPr>
                <w:noProof/>
                <w:webHidden/>
              </w:rPr>
              <w:instrText xml:space="preserve"> PAGEREF _Toc214490377 \h </w:instrText>
            </w:r>
            <w:r>
              <w:rPr>
                <w:noProof/>
                <w:webHidden/>
              </w:rPr>
            </w:r>
            <w:r>
              <w:rPr>
                <w:noProof/>
                <w:webHidden/>
              </w:rPr>
              <w:fldChar w:fldCharType="separate"/>
            </w:r>
            <w:r w:rsidR="00A62649">
              <w:rPr>
                <w:noProof/>
                <w:webHidden/>
              </w:rPr>
              <w:t>13</w:t>
            </w:r>
            <w:r>
              <w:rPr>
                <w:noProof/>
                <w:webHidden/>
              </w:rPr>
              <w:fldChar w:fldCharType="end"/>
            </w:r>
          </w:hyperlink>
        </w:p>
        <w:p w14:paraId="37083BC5" w14:textId="2E429977" w:rsidR="002C1FA9" w:rsidRDefault="002C1FA9">
          <w:pPr>
            <w:pStyle w:val="TOC3"/>
            <w:tabs>
              <w:tab w:val="right" w:leader="dot" w:pos="9440"/>
            </w:tabs>
            <w:rPr>
              <w:rStyle w:val="Hyperlink"/>
              <w:noProof/>
            </w:rPr>
          </w:pPr>
          <w:hyperlink w:anchor="_Toc214490378" w:history="1">
            <w:r w:rsidRPr="003A7E96">
              <w:rPr>
                <w:rStyle w:val="Hyperlink"/>
                <w:noProof/>
              </w:rPr>
              <w:t>Definition of Terms</w:t>
            </w:r>
            <w:r>
              <w:rPr>
                <w:noProof/>
                <w:webHidden/>
              </w:rPr>
              <w:tab/>
            </w:r>
            <w:r>
              <w:rPr>
                <w:noProof/>
                <w:webHidden/>
              </w:rPr>
              <w:fldChar w:fldCharType="begin"/>
            </w:r>
            <w:r>
              <w:rPr>
                <w:noProof/>
                <w:webHidden/>
              </w:rPr>
              <w:instrText xml:space="preserve"> PAGEREF _Toc214490378 \h </w:instrText>
            </w:r>
            <w:r>
              <w:rPr>
                <w:noProof/>
                <w:webHidden/>
              </w:rPr>
            </w:r>
            <w:r>
              <w:rPr>
                <w:noProof/>
                <w:webHidden/>
              </w:rPr>
              <w:fldChar w:fldCharType="separate"/>
            </w:r>
            <w:r w:rsidR="00A62649">
              <w:rPr>
                <w:noProof/>
                <w:webHidden/>
              </w:rPr>
              <w:t>14</w:t>
            </w:r>
            <w:r>
              <w:rPr>
                <w:noProof/>
                <w:webHidden/>
              </w:rPr>
              <w:fldChar w:fldCharType="end"/>
            </w:r>
          </w:hyperlink>
        </w:p>
        <w:p w14:paraId="442E2B89" w14:textId="77777777" w:rsidR="00BF358B" w:rsidRDefault="00BF358B" w:rsidP="00BF358B"/>
        <w:p w14:paraId="1AAC94BF" w14:textId="77777777" w:rsidR="00BF358B" w:rsidRPr="00BF358B" w:rsidRDefault="00BF358B" w:rsidP="00BF358B"/>
        <w:p w14:paraId="51E9C99C" w14:textId="267FA2F2" w:rsidR="002C1FA9" w:rsidRPr="00442436" w:rsidRDefault="002C1FA9" w:rsidP="00442436">
          <w:pPr>
            <w:pStyle w:val="TOC1"/>
            <w:rPr>
              <w:rFonts w:asciiTheme="minorHAnsi" w:eastAsiaTheme="minorEastAsia" w:hAnsiTheme="minorHAnsi" w:cstheme="minorBidi"/>
              <w:kern w:val="2"/>
              <w:lang w:val="en-US"/>
              <w14:ligatures w14:val="standardContextual"/>
            </w:rPr>
          </w:pPr>
          <w:hyperlink w:anchor="_Toc214490379" w:history="1">
            <w:r w:rsidRPr="00442436">
              <w:rPr>
                <w:rStyle w:val="Hyperlink"/>
              </w:rPr>
              <w:t>CHAPTER II</w:t>
            </w:r>
            <w:r w:rsidRPr="00442436">
              <w:rPr>
                <w:webHidden/>
              </w:rPr>
              <w:tab/>
            </w:r>
            <w:r w:rsidRPr="00442436">
              <w:rPr>
                <w:webHidden/>
              </w:rPr>
              <w:fldChar w:fldCharType="begin"/>
            </w:r>
            <w:r w:rsidRPr="00442436">
              <w:rPr>
                <w:webHidden/>
              </w:rPr>
              <w:instrText xml:space="preserve"> PAGEREF _Toc214490379 \h </w:instrText>
            </w:r>
            <w:r w:rsidRPr="00442436">
              <w:rPr>
                <w:webHidden/>
              </w:rPr>
            </w:r>
            <w:r w:rsidRPr="00442436">
              <w:rPr>
                <w:webHidden/>
              </w:rPr>
              <w:fldChar w:fldCharType="separate"/>
            </w:r>
            <w:r w:rsidR="00A62649">
              <w:rPr>
                <w:webHidden/>
              </w:rPr>
              <w:t>15</w:t>
            </w:r>
            <w:r w:rsidRPr="00442436">
              <w:rPr>
                <w:webHidden/>
              </w:rPr>
              <w:fldChar w:fldCharType="end"/>
            </w:r>
          </w:hyperlink>
        </w:p>
        <w:p w14:paraId="10E845BC" w14:textId="18929F20"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380" w:history="1">
            <w:r w:rsidRPr="003A7E96">
              <w:rPr>
                <w:rStyle w:val="Hyperlink"/>
                <w:noProof/>
              </w:rPr>
              <w:t>Literature Review</w:t>
            </w:r>
            <w:r>
              <w:rPr>
                <w:noProof/>
                <w:webHidden/>
              </w:rPr>
              <w:tab/>
            </w:r>
            <w:r>
              <w:rPr>
                <w:noProof/>
                <w:webHidden/>
              </w:rPr>
              <w:fldChar w:fldCharType="begin"/>
            </w:r>
            <w:r>
              <w:rPr>
                <w:noProof/>
                <w:webHidden/>
              </w:rPr>
              <w:instrText xml:space="preserve"> PAGEREF _Toc214490380 \h </w:instrText>
            </w:r>
            <w:r>
              <w:rPr>
                <w:noProof/>
                <w:webHidden/>
              </w:rPr>
            </w:r>
            <w:r>
              <w:rPr>
                <w:noProof/>
                <w:webHidden/>
              </w:rPr>
              <w:fldChar w:fldCharType="separate"/>
            </w:r>
            <w:r w:rsidR="00A62649">
              <w:rPr>
                <w:noProof/>
                <w:webHidden/>
              </w:rPr>
              <w:t>15</w:t>
            </w:r>
            <w:r>
              <w:rPr>
                <w:noProof/>
                <w:webHidden/>
              </w:rPr>
              <w:fldChar w:fldCharType="end"/>
            </w:r>
          </w:hyperlink>
        </w:p>
        <w:p w14:paraId="39C7EB87" w14:textId="363A806F"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81" w:history="1">
            <w:r w:rsidRPr="003A7E96">
              <w:rPr>
                <w:rStyle w:val="Hyperlink"/>
                <w:noProof/>
              </w:rPr>
              <w:t>Quality of Life (QOL)</w:t>
            </w:r>
            <w:r>
              <w:rPr>
                <w:noProof/>
                <w:webHidden/>
              </w:rPr>
              <w:tab/>
            </w:r>
            <w:r>
              <w:rPr>
                <w:noProof/>
                <w:webHidden/>
              </w:rPr>
              <w:fldChar w:fldCharType="begin"/>
            </w:r>
            <w:r>
              <w:rPr>
                <w:noProof/>
                <w:webHidden/>
              </w:rPr>
              <w:instrText xml:space="preserve"> PAGEREF _Toc214490381 \h </w:instrText>
            </w:r>
            <w:r>
              <w:rPr>
                <w:noProof/>
                <w:webHidden/>
              </w:rPr>
            </w:r>
            <w:r>
              <w:rPr>
                <w:noProof/>
                <w:webHidden/>
              </w:rPr>
              <w:fldChar w:fldCharType="separate"/>
            </w:r>
            <w:r w:rsidR="00A62649">
              <w:rPr>
                <w:noProof/>
                <w:webHidden/>
              </w:rPr>
              <w:t>15</w:t>
            </w:r>
            <w:r>
              <w:rPr>
                <w:noProof/>
                <w:webHidden/>
              </w:rPr>
              <w:fldChar w:fldCharType="end"/>
            </w:r>
          </w:hyperlink>
        </w:p>
        <w:p w14:paraId="45A376A8" w14:textId="1A604044"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2" w:history="1">
            <w:r w:rsidRPr="003A7E96">
              <w:rPr>
                <w:rStyle w:val="Hyperlink"/>
                <w:noProof/>
              </w:rPr>
              <w:t>Maslow’s Theory of Hierarchy of Needs</w:t>
            </w:r>
            <w:r>
              <w:rPr>
                <w:noProof/>
                <w:webHidden/>
              </w:rPr>
              <w:tab/>
            </w:r>
            <w:r>
              <w:rPr>
                <w:noProof/>
                <w:webHidden/>
              </w:rPr>
              <w:fldChar w:fldCharType="begin"/>
            </w:r>
            <w:r>
              <w:rPr>
                <w:noProof/>
                <w:webHidden/>
              </w:rPr>
              <w:instrText xml:space="preserve"> PAGEREF _Toc214490382 \h </w:instrText>
            </w:r>
            <w:r>
              <w:rPr>
                <w:noProof/>
                <w:webHidden/>
              </w:rPr>
            </w:r>
            <w:r>
              <w:rPr>
                <w:noProof/>
                <w:webHidden/>
              </w:rPr>
              <w:fldChar w:fldCharType="separate"/>
            </w:r>
            <w:r w:rsidR="00A62649">
              <w:rPr>
                <w:noProof/>
                <w:webHidden/>
              </w:rPr>
              <w:t>17</w:t>
            </w:r>
            <w:r>
              <w:rPr>
                <w:noProof/>
                <w:webHidden/>
              </w:rPr>
              <w:fldChar w:fldCharType="end"/>
            </w:r>
          </w:hyperlink>
        </w:p>
        <w:p w14:paraId="2B0BD1FD" w14:textId="619DD5E0"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3" w:history="1">
            <w:r w:rsidRPr="003A7E96">
              <w:rPr>
                <w:rStyle w:val="Hyperlink"/>
                <w:noProof/>
              </w:rPr>
              <w:t>Quality of Life Concept</w:t>
            </w:r>
            <w:r>
              <w:rPr>
                <w:noProof/>
                <w:webHidden/>
              </w:rPr>
              <w:tab/>
            </w:r>
            <w:r>
              <w:rPr>
                <w:noProof/>
                <w:webHidden/>
              </w:rPr>
              <w:fldChar w:fldCharType="begin"/>
            </w:r>
            <w:r>
              <w:rPr>
                <w:noProof/>
                <w:webHidden/>
              </w:rPr>
              <w:instrText xml:space="preserve"> PAGEREF _Toc214490383 \h </w:instrText>
            </w:r>
            <w:r>
              <w:rPr>
                <w:noProof/>
                <w:webHidden/>
              </w:rPr>
            </w:r>
            <w:r>
              <w:rPr>
                <w:noProof/>
                <w:webHidden/>
              </w:rPr>
              <w:fldChar w:fldCharType="separate"/>
            </w:r>
            <w:r w:rsidR="00A62649">
              <w:rPr>
                <w:noProof/>
                <w:webHidden/>
              </w:rPr>
              <w:t>20</w:t>
            </w:r>
            <w:r>
              <w:rPr>
                <w:noProof/>
                <w:webHidden/>
              </w:rPr>
              <w:fldChar w:fldCharType="end"/>
            </w:r>
          </w:hyperlink>
        </w:p>
        <w:p w14:paraId="7F83B145" w14:textId="772912D2"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4" w:history="1">
            <w:r w:rsidRPr="003A7E96">
              <w:rPr>
                <w:rStyle w:val="Hyperlink"/>
                <w:noProof/>
              </w:rPr>
              <w:t>Operationalization of the Construction of QOL</w:t>
            </w:r>
            <w:r>
              <w:rPr>
                <w:noProof/>
                <w:webHidden/>
              </w:rPr>
              <w:tab/>
            </w:r>
            <w:r>
              <w:rPr>
                <w:noProof/>
                <w:webHidden/>
              </w:rPr>
              <w:fldChar w:fldCharType="begin"/>
            </w:r>
            <w:r>
              <w:rPr>
                <w:noProof/>
                <w:webHidden/>
              </w:rPr>
              <w:instrText xml:space="preserve"> PAGEREF _Toc214490384 \h </w:instrText>
            </w:r>
            <w:r>
              <w:rPr>
                <w:noProof/>
                <w:webHidden/>
              </w:rPr>
            </w:r>
            <w:r>
              <w:rPr>
                <w:noProof/>
                <w:webHidden/>
              </w:rPr>
              <w:fldChar w:fldCharType="separate"/>
            </w:r>
            <w:r w:rsidR="00A62649">
              <w:rPr>
                <w:noProof/>
                <w:webHidden/>
              </w:rPr>
              <w:t>27</w:t>
            </w:r>
            <w:r>
              <w:rPr>
                <w:noProof/>
                <w:webHidden/>
              </w:rPr>
              <w:fldChar w:fldCharType="end"/>
            </w:r>
          </w:hyperlink>
        </w:p>
        <w:p w14:paraId="7A34A683" w14:textId="5FFD176C"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5" w:history="1">
            <w:r w:rsidRPr="003A7E96">
              <w:rPr>
                <w:rStyle w:val="Hyperlink"/>
                <w:noProof/>
              </w:rPr>
              <w:t>Quality of Life: A Multi-dimensional &amp; Multi-element Framework</w:t>
            </w:r>
            <w:r>
              <w:rPr>
                <w:noProof/>
                <w:webHidden/>
              </w:rPr>
              <w:tab/>
            </w:r>
            <w:r>
              <w:rPr>
                <w:noProof/>
                <w:webHidden/>
              </w:rPr>
              <w:fldChar w:fldCharType="begin"/>
            </w:r>
            <w:r>
              <w:rPr>
                <w:noProof/>
                <w:webHidden/>
              </w:rPr>
              <w:instrText xml:space="preserve"> PAGEREF _Toc214490385 \h </w:instrText>
            </w:r>
            <w:r>
              <w:rPr>
                <w:noProof/>
                <w:webHidden/>
              </w:rPr>
            </w:r>
            <w:r>
              <w:rPr>
                <w:noProof/>
                <w:webHidden/>
              </w:rPr>
              <w:fldChar w:fldCharType="separate"/>
            </w:r>
            <w:r w:rsidR="00A62649">
              <w:rPr>
                <w:noProof/>
                <w:webHidden/>
              </w:rPr>
              <w:t>29</w:t>
            </w:r>
            <w:r>
              <w:rPr>
                <w:noProof/>
                <w:webHidden/>
              </w:rPr>
              <w:fldChar w:fldCharType="end"/>
            </w:r>
          </w:hyperlink>
        </w:p>
        <w:p w14:paraId="50E4F8EF" w14:textId="24818021"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6" w:history="1">
            <w:r w:rsidRPr="003A7E96">
              <w:rPr>
                <w:rStyle w:val="Hyperlink"/>
                <w:noProof/>
              </w:rPr>
              <w:t>QOL for a Model of Disability</w:t>
            </w:r>
            <w:r>
              <w:rPr>
                <w:noProof/>
                <w:webHidden/>
              </w:rPr>
              <w:tab/>
            </w:r>
            <w:r>
              <w:rPr>
                <w:noProof/>
                <w:webHidden/>
              </w:rPr>
              <w:fldChar w:fldCharType="begin"/>
            </w:r>
            <w:r>
              <w:rPr>
                <w:noProof/>
                <w:webHidden/>
              </w:rPr>
              <w:instrText xml:space="preserve"> PAGEREF _Toc214490386 \h </w:instrText>
            </w:r>
            <w:r>
              <w:rPr>
                <w:noProof/>
                <w:webHidden/>
              </w:rPr>
            </w:r>
            <w:r>
              <w:rPr>
                <w:noProof/>
                <w:webHidden/>
              </w:rPr>
              <w:fldChar w:fldCharType="separate"/>
            </w:r>
            <w:r w:rsidR="00A62649">
              <w:rPr>
                <w:noProof/>
                <w:webHidden/>
              </w:rPr>
              <w:t>30</w:t>
            </w:r>
            <w:r>
              <w:rPr>
                <w:noProof/>
                <w:webHidden/>
              </w:rPr>
              <w:fldChar w:fldCharType="end"/>
            </w:r>
          </w:hyperlink>
        </w:p>
        <w:p w14:paraId="7B2EC0B6" w14:textId="55CB4589"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87" w:history="1">
            <w:r w:rsidRPr="003A7E96">
              <w:rPr>
                <w:rStyle w:val="Hyperlink"/>
                <w:noProof/>
              </w:rPr>
              <w:t>Applying QOL to Deaf Communities Globally</w:t>
            </w:r>
            <w:r>
              <w:rPr>
                <w:noProof/>
                <w:webHidden/>
              </w:rPr>
              <w:tab/>
            </w:r>
            <w:r>
              <w:rPr>
                <w:noProof/>
                <w:webHidden/>
              </w:rPr>
              <w:fldChar w:fldCharType="begin"/>
            </w:r>
            <w:r>
              <w:rPr>
                <w:noProof/>
                <w:webHidden/>
              </w:rPr>
              <w:instrText xml:space="preserve"> PAGEREF _Toc214490387 \h </w:instrText>
            </w:r>
            <w:r>
              <w:rPr>
                <w:noProof/>
                <w:webHidden/>
              </w:rPr>
            </w:r>
            <w:r>
              <w:rPr>
                <w:noProof/>
                <w:webHidden/>
              </w:rPr>
              <w:fldChar w:fldCharType="separate"/>
            </w:r>
            <w:r w:rsidR="00A62649">
              <w:rPr>
                <w:noProof/>
                <w:webHidden/>
              </w:rPr>
              <w:t>33</w:t>
            </w:r>
            <w:r>
              <w:rPr>
                <w:noProof/>
                <w:webHidden/>
              </w:rPr>
              <w:fldChar w:fldCharType="end"/>
            </w:r>
          </w:hyperlink>
        </w:p>
        <w:p w14:paraId="4BA408CB" w14:textId="586D6BB7"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8" w:history="1">
            <w:r w:rsidRPr="003A7E96">
              <w:rPr>
                <w:rStyle w:val="Hyperlink"/>
                <w:noProof/>
              </w:rPr>
              <w:t>Assessing QOL in the Deaf Community</w:t>
            </w:r>
            <w:r>
              <w:rPr>
                <w:noProof/>
                <w:webHidden/>
              </w:rPr>
              <w:tab/>
            </w:r>
            <w:r>
              <w:rPr>
                <w:noProof/>
                <w:webHidden/>
              </w:rPr>
              <w:fldChar w:fldCharType="begin"/>
            </w:r>
            <w:r>
              <w:rPr>
                <w:noProof/>
                <w:webHidden/>
              </w:rPr>
              <w:instrText xml:space="preserve"> PAGEREF _Toc214490388 \h </w:instrText>
            </w:r>
            <w:r>
              <w:rPr>
                <w:noProof/>
                <w:webHidden/>
              </w:rPr>
            </w:r>
            <w:r>
              <w:rPr>
                <w:noProof/>
                <w:webHidden/>
              </w:rPr>
              <w:fldChar w:fldCharType="separate"/>
            </w:r>
            <w:r w:rsidR="00A62649">
              <w:rPr>
                <w:noProof/>
                <w:webHidden/>
              </w:rPr>
              <w:t>34</w:t>
            </w:r>
            <w:r>
              <w:rPr>
                <w:noProof/>
                <w:webHidden/>
              </w:rPr>
              <w:fldChar w:fldCharType="end"/>
            </w:r>
          </w:hyperlink>
        </w:p>
        <w:p w14:paraId="6EF22531" w14:textId="017BE4A2"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89" w:history="1">
            <w:r w:rsidRPr="003A7E96">
              <w:rPr>
                <w:rStyle w:val="Hyperlink"/>
                <w:noProof/>
              </w:rPr>
              <w:t>Translation into National Written Languages and Sign Languages</w:t>
            </w:r>
            <w:r>
              <w:rPr>
                <w:noProof/>
                <w:webHidden/>
              </w:rPr>
              <w:tab/>
            </w:r>
            <w:r>
              <w:rPr>
                <w:noProof/>
                <w:webHidden/>
              </w:rPr>
              <w:fldChar w:fldCharType="begin"/>
            </w:r>
            <w:r>
              <w:rPr>
                <w:noProof/>
                <w:webHidden/>
              </w:rPr>
              <w:instrText xml:space="preserve"> PAGEREF _Toc214490389 \h </w:instrText>
            </w:r>
            <w:r>
              <w:rPr>
                <w:noProof/>
                <w:webHidden/>
              </w:rPr>
            </w:r>
            <w:r>
              <w:rPr>
                <w:noProof/>
                <w:webHidden/>
              </w:rPr>
              <w:fldChar w:fldCharType="separate"/>
            </w:r>
            <w:r w:rsidR="00A62649">
              <w:rPr>
                <w:noProof/>
                <w:webHidden/>
              </w:rPr>
              <w:t>35</w:t>
            </w:r>
            <w:r>
              <w:rPr>
                <w:noProof/>
                <w:webHidden/>
              </w:rPr>
              <w:fldChar w:fldCharType="end"/>
            </w:r>
          </w:hyperlink>
        </w:p>
        <w:p w14:paraId="5A89B3A6" w14:textId="31B44466"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90" w:history="1">
            <w:r w:rsidRPr="003A7E96">
              <w:rPr>
                <w:rStyle w:val="Hyperlink"/>
                <w:noProof/>
              </w:rPr>
              <w:t>QOL Instruments for Deaf Persons</w:t>
            </w:r>
            <w:r>
              <w:rPr>
                <w:noProof/>
                <w:webHidden/>
              </w:rPr>
              <w:tab/>
            </w:r>
            <w:r>
              <w:rPr>
                <w:noProof/>
                <w:webHidden/>
              </w:rPr>
              <w:fldChar w:fldCharType="begin"/>
            </w:r>
            <w:r>
              <w:rPr>
                <w:noProof/>
                <w:webHidden/>
              </w:rPr>
              <w:instrText xml:space="preserve"> PAGEREF _Toc214490390 \h </w:instrText>
            </w:r>
            <w:r>
              <w:rPr>
                <w:noProof/>
                <w:webHidden/>
              </w:rPr>
            </w:r>
            <w:r>
              <w:rPr>
                <w:noProof/>
                <w:webHidden/>
              </w:rPr>
              <w:fldChar w:fldCharType="separate"/>
            </w:r>
            <w:r w:rsidR="00A62649">
              <w:rPr>
                <w:noProof/>
                <w:webHidden/>
              </w:rPr>
              <w:t>36</w:t>
            </w:r>
            <w:r>
              <w:rPr>
                <w:noProof/>
                <w:webHidden/>
              </w:rPr>
              <w:fldChar w:fldCharType="end"/>
            </w:r>
          </w:hyperlink>
        </w:p>
        <w:p w14:paraId="6FBDC20A" w14:textId="76FF15A7" w:rsidR="002C1FA9" w:rsidRDefault="002C1FA9">
          <w:pPr>
            <w:pStyle w:val="TOC5"/>
            <w:tabs>
              <w:tab w:val="right" w:leader="dot" w:pos="9440"/>
            </w:tabs>
            <w:rPr>
              <w:rFonts w:asciiTheme="minorHAnsi" w:eastAsiaTheme="minorEastAsia" w:hAnsiTheme="minorHAnsi" w:cstheme="minorBidi"/>
              <w:noProof/>
              <w:kern w:val="2"/>
              <w:lang w:val="en-US"/>
              <w14:ligatures w14:val="standardContextual"/>
            </w:rPr>
          </w:pPr>
          <w:hyperlink w:anchor="_Toc214490391" w:history="1">
            <w:r w:rsidRPr="003A7E96">
              <w:rPr>
                <w:rStyle w:val="Hyperlink"/>
                <w:noProof/>
              </w:rPr>
              <w:t>World Health Organization Quality of Life (WHO-QOL)</w:t>
            </w:r>
            <w:r>
              <w:rPr>
                <w:noProof/>
                <w:webHidden/>
              </w:rPr>
              <w:tab/>
            </w:r>
            <w:r>
              <w:rPr>
                <w:noProof/>
                <w:webHidden/>
              </w:rPr>
              <w:fldChar w:fldCharType="begin"/>
            </w:r>
            <w:r>
              <w:rPr>
                <w:noProof/>
                <w:webHidden/>
              </w:rPr>
              <w:instrText xml:space="preserve"> PAGEREF _Toc214490391 \h </w:instrText>
            </w:r>
            <w:r>
              <w:rPr>
                <w:noProof/>
                <w:webHidden/>
              </w:rPr>
            </w:r>
            <w:r>
              <w:rPr>
                <w:noProof/>
                <w:webHidden/>
              </w:rPr>
              <w:fldChar w:fldCharType="separate"/>
            </w:r>
            <w:r w:rsidR="00A62649">
              <w:rPr>
                <w:noProof/>
                <w:webHidden/>
              </w:rPr>
              <w:t>36</w:t>
            </w:r>
            <w:r>
              <w:rPr>
                <w:noProof/>
                <w:webHidden/>
              </w:rPr>
              <w:fldChar w:fldCharType="end"/>
            </w:r>
          </w:hyperlink>
        </w:p>
        <w:p w14:paraId="5DC9F88F" w14:textId="08F5A466" w:rsidR="002C1FA9" w:rsidRDefault="002C1FA9">
          <w:pPr>
            <w:pStyle w:val="TOC5"/>
            <w:tabs>
              <w:tab w:val="right" w:leader="dot" w:pos="9440"/>
            </w:tabs>
            <w:rPr>
              <w:rFonts w:asciiTheme="minorHAnsi" w:eastAsiaTheme="minorEastAsia" w:hAnsiTheme="minorHAnsi" w:cstheme="minorBidi"/>
              <w:noProof/>
              <w:kern w:val="2"/>
              <w:lang w:val="en-US"/>
              <w14:ligatures w14:val="standardContextual"/>
            </w:rPr>
          </w:pPr>
          <w:hyperlink w:anchor="_Toc214490392" w:history="1">
            <w:r w:rsidRPr="003A7E96">
              <w:rPr>
                <w:rStyle w:val="Hyperlink"/>
                <w:noProof/>
              </w:rPr>
              <w:t>Health-Related Quality of Life (HRQoL)</w:t>
            </w:r>
            <w:r>
              <w:rPr>
                <w:noProof/>
                <w:webHidden/>
              </w:rPr>
              <w:tab/>
            </w:r>
            <w:r>
              <w:rPr>
                <w:noProof/>
                <w:webHidden/>
              </w:rPr>
              <w:fldChar w:fldCharType="begin"/>
            </w:r>
            <w:r>
              <w:rPr>
                <w:noProof/>
                <w:webHidden/>
              </w:rPr>
              <w:instrText xml:space="preserve"> PAGEREF _Toc214490392 \h </w:instrText>
            </w:r>
            <w:r>
              <w:rPr>
                <w:noProof/>
                <w:webHidden/>
              </w:rPr>
            </w:r>
            <w:r>
              <w:rPr>
                <w:noProof/>
                <w:webHidden/>
              </w:rPr>
              <w:fldChar w:fldCharType="separate"/>
            </w:r>
            <w:r w:rsidR="00A62649">
              <w:rPr>
                <w:noProof/>
                <w:webHidden/>
              </w:rPr>
              <w:t>37</w:t>
            </w:r>
            <w:r>
              <w:rPr>
                <w:noProof/>
                <w:webHidden/>
              </w:rPr>
              <w:fldChar w:fldCharType="end"/>
            </w:r>
          </w:hyperlink>
        </w:p>
        <w:p w14:paraId="28517AC4" w14:textId="5CD04A1E" w:rsidR="002C1FA9" w:rsidRDefault="002C1FA9">
          <w:pPr>
            <w:pStyle w:val="TOC5"/>
            <w:tabs>
              <w:tab w:val="right" w:leader="dot" w:pos="9440"/>
            </w:tabs>
            <w:rPr>
              <w:rFonts w:asciiTheme="minorHAnsi" w:eastAsiaTheme="minorEastAsia" w:hAnsiTheme="minorHAnsi" w:cstheme="minorBidi"/>
              <w:noProof/>
              <w:kern w:val="2"/>
              <w:lang w:val="en-US"/>
              <w14:ligatures w14:val="standardContextual"/>
            </w:rPr>
          </w:pPr>
          <w:hyperlink w:anchor="_Toc214490393" w:history="1">
            <w:r w:rsidRPr="003A7E96">
              <w:rPr>
                <w:rStyle w:val="Hyperlink"/>
                <w:noProof/>
              </w:rPr>
              <w:t>Pediatric Quality of Life Inventory (PedsQL)</w:t>
            </w:r>
            <w:r>
              <w:rPr>
                <w:noProof/>
                <w:webHidden/>
              </w:rPr>
              <w:tab/>
            </w:r>
            <w:r>
              <w:rPr>
                <w:noProof/>
                <w:webHidden/>
              </w:rPr>
              <w:fldChar w:fldCharType="begin"/>
            </w:r>
            <w:r>
              <w:rPr>
                <w:noProof/>
                <w:webHidden/>
              </w:rPr>
              <w:instrText xml:space="preserve"> PAGEREF _Toc214490393 \h </w:instrText>
            </w:r>
            <w:r>
              <w:rPr>
                <w:noProof/>
                <w:webHidden/>
              </w:rPr>
            </w:r>
            <w:r>
              <w:rPr>
                <w:noProof/>
                <w:webHidden/>
              </w:rPr>
              <w:fldChar w:fldCharType="separate"/>
            </w:r>
            <w:r w:rsidR="00A62649">
              <w:rPr>
                <w:noProof/>
                <w:webHidden/>
              </w:rPr>
              <w:t>39</w:t>
            </w:r>
            <w:r>
              <w:rPr>
                <w:noProof/>
                <w:webHidden/>
              </w:rPr>
              <w:fldChar w:fldCharType="end"/>
            </w:r>
          </w:hyperlink>
        </w:p>
        <w:p w14:paraId="58DF6B7F" w14:textId="612AC563" w:rsidR="002C1FA9" w:rsidRDefault="002C1FA9">
          <w:pPr>
            <w:pStyle w:val="TOC5"/>
            <w:tabs>
              <w:tab w:val="right" w:leader="dot" w:pos="9440"/>
            </w:tabs>
            <w:rPr>
              <w:rFonts w:asciiTheme="minorHAnsi" w:eastAsiaTheme="minorEastAsia" w:hAnsiTheme="minorHAnsi" w:cstheme="minorBidi"/>
              <w:noProof/>
              <w:kern w:val="2"/>
              <w:lang w:val="en-US"/>
              <w14:ligatures w14:val="standardContextual"/>
            </w:rPr>
          </w:pPr>
          <w:hyperlink w:anchor="_Toc214490394" w:history="1">
            <w:r w:rsidRPr="003A7E96">
              <w:rPr>
                <w:rStyle w:val="Hyperlink"/>
                <w:noProof/>
              </w:rPr>
              <w:t>The Hearing Environments and Reflection on Quality of Life (HEAR-QL)</w:t>
            </w:r>
            <w:r>
              <w:rPr>
                <w:noProof/>
                <w:webHidden/>
              </w:rPr>
              <w:tab/>
            </w:r>
            <w:r>
              <w:rPr>
                <w:noProof/>
                <w:webHidden/>
              </w:rPr>
              <w:fldChar w:fldCharType="begin"/>
            </w:r>
            <w:r>
              <w:rPr>
                <w:noProof/>
                <w:webHidden/>
              </w:rPr>
              <w:instrText xml:space="preserve"> PAGEREF _Toc214490394 \h </w:instrText>
            </w:r>
            <w:r>
              <w:rPr>
                <w:noProof/>
                <w:webHidden/>
              </w:rPr>
            </w:r>
            <w:r>
              <w:rPr>
                <w:noProof/>
                <w:webHidden/>
              </w:rPr>
              <w:fldChar w:fldCharType="separate"/>
            </w:r>
            <w:r w:rsidR="00A62649">
              <w:rPr>
                <w:noProof/>
                <w:webHidden/>
              </w:rPr>
              <w:t>40</w:t>
            </w:r>
            <w:r>
              <w:rPr>
                <w:noProof/>
                <w:webHidden/>
              </w:rPr>
              <w:fldChar w:fldCharType="end"/>
            </w:r>
          </w:hyperlink>
        </w:p>
        <w:p w14:paraId="0E2BCD1E" w14:textId="6E7E13DA" w:rsidR="002C1FA9" w:rsidRDefault="002C1FA9">
          <w:pPr>
            <w:pStyle w:val="TOC5"/>
            <w:tabs>
              <w:tab w:val="right" w:leader="dot" w:pos="9440"/>
            </w:tabs>
            <w:rPr>
              <w:rFonts w:asciiTheme="minorHAnsi" w:eastAsiaTheme="minorEastAsia" w:hAnsiTheme="minorHAnsi" w:cstheme="minorBidi"/>
              <w:noProof/>
              <w:kern w:val="2"/>
              <w:lang w:val="en-US"/>
              <w14:ligatures w14:val="standardContextual"/>
            </w:rPr>
          </w:pPr>
          <w:hyperlink w:anchor="_Toc214490395" w:history="1">
            <w:r w:rsidRPr="003A7E96">
              <w:rPr>
                <w:rStyle w:val="Hyperlink"/>
                <w:noProof/>
              </w:rPr>
              <w:t>The Inventory of Life Quality in Children and Adolescents (ILC)</w:t>
            </w:r>
            <w:r>
              <w:rPr>
                <w:noProof/>
                <w:webHidden/>
              </w:rPr>
              <w:tab/>
            </w:r>
            <w:r>
              <w:rPr>
                <w:noProof/>
                <w:webHidden/>
              </w:rPr>
              <w:fldChar w:fldCharType="begin"/>
            </w:r>
            <w:r>
              <w:rPr>
                <w:noProof/>
                <w:webHidden/>
              </w:rPr>
              <w:instrText xml:space="preserve"> PAGEREF _Toc214490395 \h </w:instrText>
            </w:r>
            <w:r>
              <w:rPr>
                <w:noProof/>
                <w:webHidden/>
              </w:rPr>
            </w:r>
            <w:r>
              <w:rPr>
                <w:noProof/>
                <w:webHidden/>
              </w:rPr>
              <w:fldChar w:fldCharType="separate"/>
            </w:r>
            <w:r w:rsidR="00A62649">
              <w:rPr>
                <w:noProof/>
                <w:webHidden/>
              </w:rPr>
              <w:t>41</w:t>
            </w:r>
            <w:r>
              <w:rPr>
                <w:noProof/>
                <w:webHidden/>
              </w:rPr>
              <w:fldChar w:fldCharType="end"/>
            </w:r>
          </w:hyperlink>
        </w:p>
        <w:p w14:paraId="4168B38B" w14:textId="41D75EDF" w:rsidR="002C1FA9" w:rsidRDefault="002C1FA9">
          <w:pPr>
            <w:pStyle w:val="TOC5"/>
            <w:tabs>
              <w:tab w:val="right" w:leader="dot" w:pos="9440"/>
            </w:tabs>
            <w:rPr>
              <w:rFonts w:asciiTheme="minorHAnsi" w:eastAsiaTheme="minorEastAsia" w:hAnsiTheme="minorHAnsi" w:cstheme="minorBidi"/>
              <w:noProof/>
              <w:kern w:val="2"/>
              <w:lang w:val="en-US"/>
              <w14:ligatures w14:val="standardContextual"/>
            </w:rPr>
          </w:pPr>
          <w:hyperlink w:anchor="_Toc214490396" w:history="1">
            <w:r w:rsidRPr="003A7E96">
              <w:rPr>
                <w:rStyle w:val="Hyperlink"/>
                <w:noProof/>
              </w:rPr>
              <w:t>Youth Quality of Life for Deaf and Hard of Hearing (YQOL-DHH)</w:t>
            </w:r>
            <w:r>
              <w:rPr>
                <w:noProof/>
                <w:webHidden/>
              </w:rPr>
              <w:tab/>
            </w:r>
            <w:r>
              <w:rPr>
                <w:noProof/>
                <w:webHidden/>
              </w:rPr>
              <w:fldChar w:fldCharType="begin"/>
            </w:r>
            <w:r>
              <w:rPr>
                <w:noProof/>
                <w:webHidden/>
              </w:rPr>
              <w:instrText xml:space="preserve"> PAGEREF _Toc214490396 \h </w:instrText>
            </w:r>
            <w:r>
              <w:rPr>
                <w:noProof/>
                <w:webHidden/>
              </w:rPr>
            </w:r>
            <w:r>
              <w:rPr>
                <w:noProof/>
                <w:webHidden/>
              </w:rPr>
              <w:fldChar w:fldCharType="separate"/>
            </w:r>
            <w:r w:rsidR="00A62649">
              <w:rPr>
                <w:noProof/>
                <w:webHidden/>
              </w:rPr>
              <w:t>42</w:t>
            </w:r>
            <w:r>
              <w:rPr>
                <w:noProof/>
                <w:webHidden/>
              </w:rPr>
              <w:fldChar w:fldCharType="end"/>
            </w:r>
          </w:hyperlink>
        </w:p>
        <w:p w14:paraId="68BCA573" w14:textId="2D42827D"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397" w:history="1">
            <w:r w:rsidRPr="003A7E96">
              <w:rPr>
                <w:rStyle w:val="Hyperlink"/>
                <w:noProof/>
              </w:rPr>
              <w:t>Opportunities and Barriers to the QOL for Deaf Malaysians</w:t>
            </w:r>
            <w:r>
              <w:rPr>
                <w:noProof/>
                <w:webHidden/>
              </w:rPr>
              <w:tab/>
            </w:r>
            <w:r>
              <w:rPr>
                <w:noProof/>
                <w:webHidden/>
              </w:rPr>
              <w:fldChar w:fldCharType="begin"/>
            </w:r>
            <w:r>
              <w:rPr>
                <w:noProof/>
                <w:webHidden/>
              </w:rPr>
              <w:instrText xml:space="preserve"> PAGEREF _Toc214490397 \h </w:instrText>
            </w:r>
            <w:r>
              <w:rPr>
                <w:noProof/>
                <w:webHidden/>
              </w:rPr>
            </w:r>
            <w:r>
              <w:rPr>
                <w:noProof/>
                <w:webHidden/>
              </w:rPr>
              <w:fldChar w:fldCharType="separate"/>
            </w:r>
            <w:r w:rsidR="00A62649">
              <w:rPr>
                <w:noProof/>
                <w:webHidden/>
              </w:rPr>
              <w:t>45</w:t>
            </w:r>
            <w:r>
              <w:rPr>
                <w:noProof/>
                <w:webHidden/>
              </w:rPr>
              <w:fldChar w:fldCharType="end"/>
            </w:r>
          </w:hyperlink>
        </w:p>
        <w:p w14:paraId="28241155" w14:textId="46DF9BEC"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98" w:history="1">
            <w:r w:rsidRPr="003A7E96">
              <w:rPr>
                <w:rStyle w:val="Hyperlink"/>
                <w:noProof/>
              </w:rPr>
              <w:t>Policies and Legislation</w:t>
            </w:r>
            <w:r>
              <w:rPr>
                <w:noProof/>
                <w:webHidden/>
              </w:rPr>
              <w:tab/>
            </w:r>
            <w:r>
              <w:rPr>
                <w:noProof/>
                <w:webHidden/>
              </w:rPr>
              <w:fldChar w:fldCharType="begin"/>
            </w:r>
            <w:r>
              <w:rPr>
                <w:noProof/>
                <w:webHidden/>
              </w:rPr>
              <w:instrText xml:space="preserve"> PAGEREF _Toc214490398 \h </w:instrText>
            </w:r>
            <w:r>
              <w:rPr>
                <w:noProof/>
                <w:webHidden/>
              </w:rPr>
            </w:r>
            <w:r>
              <w:rPr>
                <w:noProof/>
                <w:webHidden/>
              </w:rPr>
              <w:fldChar w:fldCharType="separate"/>
            </w:r>
            <w:r w:rsidR="00A62649">
              <w:rPr>
                <w:noProof/>
                <w:webHidden/>
              </w:rPr>
              <w:t>45</w:t>
            </w:r>
            <w:r>
              <w:rPr>
                <w:noProof/>
                <w:webHidden/>
              </w:rPr>
              <w:fldChar w:fldCharType="end"/>
            </w:r>
          </w:hyperlink>
        </w:p>
        <w:p w14:paraId="0AB9BA95" w14:textId="03C50798"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399" w:history="1">
            <w:r w:rsidRPr="003A7E96">
              <w:rPr>
                <w:rStyle w:val="Hyperlink"/>
                <w:noProof/>
              </w:rPr>
              <w:t>Welfare</w:t>
            </w:r>
            <w:r>
              <w:rPr>
                <w:noProof/>
                <w:webHidden/>
              </w:rPr>
              <w:tab/>
            </w:r>
            <w:r>
              <w:rPr>
                <w:noProof/>
                <w:webHidden/>
              </w:rPr>
              <w:fldChar w:fldCharType="begin"/>
            </w:r>
            <w:r>
              <w:rPr>
                <w:noProof/>
                <w:webHidden/>
              </w:rPr>
              <w:instrText xml:space="preserve"> PAGEREF _Toc214490399 \h </w:instrText>
            </w:r>
            <w:r>
              <w:rPr>
                <w:noProof/>
                <w:webHidden/>
              </w:rPr>
            </w:r>
            <w:r>
              <w:rPr>
                <w:noProof/>
                <w:webHidden/>
              </w:rPr>
              <w:fldChar w:fldCharType="separate"/>
            </w:r>
            <w:r w:rsidR="00A62649">
              <w:rPr>
                <w:noProof/>
                <w:webHidden/>
              </w:rPr>
              <w:t>47</w:t>
            </w:r>
            <w:r>
              <w:rPr>
                <w:noProof/>
                <w:webHidden/>
              </w:rPr>
              <w:fldChar w:fldCharType="end"/>
            </w:r>
          </w:hyperlink>
        </w:p>
        <w:p w14:paraId="12378B4C" w14:textId="626B73A9"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00" w:history="1">
            <w:r w:rsidRPr="003A7E96">
              <w:rPr>
                <w:rStyle w:val="Hyperlink"/>
                <w:noProof/>
              </w:rPr>
              <w:t>Education</w:t>
            </w:r>
            <w:r>
              <w:rPr>
                <w:noProof/>
                <w:webHidden/>
              </w:rPr>
              <w:tab/>
            </w:r>
            <w:r>
              <w:rPr>
                <w:noProof/>
                <w:webHidden/>
              </w:rPr>
              <w:fldChar w:fldCharType="begin"/>
            </w:r>
            <w:r>
              <w:rPr>
                <w:noProof/>
                <w:webHidden/>
              </w:rPr>
              <w:instrText xml:space="preserve"> PAGEREF _Toc214490400 \h </w:instrText>
            </w:r>
            <w:r>
              <w:rPr>
                <w:noProof/>
                <w:webHidden/>
              </w:rPr>
            </w:r>
            <w:r>
              <w:rPr>
                <w:noProof/>
                <w:webHidden/>
              </w:rPr>
              <w:fldChar w:fldCharType="separate"/>
            </w:r>
            <w:r w:rsidR="00A62649">
              <w:rPr>
                <w:noProof/>
                <w:webHidden/>
              </w:rPr>
              <w:t>48</w:t>
            </w:r>
            <w:r>
              <w:rPr>
                <w:noProof/>
                <w:webHidden/>
              </w:rPr>
              <w:fldChar w:fldCharType="end"/>
            </w:r>
          </w:hyperlink>
        </w:p>
        <w:p w14:paraId="77E799AE" w14:textId="09E67379"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01" w:history="1">
            <w:r w:rsidRPr="003A7E96">
              <w:rPr>
                <w:rStyle w:val="Hyperlink"/>
                <w:noProof/>
              </w:rPr>
              <w:t>Employment</w:t>
            </w:r>
            <w:r>
              <w:rPr>
                <w:noProof/>
                <w:webHidden/>
              </w:rPr>
              <w:tab/>
            </w:r>
            <w:r>
              <w:rPr>
                <w:noProof/>
                <w:webHidden/>
              </w:rPr>
              <w:fldChar w:fldCharType="begin"/>
            </w:r>
            <w:r>
              <w:rPr>
                <w:noProof/>
                <w:webHidden/>
              </w:rPr>
              <w:instrText xml:space="preserve"> PAGEREF _Toc214490401 \h </w:instrText>
            </w:r>
            <w:r>
              <w:rPr>
                <w:noProof/>
                <w:webHidden/>
              </w:rPr>
            </w:r>
            <w:r>
              <w:rPr>
                <w:noProof/>
                <w:webHidden/>
              </w:rPr>
              <w:fldChar w:fldCharType="separate"/>
            </w:r>
            <w:r w:rsidR="00A62649">
              <w:rPr>
                <w:noProof/>
                <w:webHidden/>
              </w:rPr>
              <w:t>51</w:t>
            </w:r>
            <w:r>
              <w:rPr>
                <w:noProof/>
                <w:webHidden/>
              </w:rPr>
              <w:fldChar w:fldCharType="end"/>
            </w:r>
          </w:hyperlink>
        </w:p>
        <w:p w14:paraId="0AFF9576" w14:textId="3EB4E0C6" w:rsidR="002C1FA9" w:rsidRDefault="002C1FA9">
          <w:pPr>
            <w:pStyle w:val="TOC3"/>
            <w:tabs>
              <w:tab w:val="right" w:leader="dot" w:pos="9440"/>
            </w:tabs>
            <w:rPr>
              <w:rStyle w:val="Hyperlink"/>
              <w:noProof/>
            </w:rPr>
          </w:pPr>
          <w:hyperlink w:anchor="_Toc214490402" w:history="1">
            <w:r w:rsidRPr="003A7E96">
              <w:rPr>
                <w:rStyle w:val="Hyperlink"/>
                <w:noProof/>
              </w:rPr>
              <w:t>Conclusion</w:t>
            </w:r>
            <w:r>
              <w:rPr>
                <w:noProof/>
                <w:webHidden/>
              </w:rPr>
              <w:tab/>
            </w:r>
            <w:r>
              <w:rPr>
                <w:noProof/>
                <w:webHidden/>
              </w:rPr>
              <w:fldChar w:fldCharType="begin"/>
            </w:r>
            <w:r>
              <w:rPr>
                <w:noProof/>
                <w:webHidden/>
              </w:rPr>
              <w:instrText xml:space="preserve"> PAGEREF _Toc214490402 \h </w:instrText>
            </w:r>
            <w:r>
              <w:rPr>
                <w:noProof/>
                <w:webHidden/>
              </w:rPr>
            </w:r>
            <w:r>
              <w:rPr>
                <w:noProof/>
                <w:webHidden/>
              </w:rPr>
              <w:fldChar w:fldCharType="separate"/>
            </w:r>
            <w:r w:rsidR="00A62649">
              <w:rPr>
                <w:noProof/>
                <w:webHidden/>
              </w:rPr>
              <w:t>52</w:t>
            </w:r>
            <w:r>
              <w:rPr>
                <w:noProof/>
                <w:webHidden/>
              </w:rPr>
              <w:fldChar w:fldCharType="end"/>
            </w:r>
          </w:hyperlink>
        </w:p>
        <w:p w14:paraId="16A32A7B" w14:textId="77777777" w:rsidR="00442436" w:rsidRPr="00442436" w:rsidRDefault="00442436" w:rsidP="00442436"/>
        <w:p w14:paraId="0A157D0D" w14:textId="2CA2208E" w:rsidR="002C1FA9" w:rsidRDefault="002C1FA9" w:rsidP="00442436">
          <w:pPr>
            <w:pStyle w:val="TOC1"/>
            <w:rPr>
              <w:rFonts w:asciiTheme="minorHAnsi" w:eastAsiaTheme="minorEastAsia" w:hAnsiTheme="minorHAnsi" w:cstheme="minorBidi"/>
              <w:kern w:val="2"/>
              <w:lang w:val="en-US"/>
              <w14:ligatures w14:val="standardContextual"/>
            </w:rPr>
          </w:pPr>
          <w:hyperlink w:anchor="_Toc214490403" w:history="1">
            <w:r w:rsidRPr="003A7E96">
              <w:rPr>
                <w:rStyle w:val="Hyperlink"/>
              </w:rPr>
              <w:t>CHAPTER III</w:t>
            </w:r>
            <w:r>
              <w:rPr>
                <w:webHidden/>
              </w:rPr>
              <w:tab/>
            </w:r>
            <w:r>
              <w:rPr>
                <w:webHidden/>
              </w:rPr>
              <w:fldChar w:fldCharType="begin"/>
            </w:r>
            <w:r>
              <w:rPr>
                <w:webHidden/>
              </w:rPr>
              <w:instrText xml:space="preserve"> PAGEREF _Toc214490403 \h </w:instrText>
            </w:r>
            <w:r>
              <w:rPr>
                <w:webHidden/>
              </w:rPr>
            </w:r>
            <w:r>
              <w:rPr>
                <w:webHidden/>
              </w:rPr>
              <w:fldChar w:fldCharType="separate"/>
            </w:r>
            <w:r w:rsidR="00A62649">
              <w:rPr>
                <w:webHidden/>
              </w:rPr>
              <w:t>54</w:t>
            </w:r>
            <w:r>
              <w:rPr>
                <w:webHidden/>
              </w:rPr>
              <w:fldChar w:fldCharType="end"/>
            </w:r>
          </w:hyperlink>
        </w:p>
        <w:p w14:paraId="756B2380" w14:textId="1FA2BA54"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04" w:history="1">
            <w:r w:rsidRPr="003A7E96">
              <w:rPr>
                <w:rStyle w:val="Hyperlink"/>
                <w:noProof/>
              </w:rPr>
              <w:t>Methodology</w:t>
            </w:r>
            <w:r>
              <w:rPr>
                <w:noProof/>
                <w:webHidden/>
              </w:rPr>
              <w:tab/>
            </w:r>
            <w:r>
              <w:rPr>
                <w:noProof/>
                <w:webHidden/>
              </w:rPr>
              <w:fldChar w:fldCharType="begin"/>
            </w:r>
            <w:r>
              <w:rPr>
                <w:noProof/>
                <w:webHidden/>
              </w:rPr>
              <w:instrText xml:space="preserve"> PAGEREF _Toc214490404 \h </w:instrText>
            </w:r>
            <w:r>
              <w:rPr>
                <w:noProof/>
                <w:webHidden/>
              </w:rPr>
            </w:r>
            <w:r>
              <w:rPr>
                <w:noProof/>
                <w:webHidden/>
              </w:rPr>
              <w:fldChar w:fldCharType="separate"/>
            </w:r>
            <w:r w:rsidR="00A62649">
              <w:rPr>
                <w:noProof/>
                <w:webHidden/>
              </w:rPr>
              <w:t>54</w:t>
            </w:r>
            <w:r>
              <w:rPr>
                <w:noProof/>
                <w:webHidden/>
              </w:rPr>
              <w:fldChar w:fldCharType="end"/>
            </w:r>
          </w:hyperlink>
        </w:p>
        <w:p w14:paraId="2A3DE627" w14:textId="796D35F8"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05" w:history="1">
            <w:r w:rsidRPr="003A7E96">
              <w:rPr>
                <w:rStyle w:val="Hyperlink"/>
                <w:noProof/>
              </w:rPr>
              <w:t>Introduction</w:t>
            </w:r>
            <w:r>
              <w:rPr>
                <w:noProof/>
                <w:webHidden/>
              </w:rPr>
              <w:tab/>
            </w:r>
            <w:r>
              <w:rPr>
                <w:noProof/>
                <w:webHidden/>
              </w:rPr>
              <w:fldChar w:fldCharType="begin"/>
            </w:r>
            <w:r>
              <w:rPr>
                <w:noProof/>
                <w:webHidden/>
              </w:rPr>
              <w:instrText xml:space="preserve"> PAGEREF _Toc214490405 \h </w:instrText>
            </w:r>
            <w:r>
              <w:rPr>
                <w:noProof/>
                <w:webHidden/>
              </w:rPr>
            </w:r>
            <w:r>
              <w:rPr>
                <w:noProof/>
                <w:webHidden/>
              </w:rPr>
              <w:fldChar w:fldCharType="separate"/>
            </w:r>
            <w:r w:rsidR="00A62649">
              <w:rPr>
                <w:noProof/>
                <w:webHidden/>
              </w:rPr>
              <w:t>54</w:t>
            </w:r>
            <w:r>
              <w:rPr>
                <w:noProof/>
                <w:webHidden/>
              </w:rPr>
              <w:fldChar w:fldCharType="end"/>
            </w:r>
          </w:hyperlink>
        </w:p>
        <w:p w14:paraId="23B33B5D" w14:textId="7072D418"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06" w:history="1">
            <w:r w:rsidRPr="003A7E96">
              <w:rPr>
                <w:rStyle w:val="Hyperlink"/>
                <w:noProof/>
              </w:rPr>
              <w:t>Research Questions</w:t>
            </w:r>
            <w:r>
              <w:rPr>
                <w:noProof/>
                <w:webHidden/>
              </w:rPr>
              <w:tab/>
            </w:r>
            <w:r>
              <w:rPr>
                <w:noProof/>
                <w:webHidden/>
              </w:rPr>
              <w:fldChar w:fldCharType="begin"/>
            </w:r>
            <w:r>
              <w:rPr>
                <w:noProof/>
                <w:webHidden/>
              </w:rPr>
              <w:instrText xml:space="preserve"> PAGEREF _Toc214490406 \h </w:instrText>
            </w:r>
            <w:r>
              <w:rPr>
                <w:noProof/>
                <w:webHidden/>
              </w:rPr>
            </w:r>
            <w:r>
              <w:rPr>
                <w:noProof/>
                <w:webHidden/>
              </w:rPr>
              <w:fldChar w:fldCharType="separate"/>
            </w:r>
            <w:r w:rsidR="00A62649">
              <w:rPr>
                <w:noProof/>
                <w:webHidden/>
              </w:rPr>
              <w:t>54</w:t>
            </w:r>
            <w:r>
              <w:rPr>
                <w:noProof/>
                <w:webHidden/>
              </w:rPr>
              <w:fldChar w:fldCharType="end"/>
            </w:r>
          </w:hyperlink>
        </w:p>
        <w:p w14:paraId="2DF9266B" w14:textId="23349E54"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07" w:history="1">
            <w:r w:rsidRPr="003A7E96">
              <w:rPr>
                <w:rStyle w:val="Hyperlink"/>
                <w:noProof/>
              </w:rPr>
              <w:t>Study Setting</w:t>
            </w:r>
            <w:r>
              <w:rPr>
                <w:noProof/>
                <w:webHidden/>
              </w:rPr>
              <w:tab/>
            </w:r>
            <w:r>
              <w:rPr>
                <w:noProof/>
                <w:webHidden/>
              </w:rPr>
              <w:fldChar w:fldCharType="begin"/>
            </w:r>
            <w:r>
              <w:rPr>
                <w:noProof/>
                <w:webHidden/>
              </w:rPr>
              <w:instrText xml:space="preserve"> PAGEREF _Toc214490407 \h </w:instrText>
            </w:r>
            <w:r>
              <w:rPr>
                <w:noProof/>
                <w:webHidden/>
              </w:rPr>
            </w:r>
            <w:r>
              <w:rPr>
                <w:noProof/>
                <w:webHidden/>
              </w:rPr>
              <w:fldChar w:fldCharType="separate"/>
            </w:r>
            <w:r w:rsidR="00A62649">
              <w:rPr>
                <w:noProof/>
                <w:webHidden/>
              </w:rPr>
              <w:t>55</w:t>
            </w:r>
            <w:r>
              <w:rPr>
                <w:noProof/>
                <w:webHidden/>
              </w:rPr>
              <w:fldChar w:fldCharType="end"/>
            </w:r>
          </w:hyperlink>
        </w:p>
        <w:p w14:paraId="4A43A339" w14:textId="163F4007"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08" w:history="1">
            <w:r w:rsidRPr="003A7E96">
              <w:rPr>
                <w:rStyle w:val="Hyperlink"/>
                <w:noProof/>
              </w:rPr>
              <w:t>Ethics and Pilot Study</w:t>
            </w:r>
            <w:r>
              <w:rPr>
                <w:noProof/>
                <w:webHidden/>
              </w:rPr>
              <w:tab/>
            </w:r>
            <w:r>
              <w:rPr>
                <w:noProof/>
                <w:webHidden/>
              </w:rPr>
              <w:fldChar w:fldCharType="begin"/>
            </w:r>
            <w:r>
              <w:rPr>
                <w:noProof/>
                <w:webHidden/>
              </w:rPr>
              <w:instrText xml:space="preserve"> PAGEREF _Toc214490408 \h </w:instrText>
            </w:r>
            <w:r>
              <w:rPr>
                <w:noProof/>
                <w:webHidden/>
              </w:rPr>
            </w:r>
            <w:r>
              <w:rPr>
                <w:noProof/>
                <w:webHidden/>
              </w:rPr>
              <w:fldChar w:fldCharType="separate"/>
            </w:r>
            <w:r w:rsidR="00A62649">
              <w:rPr>
                <w:noProof/>
                <w:webHidden/>
              </w:rPr>
              <w:t>56</w:t>
            </w:r>
            <w:r>
              <w:rPr>
                <w:noProof/>
                <w:webHidden/>
              </w:rPr>
              <w:fldChar w:fldCharType="end"/>
            </w:r>
          </w:hyperlink>
        </w:p>
        <w:p w14:paraId="1FD99F12" w14:textId="668C0DEC"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09" w:history="1">
            <w:r w:rsidRPr="003A7E96">
              <w:rPr>
                <w:rStyle w:val="Hyperlink"/>
                <w:noProof/>
              </w:rPr>
              <w:t>Sampling Procedure</w:t>
            </w:r>
            <w:r>
              <w:rPr>
                <w:noProof/>
                <w:webHidden/>
              </w:rPr>
              <w:tab/>
            </w:r>
            <w:r>
              <w:rPr>
                <w:noProof/>
                <w:webHidden/>
              </w:rPr>
              <w:fldChar w:fldCharType="begin"/>
            </w:r>
            <w:r>
              <w:rPr>
                <w:noProof/>
                <w:webHidden/>
              </w:rPr>
              <w:instrText xml:space="preserve"> PAGEREF _Toc214490409 \h </w:instrText>
            </w:r>
            <w:r>
              <w:rPr>
                <w:noProof/>
                <w:webHidden/>
              </w:rPr>
            </w:r>
            <w:r>
              <w:rPr>
                <w:noProof/>
                <w:webHidden/>
              </w:rPr>
              <w:fldChar w:fldCharType="separate"/>
            </w:r>
            <w:r w:rsidR="00A62649">
              <w:rPr>
                <w:noProof/>
                <w:webHidden/>
              </w:rPr>
              <w:t>56</w:t>
            </w:r>
            <w:r>
              <w:rPr>
                <w:noProof/>
                <w:webHidden/>
              </w:rPr>
              <w:fldChar w:fldCharType="end"/>
            </w:r>
          </w:hyperlink>
        </w:p>
        <w:p w14:paraId="7AB83573" w14:textId="42F24B75"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10" w:history="1">
            <w:r w:rsidRPr="003A7E96">
              <w:rPr>
                <w:rStyle w:val="Hyperlink"/>
                <w:noProof/>
              </w:rPr>
              <w:t>Participants</w:t>
            </w:r>
            <w:r>
              <w:rPr>
                <w:noProof/>
                <w:webHidden/>
              </w:rPr>
              <w:tab/>
            </w:r>
            <w:r>
              <w:rPr>
                <w:noProof/>
                <w:webHidden/>
              </w:rPr>
              <w:fldChar w:fldCharType="begin"/>
            </w:r>
            <w:r>
              <w:rPr>
                <w:noProof/>
                <w:webHidden/>
              </w:rPr>
              <w:instrText xml:space="preserve"> PAGEREF _Toc214490410 \h </w:instrText>
            </w:r>
            <w:r>
              <w:rPr>
                <w:noProof/>
                <w:webHidden/>
              </w:rPr>
            </w:r>
            <w:r>
              <w:rPr>
                <w:noProof/>
                <w:webHidden/>
              </w:rPr>
              <w:fldChar w:fldCharType="separate"/>
            </w:r>
            <w:r w:rsidR="00A62649">
              <w:rPr>
                <w:noProof/>
                <w:webHidden/>
              </w:rPr>
              <w:t>57</w:t>
            </w:r>
            <w:r>
              <w:rPr>
                <w:noProof/>
                <w:webHidden/>
              </w:rPr>
              <w:fldChar w:fldCharType="end"/>
            </w:r>
          </w:hyperlink>
        </w:p>
        <w:p w14:paraId="07E77AA9" w14:textId="608784E7"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11" w:history="1">
            <w:r w:rsidRPr="003A7E96">
              <w:rPr>
                <w:rStyle w:val="Hyperlink"/>
                <w:noProof/>
              </w:rPr>
              <w:t>Instrument</w:t>
            </w:r>
            <w:r>
              <w:rPr>
                <w:noProof/>
                <w:webHidden/>
              </w:rPr>
              <w:tab/>
            </w:r>
            <w:r>
              <w:rPr>
                <w:noProof/>
                <w:webHidden/>
              </w:rPr>
              <w:fldChar w:fldCharType="begin"/>
            </w:r>
            <w:r>
              <w:rPr>
                <w:noProof/>
                <w:webHidden/>
              </w:rPr>
              <w:instrText xml:space="preserve"> PAGEREF _Toc214490411 \h </w:instrText>
            </w:r>
            <w:r>
              <w:rPr>
                <w:noProof/>
                <w:webHidden/>
              </w:rPr>
            </w:r>
            <w:r>
              <w:rPr>
                <w:noProof/>
                <w:webHidden/>
              </w:rPr>
              <w:fldChar w:fldCharType="separate"/>
            </w:r>
            <w:r w:rsidR="00A62649">
              <w:rPr>
                <w:noProof/>
                <w:webHidden/>
              </w:rPr>
              <w:t>57</w:t>
            </w:r>
            <w:r>
              <w:rPr>
                <w:noProof/>
                <w:webHidden/>
              </w:rPr>
              <w:fldChar w:fldCharType="end"/>
            </w:r>
          </w:hyperlink>
        </w:p>
        <w:p w14:paraId="56595EDD" w14:textId="5D707AAB"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12" w:history="1">
            <w:r w:rsidRPr="003A7E96">
              <w:rPr>
                <w:rStyle w:val="Hyperlink"/>
                <w:noProof/>
              </w:rPr>
              <w:t>YQOL-DHH Survey Modification</w:t>
            </w:r>
            <w:r>
              <w:rPr>
                <w:noProof/>
                <w:webHidden/>
              </w:rPr>
              <w:tab/>
            </w:r>
            <w:r>
              <w:rPr>
                <w:noProof/>
                <w:webHidden/>
              </w:rPr>
              <w:fldChar w:fldCharType="begin"/>
            </w:r>
            <w:r>
              <w:rPr>
                <w:noProof/>
                <w:webHidden/>
              </w:rPr>
              <w:instrText xml:space="preserve"> PAGEREF _Toc214490412 \h </w:instrText>
            </w:r>
            <w:r>
              <w:rPr>
                <w:noProof/>
                <w:webHidden/>
              </w:rPr>
            </w:r>
            <w:r>
              <w:rPr>
                <w:noProof/>
                <w:webHidden/>
              </w:rPr>
              <w:fldChar w:fldCharType="separate"/>
            </w:r>
            <w:r w:rsidR="00A62649">
              <w:rPr>
                <w:noProof/>
                <w:webHidden/>
              </w:rPr>
              <w:t>59</w:t>
            </w:r>
            <w:r>
              <w:rPr>
                <w:noProof/>
                <w:webHidden/>
              </w:rPr>
              <w:fldChar w:fldCharType="end"/>
            </w:r>
          </w:hyperlink>
        </w:p>
        <w:p w14:paraId="3D992A57" w14:textId="1D9CF5DC"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13" w:history="1">
            <w:r w:rsidRPr="003A7E96">
              <w:rPr>
                <w:rStyle w:val="Hyperlink"/>
                <w:noProof/>
              </w:rPr>
              <w:t>AQOL-DHH Survey Questions</w:t>
            </w:r>
            <w:r>
              <w:rPr>
                <w:noProof/>
                <w:webHidden/>
              </w:rPr>
              <w:tab/>
            </w:r>
            <w:r>
              <w:rPr>
                <w:noProof/>
                <w:webHidden/>
              </w:rPr>
              <w:fldChar w:fldCharType="begin"/>
            </w:r>
            <w:r>
              <w:rPr>
                <w:noProof/>
                <w:webHidden/>
              </w:rPr>
              <w:instrText xml:space="preserve"> PAGEREF _Toc214490413 \h </w:instrText>
            </w:r>
            <w:r>
              <w:rPr>
                <w:noProof/>
                <w:webHidden/>
              </w:rPr>
            </w:r>
            <w:r>
              <w:rPr>
                <w:noProof/>
                <w:webHidden/>
              </w:rPr>
              <w:fldChar w:fldCharType="separate"/>
            </w:r>
            <w:r w:rsidR="00A62649">
              <w:rPr>
                <w:noProof/>
                <w:webHidden/>
              </w:rPr>
              <w:t>60</w:t>
            </w:r>
            <w:r>
              <w:rPr>
                <w:noProof/>
                <w:webHidden/>
              </w:rPr>
              <w:fldChar w:fldCharType="end"/>
            </w:r>
          </w:hyperlink>
        </w:p>
        <w:p w14:paraId="37FA0E38" w14:textId="2D9FFD53"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14" w:history="1">
            <w:r w:rsidRPr="003A7E96">
              <w:rPr>
                <w:rStyle w:val="Hyperlink"/>
                <w:noProof/>
              </w:rPr>
              <w:t>Study Procedures</w:t>
            </w:r>
            <w:r>
              <w:rPr>
                <w:noProof/>
                <w:webHidden/>
              </w:rPr>
              <w:tab/>
            </w:r>
            <w:r>
              <w:rPr>
                <w:noProof/>
                <w:webHidden/>
              </w:rPr>
              <w:fldChar w:fldCharType="begin"/>
            </w:r>
            <w:r>
              <w:rPr>
                <w:noProof/>
                <w:webHidden/>
              </w:rPr>
              <w:instrText xml:space="preserve"> PAGEREF _Toc214490414 \h </w:instrText>
            </w:r>
            <w:r>
              <w:rPr>
                <w:noProof/>
                <w:webHidden/>
              </w:rPr>
            </w:r>
            <w:r>
              <w:rPr>
                <w:noProof/>
                <w:webHidden/>
              </w:rPr>
              <w:fldChar w:fldCharType="separate"/>
            </w:r>
            <w:r w:rsidR="00A62649">
              <w:rPr>
                <w:noProof/>
                <w:webHidden/>
              </w:rPr>
              <w:t>60</w:t>
            </w:r>
            <w:r>
              <w:rPr>
                <w:noProof/>
                <w:webHidden/>
              </w:rPr>
              <w:fldChar w:fldCharType="end"/>
            </w:r>
          </w:hyperlink>
        </w:p>
        <w:p w14:paraId="0F00402E" w14:textId="648E4F40"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15" w:history="1">
            <w:r w:rsidRPr="003A7E96">
              <w:rPr>
                <w:rStyle w:val="Hyperlink"/>
                <w:noProof/>
              </w:rPr>
              <w:t>Variables</w:t>
            </w:r>
            <w:r>
              <w:rPr>
                <w:noProof/>
                <w:webHidden/>
              </w:rPr>
              <w:tab/>
            </w:r>
            <w:r>
              <w:rPr>
                <w:noProof/>
                <w:webHidden/>
              </w:rPr>
              <w:fldChar w:fldCharType="begin"/>
            </w:r>
            <w:r>
              <w:rPr>
                <w:noProof/>
                <w:webHidden/>
              </w:rPr>
              <w:instrText xml:space="preserve"> PAGEREF _Toc214490415 \h </w:instrText>
            </w:r>
            <w:r>
              <w:rPr>
                <w:noProof/>
                <w:webHidden/>
              </w:rPr>
            </w:r>
            <w:r>
              <w:rPr>
                <w:noProof/>
                <w:webHidden/>
              </w:rPr>
              <w:fldChar w:fldCharType="separate"/>
            </w:r>
            <w:r w:rsidR="00A62649">
              <w:rPr>
                <w:noProof/>
                <w:webHidden/>
              </w:rPr>
              <w:t>61</w:t>
            </w:r>
            <w:r>
              <w:rPr>
                <w:noProof/>
                <w:webHidden/>
              </w:rPr>
              <w:fldChar w:fldCharType="end"/>
            </w:r>
          </w:hyperlink>
        </w:p>
        <w:p w14:paraId="17AAE347" w14:textId="3DDE0314"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16" w:history="1">
            <w:r w:rsidRPr="003A7E96">
              <w:rPr>
                <w:rStyle w:val="Hyperlink"/>
                <w:noProof/>
              </w:rPr>
              <w:t>Design</w:t>
            </w:r>
            <w:r>
              <w:rPr>
                <w:noProof/>
                <w:webHidden/>
              </w:rPr>
              <w:tab/>
            </w:r>
            <w:r>
              <w:rPr>
                <w:noProof/>
                <w:webHidden/>
              </w:rPr>
              <w:fldChar w:fldCharType="begin"/>
            </w:r>
            <w:r>
              <w:rPr>
                <w:noProof/>
                <w:webHidden/>
              </w:rPr>
              <w:instrText xml:space="preserve"> PAGEREF _Toc214490416 \h </w:instrText>
            </w:r>
            <w:r>
              <w:rPr>
                <w:noProof/>
                <w:webHidden/>
              </w:rPr>
            </w:r>
            <w:r>
              <w:rPr>
                <w:noProof/>
                <w:webHidden/>
              </w:rPr>
              <w:fldChar w:fldCharType="separate"/>
            </w:r>
            <w:r w:rsidR="00A62649">
              <w:rPr>
                <w:noProof/>
                <w:webHidden/>
              </w:rPr>
              <w:t>61</w:t>
            </w:r>
            <w:r>
              <w:rPr>
                <w:noProof/>
                <w:webHidden/>
              </w:rPr>
              <w:fldChar w:fldCharType="end"/>
            </w:r>
          </w:hyperlink>
        </w:p>
        <w:p w14:paraId="11DDE7F9" w14:textId="002EA8E7"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17" w:history="1">
            <w:r w:rsidRPr="003A7E96">
              <w:rPr>
                <w:rStyle w:val="Hyperlink"/>
                <w:noProof/>
              </w:rPr>
              <w:t>Data Analysis</w:t>
            </w:r>
            <w:r>
              <w:rPr>
                <w:noProof/>
                <w:webHidden/>
              </w:rPr>
              <w:tab/>
            </w:r>
            <w:r>
              <w:rPr>
                <w:noProof/>
                <w:webHidden/>
              </w:rPr>
              <w:fldChar w:fldCharType="begin"/>
            </w:r>
            <w:r>
              <w:rPr>
                <w:noProof/>
                <w:webHidden/>
              </w:rPr>
              <w:instrText xml:space="preserve"> PAGEREF _Toc214490417 \h </w:instrText>
            </w:r>
            <w:r>
              <w:rPr>
                <w:noProof/>
                <w:webHidden/>
              </w:rPr>
            </w:r>
            <w:r>
              <w:rPr>
                <w:noProof/>
                <w:webHidden/>
              </w:rPr>
              <w:fldChar w:fldCharType="separate"/>
            </w:r>
            <w:r w:rsidR="00A62649">
              <w:rPr>
                <w:noProof/>
                <w:webHidden/>
              </w:rPr>
              <w:t>64</w:t>
            </w:r>
            <w:r>
              <w:rPr>
                <w:noProof/>
                <w:webHidden/>
              </w:rPr>
              <w:fldChar w:fldCharType="end"/>
            </w:r>
          </w:hyperlink>
        </w:p>
        <w:p w14:paraId="0918F262" w14:textId="6E9D9924" w:rsidR="002C1FA9" w:rsidRDefault="002C1FA9">
          <w:pPr>
            <w:pStyle w:val="TOC4"/>
            <w:tabs>
              <w:tab w:val="right" w:leader="dot" w:pos="9440"/>
            </w:tabs>
            <w:rPr>
              <w:rStyle w:val="Hyperlink"/>
              <w:noProof/>
            </w:rPr>
          </w:pPr>
          <w:hyperlink w:anchor="_Toc214490418" w:history="1">
            <w:r w:rsidRPr="003A7E96">
              <w:rPr>
                <w:rStyle w:val="Hyperlink"/>
                <w:noProof/>
              </w:rPr>
              <w:t>Analysis by Questions</w:t>
            </w:r>
            <w:r>
              <w:rPr>
                <w:noProof/>
                <w:webHidden/>
              </w:rPr>
              <w:tab/>
            </w:r>
            <w:r>
              <w:rPr>
                <w:noProof/>
                <w:webHidden/>
              </w:rPr>
              <w:fldChar w:fldCharType="begin"/>
            </w:r>
            <w:r>
              <w:rPr>
                <w:noProof/>
                <w:webHidden/>
              </w:rPr>
              <w:instrText xml:space="preserve"> PAGEREF _Toc214490418 \h </w:instrText>
            </w:r>
            <w:r>
              <w:rPr>
                <w:noProof/>
                <w:webHidden/>
              </w:rPr>
            </w:r>
            <w:r>
              <w:rPr>
                <w:noProof/>
                <w:webHidden/>
              </w:rPr>
              <w:fldChar w:fldCharType="separate"/>
            </w:r>
            <w:r w:rsidR="00A62649">
              <w:rPr>
                <w:noProof/>
                <w:webHidden/>
              </w:rPr>
              <w:t>64</w:t>
            </w:r>
            <w:r>
              <w:rPr>
                <w:noProof/>
                <w:webHidden/>
              </w:rPr>
              <w:fldChar w:fldCharType="end"/>
            </w:r>
          </w:hyperlink>
        </w:p>
        <w:p w14:paraId="291E8CF4" w14:textId="77777777" w:rsidR="00442436" w:rsidRPr="00442436" w:rsidRDefault="00442436" w:rsidP="00442436"/>
        <w:p w14:paraId="1D17528D" w14:textId="0367D90F" w:rsidR="002C1FA9" w:rsidRDefault="002C1FA9" w:rsidP="00442436">
          <w:pPr>
            <w:pStyle w:val="TOC1"/>
            <w:rPr>
              <w:rFonts w:asciiTheme="minorHAnsi" w:eastAsiaTheme="minorEastAsia" w:hAnsiTheme="minorHAnsi" w:cstheme="minorBidi"/>
              <w:kern w:val="2"/>
              <w:lang w:val="en-US"/>
              <w14:ligatures w14:val="standardContextual"/>
            </w:rPr>
          </w:pPr>
          <w:hyperlink w:anchor="_Toc214490419" w:history="1">
            <w:r w:rsidRPr="003A7E96">
              <w:rPr>
                <w:rStyle w:val="Hyperlink"/>
              </w:rPr>
              <w:t>CHAPTER IV</w:t>
            </w:r>
            <w:r>
              <w:rPr>
                <w:webHidden/>
              </w:rPr>
              <w:tab/>
            </w:r>
            <w:r>
              <w:rPr>
                <w:webHidden/>
              </w:rPr>
              <w:fldChar w:fldCharType="begin"/>
            </w:r>
            <w:r>
              <w:rPr>
                <w:webHidden/>
              </w:rPr>
              <w:instrText xml:space="preserve"> PAGEREF _Toc214490419 \h </w:instrText>
            </w:r>
            <w:r>
              <w:rPr>
                <w:webHidden/>
              </w:rPr>
            </w:r>
            <w:r>
              <w:rPr>
                <w:webHidden/>
              </w:rPr>
              <w:fldChar w:fldCharType="separate"/>
            </w:r>
            <w:r w:rsidR="00A62649">
              <w:rPr>
                <w:webHidden/>
              </w:rPr>
              <w:t>68</w:t>
            </w:r>
            <w:r>
              <w:rPr>
                <w:webHidden/>
              </w:rPr>
              <w:fldChar w:fldCharType="end"/>
            </w:r>
          </w:hyperlink>
        </w:p>
        <w:p w14:paraId="22C6A080" w14:textId="67E3AE46"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20" w:history="1">
            <w:r w:rsidRPr="003A7E96">
              <w:rPr>
                <w:rStyle w:val="Hyperlink"/>
                <w:noProof/>
              </w:rPr>
              <w:t>Results</w:t>
            </w:r>
            <w:r>
              <w:rPr>
                <w:noProof/>
                <w:webHidden/>
              </w:rPr>
              <w:tab/>
            </w:r>
            <w:r>
              <w:rPr>
                <w:noProof/>
                <w:webHidden/>
              </w:rPr>
              <w:fldChar w:fldCharType="begin"/>
            </w:r>
            <w:r>
              <w:rPr>
                <w:noProof/>
                <w:webHidden/>
              </w:rPr>
              <w:instrText xml:space="preserve"> PAGEREF _Toc214490420 \h </w:instrText>
            </w:r>
            <w:r>
              <w:rPr>
                <w:noProof/>
                <w:webHidden/>
              </w:rPr>
            </w:r>
            <w:r>
              <w:rPr>
                <w:noProof/>
                <w:webHidden/>
              </w:rPr>
              <w:fldChar w:fldCharType="separate"/>
            </w:r>
            <w:r w:rsidR="00A62649">
              <w:rPr>
                <w:noProof/>
                <w:webHidden/>
              </w:rPr>
              <w:t>68</w:t>
            </w:r>
            <w:r>
              <w:rPr>
                <w:noProof/>
                <w:webHidden/>
              </w:rPr>
              <w:fldChar w:fldCharType="end"/>
            </w:r>
          </w:hyperlink>
        </w:p>
        <w:p w14:paraId="39080799" w14:textId="68501839"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21" w:history="1">
            <w:r w:rsidRPr="003A7E96">
              <w:rPr>
                <w:rStyle w:val="Hyperlink"/>
                <w:noProof/>
              </w:rPr>
              <w:t>Descriptive Statistics of Survey Respondents</w:t>
            </w:r>
            <w:r>
              <w:rPr>
                <w:noProof/>
                <w:webHidden/>
              </w:rPr>
              <w:tab/>
            </w:r>
            <w:r>
              <w:rPr>
                <w:noProof/>
                <w:webHidden/>
              </w:rPr>
              <w:fldChar w:fldCharType="begin"/>
            </w:r>
            <w:r>
              <w:rPr>
                <w:noProof/>
                <w:webHidden/>
              </w:rPr>
              <w:instrText xml:space="preserve"> PAGEREF _Toc214490421 \h </w:instrText>
            </w:r>
            <w:r>
              <w:rPr>
                <w:noProof/>
                <w:webHidden/>
              </w:rPr>
            </w:r>
            <w:r>
              <w:rPr>
                <w:noProof/>
                <w:webHidden/>
              </w:rPr>
              <w:fldChar w:fldCharType="separate"/>
            </w:r>
            <w:r w:rsidR="00A62649">
              <w:rPr>
                <w:noProof/>
                <w:webHidden/>
              </w:rPr>
              <w:t>68</w:t>
            </w:r>
            <w:r>
              <w:rPr>
                <w:noProof/>
                <w:webHidden/>
              </w:rPr>
              <w:fldChar w:fldCharType="end"/>
            </w:r>
          </w:hyperlink>
        </w:p>
        <w:p w14:paraId="04183BCC" w14:textId="1242770A"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22" w:history="1">
            <w:r w:rsidRPr="003A7E96">
              <w:rPr>
                <w:rStyle w:val="Hyperlink"/>
                <w:noProof/>
              </w:rPr>
              <w:t>Results of the Research Questions</w:t>
            </w:r>
            <w:r>
              <w:rPr>
                <w:noProof/>
                <w:webHidden/>
              </w:rPr>
              <w:tab/>
            </w:r>
            <w:r>
              <w:rPr>
                <w:noProof/>
                <w:webHidden/>
              </w:rPr>
              <w:fldChar w:fldCharType="begin"/>
            </w:r>
            <w:r>
              <w:rPr>
                <w:noProof/>
                <w:webHidden/>
              </w:rPr>
              <w:instrText xml:space="preserve"> PAGEREF _Toc214490422 \h </w:instrText>
            </w:r>
            <w:r>
              <w:rPr>
                <w:noProof/>
                <w:webHidden/>
              </w:rPr>
            </w:r>
            <w:r>
              <w:rPr>
                <w:noProof/>
                <w:webHidden/>
              </w:rPr>
              <w:fldChar w:fldCharType="separate"/>
            </w:r>
            <w:r w:rsidR="00A62649">
              <w:rPr>
                <w:noProof/>
                <w:webHidden/>
              </w:rPr>
              <w:t>69</w:t>
            </w:r>
            <w:r>
              <w:rPr>
                <w:noProof/>
                <w:webHidden/>
              </w:rPr>
              <w:fldChar w:fldCharType="end"/>
            </w:r>
          </w:hyperlink>
        </w:p>
        <w:p w14:paraId="30BAB1F7" w14:textId="3CCA4EDA"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23" w:history="1">
            <w:r w:rsidRPr="003A7E96">
              <w:rPr>
                <w:rStyle w:val="Hyperlink"/>
                <w:noProof/>
              </w:rPr>
              <w:t>Research Question 1</w:t>
            </w:r>
            <w:r>
              <w:rPr>
                <w:noProof/>
                <w:webHidden/>
              </w:rPr>
              <w:tab/>
            </w:r>
            <w:r>
              <w:rPr>
                <w:noProof/>
                <w:webHidden/>
              </w:rPr>
              <w:fldChar w:fldCharType="begin"/>
            </w:r>
            <w:r>
              <w:rPr>
                <w:noProof/>
                <w:webHidden/>
              </w:rPr>
              <w:instrText xml:space="preserve"> PAGEREF _Toc214490423 \h </w:instrText>
            </w:r>
            <w:r>
              <w:rPr>
                <w:noProof/>
                <w:webHidden/>
              </w:rPr>
            </w:r>
            <w:r>
              <w:rPr>
                <w:noProof/>
                <w:webHidden/>
              </w:rPr>
              <w:fldChar w:fldCharType="separate"/>
            </w:r>
            <w:r w:rsidR="00A62649">
              <w:rPr>
                <w:noProof/>
                <w:webHidden/>
              </w:rPr>
              <w:t>69</w:t>
            </w:r>
            <w:r>
              <w:rPr>
                <w:noProof/>
                <w:webHidden/>
              </w:rPr>
              <w:fldChar w:fldCharType="end"/>
            </w:r>
          </w:hyperlink>
        </w:p>
        <w:p w14:paraId="054A14B2" w14:textId="03F0E363"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24" w:history="1">
            <w:r w:rsidRPr="003A7E96">
              <w:rPr>
                <w:rStyle w:val="Hyperlink"/>
                <w:noProof/>
              </w:rPr>
              <w:t>Research Question 2</w:t>
            </w:r>
            <w:r>
              <w:rPr>
                <w:noProof/>
                <w:webHidden/>
              </w:rPr>
              <w:tab/>
            </w:r>
            <w:r>
              <w:rPr>
                <w:noProof/>
                <w:webHidden/>
              </w:rPr>
              <w:fldChar w:fldCharType="begin"/>
            </w:r>
            <w:r>
              <w:rPr>
                <w:noProof/>
                <w:webHidden/>
              </w:rPr>
              <w:instrText xml:space="preserve"> PAGEREF _Toc214490424 \h </w:instrText>
            </w:r>
            <w:r>
              <w:rPr>
                <w:noProof/>
                <w:webHidden/>
              </w:rPr>
            </w:r>
            <w:r>
              <w:rPr>
                <w:noProof/>
                <w:webHidden/>
              </w:rPr>
              <w:fldChar w:fldCharType="separate"/>
            </w:r>
            <w:r w:rsidR="00A62649">
              <w:rPr>
                <w:noProof/>
                <w:webHidden/>
              </w:rPr>
              <w:t>76</w:t>
            </w:r>
            <w:r>
              <w:rPr>
                <w:noProof/>
                <w:webHidden/>
              </w:rPr>
              <w:fldChar w:fldCharType="end"/>
            </w:r>
          </w:hyperlink>
        </w:p>
        <w:p w14:paraId="06089A7A" w14:textId="5633ABF9"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25" w:history="1">
            <w:r w:rsidRPr="003A7E96">
              <w:rPr>
                <w:rStyle w:val="Hyperlink"/>
                <w:noProof/>
              </w:rPr>
              <w:t>Research Question 3</w:t>
            </w:r>
            <w:r>
              <w:rPr>
                <w:noProof/>
                <w:webHidden/>
              </w:rPr>
              <w:tab/>
            </w:r>
            <w:r>
              <w:rPr>
                <w:noProof/>
                <w:webHidden/>
              </w:rPr>
              <w:fldChar w:fldCharType="begin"/>
            </w:r>
            <w:r>
              <w:rPr>
                <w:noProof/>
                <w:webHidden/>
              </w:rPr>
              <w:instrText xml:space="preserve"> PAGEREF _Toc214490425 \h </w:instrText>
            </w:r>
            <w:r>
              <w:rPr>
                <w:noProof/>
                <w:webHidden/>
              </w:rPr>
            </w:r>
            <w:r>
              <w:rPr>
                <w:noProof/>
                <w:webHidden/>
              </w:rPr>
              <w:fldChar w:fldCharType="separate"/>
            </w:r>
            <w:r w:rsidR="00A62649">
              <w:rPr>
                <w:noProof/>
                <w:webHidden/>
              </w:rPr>
              <w:t>80</w:t>
            </w:r>
            <w:r>
              <w:rPr>
                <w:noProof/>
                <w:webHidden/>
              </w:rPr>
              <w:fldChar w:fldCharType="end"/>
            </w:r>
          </w:hyperlink>
        </w:p>
        <w:p w14:paraId="131AFB70" w14:textId="5949442A" w:rsidR="002C1FA9" w:rsidRDefault="002C1FA9">
          <w:pPr>
            <w:pStyle w:val="TOC3"/>
            <w:tabs>
              <w:tab w:val="right" w:leader="dot" w:pos="9440"/>
            </w:tabs>
            <w:rPr>
              <w:rStyle w:val="Hyperlink"/>
              <w:noProof/>
            </w:rPr>
          </w:pPr>
          <w:hyperlink w:anchor="_Toc214490426" w:history="1">
            <w:r w:rsidRPr="003A7E96">
              <w:rPr>
                <w:rStyle w:val="Hyperlink"/>
                <w:noProof/>
              </w:rPr>
              <w:t>Summary</w:t>
            </w:r>
            <w:r>
              <w:rPr>
                <w:noProof/>
                <w:webHidden/>
              </w:rPr>
              <w:tab/>
            </w:r>
            <w:r>
              <w:rPr>
                <w:noProof/>
                <w:webHidden/>
              </w:rPr>
              <w:fldChar w:fldCharType="begin"/>
            </w:r>
            <w:r>
              <w:rPr>
                <w:noProof/>
                <w:webHidden/>
              </w:rPr>
              <w:instrText xml:space="preserve"> PAGEREF _Toc214490426 \h </w:instrText>
            </w:r>
            <w:r>
              <w:rPr>
                <w:noProof/>
                <w:webHidden/>
              </w:rPr>
            </w:r>
            <w:r>
              <w:rPr>
                <w:noProof/>
                <w:webHidden/>
              </w:rPr>
              <w:fldChar w:fldCharType="separate"/>
            </w:r>
            <w:r w:rsidR="00A62649">
              <w:rPr>
                <w:noProof/>
                <w:webHidden/>
              </w:rPr>
              <w:t>87</w:t>
            </w:r>
            <w:r>
              <w:rPr>
                <w:noProof/>
                <w:webHidden/>
              </w:rPr>
              <w:fldChar w:fldCharType="end"/>
            </w:r>
          </w:hyperlink>
        </w:p>
        <w:p w14:paraId="18A2F6D6" w14:textId="77777777" w:rsidR="00442436" w:rsidRPr="00442436" w:rsidRDefault="00442436" w:rsidP="00442436"/>
        <w:p w14:paraId="0D2CA53F" w14:textId="39CC9CC2" w:rsidR="002C1FA9" w:rsidRDefault="002C1FA9" w:rsidP="00442436">
          <w:pPr>
            <w:pStyle w:val="TOC1"/>
            <w:rPr>
              <w:rFonts w:asciiTheme="minorHAnsi" w:eastAsiaTheme="minorEastAsia" w:hAnsiTheme="minorHAnsi" w:cstheme="minorBidi"/>
              <w:kern w:val="2"/>
              <w:lang w:val="en-US"/>
              <w14:ligatures w14:val="standardContextual"/>
            </w:rPr>
          </w:pPr>
          <w:hyperlink w:anchor="_Toc214490427" w:history="1">
            <w:r w:rsidRPr="003A7E96">
              <w:rPr>
                <w:rStyle w:val="Hyperlink"/>
              </w:rPr>
              <w:t>CHAPTER V</w:t>
            </w:r>
            <w:r>
              <w:rPr>
                <w:webHidden/>
              </w:rPr>
              <w:tab/>
            </w:r>
            <w:r>
              <w:rPr>
                <w:webHidden/>
              </w:rPr>
              <w:fldChar w:fldCharType="begin"/>
            </w:r>
            <w:r>
              <w:rPr>
                <w:webHidden/>
              </w:rPr>
              <w:instrText xml:space="preserve"> PAGEREF _Toc214490427 \h </w:instrText>
            </w:r>
            <w:r>
              <w:rPr>
                <w:webHidden/>
              </w:rPr>
            </w:r>
            <w:r>
              <w:rPr>
                <w:webHidden/>
              </w:rPr>
              <w:fldChar w:fldCharType="separate"/>
            </w:r>
            <w:r w:rsidR="00A62649">
              <w:rPr>
                <w:webHidden/>
              </w:rPr>
              <w:t>89</w:t>
            </w:r>
            <w:r>
              <w:rPr>
                <w:webHidden/>
              </w:rPr>
              <w:fldChar w:fldCharType="end"/>
            </w:r>
          </w:hyperlink>
        </w:p>
        <w:p w14:paraId="04CC2626" w14:textId="06D2313D"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28" w:history="1">
            <w:r w:rsidRPr="003A7E96">
              <w:rPr>
                <w:rStyle w:val="Hyperlink"/>
                <w:noProof/>
              </w:rPr>
              <w:t>Discussion, Limitations, and Future Research</w:t>
            </w:r>
            <w:r>
              <w:rPr>
                <w:noProof/>
                <w:webHidden/>
              </w:rPr>
              <w:tab/>
            </w:r>
            <w:r>
              <w:rPr>
                <w:noProof/>
                <w:webHidden/>
              </w:rPr>
              <w:fldChar w:fldCharType="begin"/>
            </w:r>
            <w:r>
              <w:rPr>
                <w:noProof/>
                <w:webHidden/>
              </w:rPr>
              <w:instrText xml:space="preserve"> PAGEREF _Toc214490428 \h </w:instrText>
            </w:r>
            <w:r>
              <w:rPr>
                <w:noProof/>
                <w:webHidden/>
              </w:rPr>
            </w:r>
            <w:r>
              <w:rPr>
                <w:noProof/>
                <w:webHidden/>
              </w:rPr>
              <w:fldChar w:fldCharType="separate"/>
            </w:r>
            <w:r w:rsidR="00A62649">
              <w:rPr>
                <w:noProof/>
                <w:webHidden/>
              </w:rPr>
              <w:t>89</w:t>
            </w:r>
            <w:r>
              <w:rPr>
                <w:noProof/>
                <w:webHidden/>
              </w:rPr>
              <w:fldChar w:fldCharType="end"/>
            </w:r>
          </w:hyperlink>
        </w:p>
        <w:p w14:paraId="26E0457D" w14:textId="4AAC366F"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29" w:history="1">
            <w:r w:rsidRPr="003A7E96">
              <w:rPr>
                <w:rStyle w:val="Hyperlink"/>
                <w:noProof/>
              </w:rPr>
              <w:t>Summary of the Research Analyses</w:t>
            </w:r>
            <w:r>
              <w:rPr>
                <w:noProof/>
                <w:webHidden/>
              </w:rPr>
              <w:tab/>
            </w:r>
            <w:r>
              <w:rPr>
                <w:noProof/>
                <w:webHidden/>
              </w:rPr>
              <w:fldChar w:fldCharType="begin"/>
            </w:r>
            <w:r>
              <w:rPr>
                <w:noProof/>
                <w:webHidden/>
              </w:rPr>
              <w:instrText xml:space="preserve"> PAGEREF _Toc214490429 \h </w:instrText>
            </w:r>
            <w:r>
              <w:rPr>
                <w:noProof/>
                <w:webHidden/>
              </w:rPr>
            </w:r>
            <w:r>
              <w:rPr>
                <w:noProof/>
                <w:webHidden/>
              </w:rPr>
              <w:fldChar w:fldCharType="separate"/>
            </w:r>
            <w:r w:rsidR="00A62649">
              <w:rPr>
                <w:noProof/>
                <w:webHidden/>
              </w:rPr>
              <w:t>89</w:t>
            </w:r>
            <w:r>
              <w:rPr>
                <w:noProof/>
                <w:webHidden/>
              </w:rPr>
              <w:fldChar w:fldCharType="end"/>
            </w:r>
          </w:hyperlink>
        </w:p>
        <w:p w14:paraId="04D6A368" w14:textId="6650B764"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30" w:history="1">
            <w:r w:rsidRPr="003A7E96">
              <w:rPr>
                <w:rStyle w:val="Hyperlink"/>
                <w:noProof/>
              </w:rPr>
              <w:t>Preferred Signed Communication in Malaysia</w:t>
            </w:r>
            <w:r>
              <w:rPr>
                <w:noProof/>
                <w:webHidden/>
              </w:rPr>
              <w:tab/>
            </w:r>
            <w:r>
              <w:rPr>
                <w:noProof/>
                <w:webHidden/>
              </w:rPr>
              <w:fldChar w:fldCharType="begin"/>
            </w:r>
            <w:r>
              <w:rPr>
                <w:noProof/>
                <w:webHidden/>
              </w:rPr>
              <w:instrText xml:space="preserve"> PAGEREF _Toc214490430 \h </w:instrText>
            </w:r>
            <w:r>
              <w:rPr>
                <w:noProof/>
                <w:webHidden/>
              </w:rPr>
            </w:r>
            <w:r>
              <w:rPr>
                <w:noProof/>
                <w:webHidden/>
              </w:rPr>
              <w:fldChar w:fldCharType="separate"/>
            </w:r>
            <w:r w:rsidR="00A62649">
              <w:rPr>
                <w:noProof/>
                <w:webHidden/>
              </w:rPr>
              <w:t>90</w:t>
            </w:r>
            <w:r>
              <w:rPr>
                <w:noProof/>
                <w:webHidden/>
              </w:rPr>
              <w:fldChar w:fldCharType="end"/>
            </w:r>
          </w:hyperlink>
        </w:p>
        <w:p w14:paraId="39477BD6" w14:textId="0DF29354"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31" w:history="1">
            <w:r w:rsidRPr="003A7E96">
              <w:rPr>
                <w:rStyle w:val="Hyperlink"/>
                <w:noProof/>
              </w:rPr>
              <w:t>Perceptions of Deaf People on QOL</w:t>
            </w:r>
            <w:r>
              <w:rPr>
                <w:noProof/>
                <w:webHidden/>
              </w:rPr>
              <w:tab/>
            </w:r>
            <w:r>
              <w:rPr>
                <w:noProof/>
                <w:webHidden/>
              </w:rPr>
              <w:fldChar w:fldCharType="begin"/>
            </w:r>
            <w:r>
              <w:rPr>
                <w:noProof/>
                <w:webHidden/>
              </w:rPr>
              <w:instrText xml:space="preserve"> PAGEREF _Toc214490431 \h </w:instrText>
            </w:r>
            <w:r>
              <w:rPr>
                <w:noProof/>
                <w:webHidden/>
              </w:rPr>
            </w:r>
            <w:r>
              <w:rPr>
                <w:noProof/>
                <w:webHidden/>
              </w:rPr>
              <w:fldChar w:fldCharType="separate"/>
            </w:r>
            <w:r w:rsidR="00A62649">
              <w:rPr>
                <w:noProof/>
                <w:webHidden/>
              </w:rPr>
              <w:t>92</w:t>
            </w:r>
            <w:r>
              <w:rPr>
                <w:noProof/>
                <w:webHidden/>
              </w:rPr>
              <w:fldChar w:fldCharType="end"/>
            </w:r>
          </w:hyperlink>
        </w:p>
        <w:p w14:paraId="06669D48" w14:textId="6AC796DB"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32" w:history="1">
            <w:r w:rsidRPr="003A7E96">
              <w:rPr>
                <w:rStyle w:val="Hyperlink"/>
                <w:noProof/>
              </w:rPr>
              <w:t>Limitations</w:t>
            </w:r>
            <w:r>
              <w:rPr>
                <w:noProof/>
                <w:webHidden/>
              </w:rPr>
              <w:tab/>
            </w:r>
            <w:r>
              <w:rPr>
                <w:noProof/>
                <w:webHidden/>
              </w:rPr>
              <w:fldChar w:fldCharType="begin"/>
            </w:r>
            <w:r>
              <w:rPr>
                <w:noProof/>
                <w:webHidden/>
              </w:rPr>
              <w:instrText xml:space="preserve"> PAGEREF _Toc214490432 \h </w:instrText>
            </w:r>
            <w:r>
              <w:rPr>
                <w:noProof/>
                <w:webHidden/>
              </w:rPr>
            </w:r>
            <w:r>
              <w:rPr>
                <w:noProof/>
                <w:webHidden/>
              </w:rPr>
              <w:fldChar w:fldCharType="separate"/>
            </w:r>
            <w:r w:rsidR="00A62649">
              <w:rPr>
                <w:noProof/>
                <w:webHidden/>
              </w:rPr>
              <w:t>93</w:t>
            </w:r>
            <w:r>
              <w:rPr>
                <w:noProof/>
                <w:webHidden/>
              </w:rPr>
              <w:fldChar w:fldCharType="end"/>
            </w:r>
          </w:hyperlink>
        </w:p>
        <w:p w14:paraId="29AC9326" w14:textId="62AF38EE"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33" w:history="1">
            <w:r w:rsidRPr="003A7E96">
              <w:rPr>
                <w:rStyle w:val="Hyperlink"/>
                <w:noProof/>
              </w:rPr>
              <w:t>Future Research</w:t>
            </w:r>
            <w:r>
              <w:rPr>
                <w:noProof/>
                <w:webHidden/>
              </w:rPr>
              <w:tab/>
            </w:r>
            <w:r>
              <w:rPr>
                <w:noProof/>
                <w:webHidden/>
              </w:rPr>
              <w:fldChar w:fldCharType="begin"/>
            </w:r>
            <w:r>
              <w:rPr>
                <w:noProof/>
                <w:webHidden/>
              </w:rPr>
              <w:instrText xml:space="preserve"> PAGEREF _Toc214490433 \h </w:instrText>
            </w:r>
            <w:r>
              <w:rPr>
                <w:noProof/>
                <w:webHidden/>
              </w:rPr>
            </w:r>
            <w:r>
              <w:rPr>
                <w:noProof/>
                <w:webHidden/>
              </w:rPr>
              <w:fldChar w:fldCharType="separate"/>
            </w:r>
            <w:r w:rsidR="00A62649">
              <w:rPr>
                <w:noProof/>
                <w:webHidden/>
              </w:rPr>
              <w:t>95</w:t>
            </w:r>
            <w:r>
              <w:rPr>
                <w:noProof/>
                <w:webHidden/>
              </w:rPr>
              <w:fldChar w:fldCharType="end"/>
            </w:r>
          </w:hyperlink>
        </w:p>
        <w:p w14:paraId="5C95D0ED" w14:textId="50F8D399" w:rsidR="002C1FA9" w:rsidRDefault="002C1FA9">
          <w:pPr>
            <w:pStyle w:val="TOC4"/>
            <w:tabs>
              <w:tab w:val="right" w:leader="dot" w:pos="9440"/>
            </w:tabs>
            <w:rPr>
              <w:rStyle w:val="Hyperlink"/>
              <w:noProof/>
            </w:rPr>
          </w:pPr>
          <w:hyperlink w:anchor="_Toc214490434" w:history="1">
            <w:r w:rsidRPr="003A7E96">
              <w:rPr>
                <w:rStyle w:val="Hyperlink"/>
                <w:noProof/>
              </w:rPr>
              <w:t>Conclusion</w:t>
            </w:r>
            <w:r>
              <w:rPr>
                <w:noProof/>
                <w:webHidden/>
              </w:rPr>
              <w:tab/>
            </w:r>
            <w:r>
              <w:rPr>
                <w:noProof/>
                <w:webHidden/>
              </w:rPr>
              <w:fldChar w:fldCharType="begin"/>
            </w:r>
            <w:r>
              <w:rPr>
                <w:noProof/>
                <w:webHidden/>
              </w:rPr>
              <w:instrText xml:space="preserve"> PAGEREF _Toc214490434 \h </w:instrText>
            </w:r>
            <w:r>
              <w:rPr>
                <w:noProof/>
                <w:webHidden/>
              </w:rPr>
            </w:r>
            <w:r>
              <w:rPr>
                <w:noProof/>
                <w:webHidden/>
              </w:rPr>
              <w:fldChar w:fldCharType="separate"/>
            </w:r>
            <w:r w:rsidR="00A62649">
              <w:rPr>
                <w:noProof/>
                <w:webHidden/>
              </w:rPr>
              <w:t>96</w:t>
            </w:r>
            <w:r>
              <w:rPr>
                <w:noProof/>
                <w:webHidden/>
              </w:rPr>
              <w:fldChar w:fldCharType="end"/>
            </w:r>
          </w:hyperlink>
        </w:p>
        <w:p w14:paraId="54ABA489" w14:textId="77777777" w:rsidR="00442436" w:rsidRPr="00442436" w:rsidRDefault="00442436" w:rsidP="00442436"/>
        <w:p w14:paraId="7A7CEFCF" w14:textId="7CBF2066" w:rsidR="002C1FA9" w:rsidRDefault="002C1FA9" w:rsidP="00442436">
          <w:pPr>
            <w:pStyle w:val="TOC1"/>
            <w:rPr>
              <w:rFonts w:asciiTheme="minorHAnsi" w:eastAsiaTheme="minorEastAsia" w:hAnsiTheme="minorHAnsi" w:cstheme="minorBidi"/>
              <w:kern w:val="2"/>
              <w:lang w:val="en-US"/>
              <w14:ligatures w14:val="standardContextual"/>
            </w:rPr>
          </w:pPr>
          <w:hyperlink w:anchor="_Toc214490435" w:history="1">
            <w:r w:rsidRPr="003A7E96">
              <w:rPr>
                <w:rStyle w:val="Hyperlink"/>
                <w:lang w:val="nb-NO"/>
              </w:rPr>
              <w:t>References</w:t>
            </w:r>
            <w:r>
              <w:rPr>
                <w:webHidden/>
              </w:rPr>
              <w:tab/>
            </w:r>
            <w:r>
              <w:rPr>
                <w:webHidden/>
              </w:rPr>
              <w:fldChar w:fldCharType="begin"/>
            </w:r>
            <w:r>
              <w:rPr>
                <w:webHidden/>
              </w:rPr>
              <w:instrText xml:space="preserve"> PAGEREF _Toc214490435 \h </w:instrText>
            </w:r>
            <w:r>
              <w:rPr>
                <w:webHidden/>
              </w:rPr>
            </w:r>
            <w:r>
              <w:rPr>
                <w:webHidden/>
              </w:rPr>
              <w:fldChar w:fldCharType="separate"/>
            </w:r>
            <w:r w:rsidR="00A62649">
              <w:rPr>
                <w:webHidden/>
              </w:rPr>
              <w:t>98</w:t>
            </w:r>
            <w:r>
              <w:rPr>
                <w:webHidden/>
              </w:rPr>
              <w:fldChar w:fldCharType="end"/>
            </w:r>
          </w:hyperlink>
        </w:p>
        <w:p w14:paraId="2608BEA1" w14:textId="15984712" w:rsidR="002C1FA9" w:rsidRDefault="002C1FA9" w:rsidP="00442436">
          <w:pPr>
            <w:pStyle w:val="TOC1"/>
            <w:rPr>
              <w:rFonts w:asciiTheme="minorHAnsi" w:eastAsiaTheme="minorEastAsia" w:hAnsiTheme="minorHAnsi" w:cstheme="minorBidi"/>
              <w:kern w:val="2"/>
              <w:lang w:val="en-US"/>
              <w14:ligatures w14:val="standardContextual"/>
            </w:rPr>
          </w:pPr>
          <w:hyperlink w:anchor="_Toc214490436" w:history="1">
            <w:r w:rsidRPr="003A7E96">
              <w:rPr>
                <w:rStyle w:val="Hyperlink"/>
              </w:rPr>
              <w:t>Appendices</w:t>
            </w:r>
            <w:r>
              <w:rPr>
                <w:webHidden/>
              </w:rPr>
              <w:tab/>
            </w:r>
            <w:r>
              <w:rPr>
                <w:webHidden/>
              </w:rPr>
              <w:fldChar w:fldCharType="begin"/>
            </w:r>
            <w:r>
              <w:rPr>
                <w:webHidden/>
              </w:rPr>
              <w:instrText xml:space="preserve"> PAGEREF _Toc214490436 \h </w:instrText>
            </w:r>
            <w:r>
              <w:rPr>
                <w:webHidden/>
              </w:rPr>
            </w:r>
            <w:r>
              <w:rPr>
                <w:webHidden/>
              </w:rPr>
              <w:fldChar w:fldCharType="separate"/>
            </w:r>
            <w:r w:rsidR="00A62649">
              <w:rPr>
                <w:webHidden/>
              </w:rPr>
              <w:t>127</w:t>
            </w:r>
            <w:r>
              <w:rPr>
                <w:webHidden/>
              </w:rPr>
              <w:fldChar w:fldCharType="end"/>
            </w:r>
          </w:hyperlink>
        </w:p>
        <w:p w14:paraId="3885E5A7" w14:textId="11DB629A"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37" w:history="1">
            <w:r w:rsidRPr="003A7E96">
              <w:rPr>
                <w:rStyle w:val="Hyperlink"/>
                <w:noProof/>
              </w:rPr>
              <w:t>Appendix A</w:t>
            </w:r>
            <w:r>
              <w:rPr>
                <w:noProof/>
                <w:webHidden/>
              </w:rPr>
              <w:tab/>
            </w:r>
            <w:r>
              <w:rPr>
                <w:noProof/>
                <w:webHidden/>
              </w:rPr>
              <w:fldChar w:fldCharType="begin"/>
            </w:r>
            <w:r>
              <w:rPr>
                <w:noProof/>
                <w:webHidden/>
              </w:rPr>
              <w:instrText xml:space="preserve"> PAGEREF _Toc214490437 \h </w:instrText>
            </w:r>
            <w:r>
              <w:rPr>
                <w:noProof/>
                <w:webHidden/>
              </w:rPr>
            </w:r>
            <w:r>
              <w:rPr>
                <w:noProof/>
                <w:webHidden/>
              </w:rPr>
              <w:fldChar w:fldCharType="separate"/>
            </w:r>
            <w:r w:rsidR="00A62649">
              <w:rPr>
                <w:noProof/>
                <w:webHidden/>
              </w:rPr>
              <w:t>127</w:t>
            </w:r>
            <w:r>
              <w:rPr>
                <w:noProof/>
                <w:webHidden/>
              </w:rPr>
              <w:fldChar w:fldCharType="end"/>
            </w:r>
          </w:hyperlink>
        </w:p>
        <w:p w14:paraId="03C8163B" w14:textId="6536F041"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38" w:history="1">
            <w:r w:rsidRPr="003A7E96">
              <w:rPr>
                <w:rStyle w:val="Hyperlink"/>
                <w:noProof/>
              </w:rPr>
              <w:t>YQOL-DHH Survey Modification</w:t>
            </w:r>
            <w:r>
              <w:rPr>
                <w:noProof/>
                <w:webHidden/>
              </w:rPr>
              <w:tab/>
            </w:r>
            <w:r>
              <w:rPr>
                <w:noProof/>
                <w:webHidden/>
              </w:rPr>
              <w:fldChar w:fldCharType="begin"/>
            </w:r>
            <w:r>
              <w:rPr>
                <w:noProof/>
                <w:webHidden/>
              </w:rPr>
              <w:instrText xml:space="preserve"> PAGEREF _Toc214490438 \h </w:instrText>
            </w:r>
            <w:r>
              <w:rPr>
                <w:noProof/>
                <w:webHidden/>
              </w:rPr>
            </w:r>
            <w:r>
              <w:rPr>
                <w:noProof/>
                <w:webHidden/>
              </w:rPr>
              <w:fldChar w:fldCharType="separate"/>
            </w:r>
            <w:r w:rsidR="00A62649">
              <w:rPr>
                <w:noProof/>
                <w:webHidden/>
              </w:rPr>
              <w:t>127</w:t>
            </w:r>
            <w:r>
              <w:rPr>
                <w:noProof/>
                <w:webHidden/>
              </w:rPr>
              <w:fldChar w:fldCharType="end"/>
            </w:r>
          </w:hyperlink>
        </w:p>
        <w:p w14:paraId="2E0991C1" w14:textId="64741A49"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39" w:history="1">
            <w:r w:rsidRPr="003A7E96">
              <w:rPr>
                <w:rStyle w:val="Hyperlink"/>
                <w:noProof/>
              </w:rPr>
              <w:t>Initial Revisions to Survey Questions</w:t>
            </w:r>
            <w:r>
              <w:rPr>
                <w:noProof/>
                <w:webHidden/>
              </w:rPr>
              <w:tab/>
            </w:r>
            <w:r>
              <w:rPr>
                <w:noProof/>
                <w:webHidden/>
              </w:rPr>
              <w:fldChar w:fldCharType="begin"/>
            </w:r>
            <w:r>
              <w:rPr>
                <w:noProof/>
                <w:webHidden/>
              </w:rPr>
              <w:instrText xml:space="preserve"> PAGEREF _Toc214490439 \h </w:instrText>
            </w:r>
            <w:r>
              <w:rPr>
                <w:noProof/>
                <w:webHidden/>
              </w:rPr>
            </w:r>
            <w:r>
              <w:rPr>
                <w:noProof/>
                <w:webHidden/>
              </w:rPr>
              <w:fldChar w:fldCharType="separate"/>
            </w:r>
            <w:r w:rsidR="00A62649">
              <w:rPr>
                <w:noProof/>
                <w:webHidden/>
              </w:rPr>
              <w:t>127</w:t>
            </w:r>
            <w:r>
              <w:rPr>
                <w:noProof/>
                <w:webHidden/>
              </w:rPr>
              <w:fldChar w:fldCharType="end"/>
            </w:r>
          </w:hyperlink>
        </w:p>
        <w:p w14:paraId="4029550E" w14:textId="7865B7F6"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40" w:history="1">
            <w:r w:rsidRPr="003A7E96">
              <w:rPr>
                <w:rStyle w:val="Hyperlink"/>
                <w:noProof/>
              </w:rPr>
              <w:t>Translation</w:t>
            </w:r>
            <w:r>
              <w:rPr>
                <w:noProof/>
                <w:webHidden/>
              </w:rPr>
              <w:tab/>
            </w:r>
            <w:r>
              <w:rPr>
                <w:noProof/>
                <w:webHidden/>
              </w:rPr>
              <w:fldChar w:fldCharType="begin"/>
            </w:r>
            <w:r>
              <w:rPr>
                <w:noProof/>
                <w:webHidden/>
              </w:rPr>
              <w:instrText xml:space="preserve"> PAGEREF _Toc214490440 \h </w:instrText>
            </w:r>
            <w:r>
              <w:rPr>
                <w:noProof/>
                <w:webHidden/>
              </w:rPr>
            </w:r>
            <w:r>
              <w:rPr>
                <w:noProof/>
                <w:webHidden/>
              </w:rPr>
              <w:fldChar w:fldCharType="separate"/>
            </w:r>
            <w:r w:rsidR="00A62649">
              <w:rPr>
                <w:noProof/>
                <w:webHidden/>
              </w:rPr>
              <w:t>127</w:t>
            </w:r>
            <w:r>
              <w:rPr>
                <w:noProof/>
                <w:webHidden/>
              </w:rPr>
              <w:fldChar w:fldCharType="end"/>
            </w:r>
          </w:hyperlink>
        </w:p>
        <w:p w14:paraId="0CB0DFEB" w14:textId="08AFF146"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41" w:history="1">
            <w:r w:rsidRPr="003A7E96">
              <w:rPr>
                <w:rStyle w:val="Hyperlink"/>
                <w:noProof/>
              </w:rPr>
              <w:t>Forward-Backward Translation Process</w:t>
            </w:r>
            <w:r>
              <w:rPr>
                <w:noProof/>
                <w:webHidden/>
              </w:rPr>
              <w:tab/>
            </w:r>
            <w:r>
              <w:rPr>
                <w:noProof/>
                <w:webHidden/>
              </w:rPr>
              <w:fldChar w:fldCharType="begin"/>
            </w:r>
            <w:r>
              <w:rPr>
                <w:noProof/>
                <w:webHidden/>
              </w:rPr>
              <w:instrText xml:space="preserve"> PAGEREF _Toc214490441 \h </w:instrText>
            </w:r>
            <w:r>
              <w:rPr>
                <w:noProof/>
                <w:webHidden/>
              </w:rPr>
            </w:r>
            <w:r>
              <w:rPr>
                <w:noProof/>
                <w:webHidden/>
              </w:rPr>
              <w:fldChar w:fldCharType="separate"/>
            </w:r>
            <w:r w:rsidR="00A62649">
              <w:rPr>
                <w:noProof/>
                <w:webHidden/>
              </w:rPr>
              <w:t>130</w:t>
            </w:r>
            <w:r>
              <w:rPr>
                <w:noProof/>
                <w:webHidden/>
              </w:rPr>
              <w:fldChar w:fldCharType="end"/>
            </w:r>
          </w:hyperlink>
        </w:p>
        <w:p w14:paraId="788AE813" w14:textId="6B48ADE1"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42" w:history="1">
            <w:r w:rsidRPr="003A7E96">
              <w:rPr>
                <w:rStyle w:val="Hyperlink"/>
                <w:noProof/>
              </w:rPr>
              <w:t>Pilot Study</w:t>
            </w:r>
            <w:r>
              <w:rPr>
                <w:noProof/>
                <w:webHidden/>
              </w:rPr>
              <w:tab/>
            </w:r>
            <w:r>
              <w:rPr>
                <w:noProof/>
                <w:webHidden/>
              </w:rPr>
              <w:fldChar w:fldCharType="begin"/>
            </w:r>
            <w:r>
              <w:rPr>
                <w:noProof/>
                <w:webHidden/>
              </w:rPr>
              <w:instrText xml:space="preserve"> PAGEREF _Toc214490442 \h </w:instrText>
            </w:r>
            <w:r>
              <w:rPr>
                <w:noProof/>
                <w:webHidden/>
              </w:rPr>
            </w:r>
            <w:r>
              <w:rPr>
                <w:noProof/>
                <w:webHidden/>
              </w:rPr>
              <w:fldChar w:fldCharType="separate"/>
            </w:r>
            <w:r w:rsidR="00A62649">
              <w:rPr>
                <w:noProof/>
                <w:webHidden/>
              </w:rPr>
              <w:t>131</w:t>
            </w:r>
            <w:r>
              <w:rPr>
                <w:noProof/>
                <w:webHidden/>
              </w:rPr>
              <w:fldChar w:fldCharType="end"/>
            </w:r>
          </w:hyperlink>
        </w:p>
        <w:p w14:paraId="03F61977" w14:textId="60028BF8" w:rsidR="002C1FA9" w:rsidRDefault="002C1FA9">
          <w:pPr>
            <w:pStyle w:val="TOC4"/>
            <w:tabs>
              <w:tab w:val="right" w:leader="dot" w:pos="9440"/>
            </w:tabs>
            <w:rPr>
              <w:rFonts w:asciiTheme="minorHAnsi" w:eastAsiaTheme="minorEastAsia" w:hAnsiTheme="minorHAnsi" w:cstheme="minorBidi"/>
              <w:noProof/>
              <w:kern w:val="2"/>
              <w:lang w:val="en-US"/>
              <w14:ligatures w14:val="standardContextual"/>
            </w:rPr>
          </w:pPr>
          <w:hyperlink w:anchor="_Toc214490443" w:history="1">
            <w:r w:rsidRPr="003A7E96">
              <w:rPr>
                <w:rStyle w:val="Hyperlink"/>
                <w:noProof/>
              </w:rPr>
              <w:t>Themes</w:t>
            </w:r>
            <w:r>
              <w:rPr>
                <w:noProof/>
                <w:webHidden/>
              </w:rPr>
              <w:tab/>
            </w:r>
            <w:r>
              <w:rPr>
                <w:noProof/>
                <w:webHidden/>
              </w:rPr>
              <w:fldChar w:fldCharType="begin"/>
            </w:r>
            <w:r>
              <w:rPr>
                <w:noProof/>
                <w:webHidden/>
              </w:rPr>
              <w:instrText xml:space="preserve"> PAGEREF _Toc214490443 \h </w:instrText>
            </w:r>
            <w:r>
              <w:rPr>
                <w:noProof/>
                <w:webHidden/>
              </w:rPr>
            </w:r>
            <w:r>
              <w:rPr>
                <w:noProof/>
                <w:webHidden/>
              </w:rPr>
              <w:fldChar w:fldCharType="separate"/>
            </w:r>
            <w:r w:rsidR="00A62649">
              <w:rPr>
                <w:noProof/>
                <w:webHidden/>
              </w:rPr>
              <w:t>132</w:t>
            </w:r>
            <w:r>
              <w:rPr>
                <w:noProof/>
                <w:webHidden/>
              </w:rPr>
              <w:fldChar w:fldCharType="end"/>
            </w:r>
          </w:hyperlink>
        </w:p>
        <w:p w14:paraId="133BA7C0" w14:textId="646E0E53"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44" w:history="1">
            <w:r w:rsidRPr="003A7E96">
              <w:rPr>
                <w:rStyle w:val="Hyperlink"/>
                <w:noProof/>
              </w:rPr>
              <w:t>Appendix B</w:t>
            </w:r>
            <w:r>
              <w:rPr>
                <w:noProof/>
                <w:webHidden/>
              </w:rPr>
              <w:tab/>
            </w:r>
            <w:r>
              <w:rPr>
                <w:noProof/>
                <w:webHidden/>
              </w:rPr>
              <w:fldChar w:fldCharType="begin"/>
            </w:r>
            <w:r>
              <w:rPr>
                <w:noProof/>
                <w:webHidden/>
              </w:rPr>
              <w:instrText xml:space="preserve"> PAGEREF _Toc214490444 \h </w:instrText>
            </w:r>
            <w:r>
              <w:rPr>
                <w:noProof/>
                <w:webHidden/>
              </w:rPr>
            </w:r>
            <w:r>
              <w:rPr>
                <w:noProof/>
                <w:webHidden/>
              </w:rPr>
              <w:fldChar w:fldCharType="separate"/>
            </w:r>
            <w:r w:rsidR="00A62649">
              <w:rPr>
                <w:noProof/>
                <w:webHidden/>
              </w:rPr>
              <w:t>138</w:t>
            </w:r>
            <w:r>
              <w:rPr>
                <w:noProof/>
                <w:webHidden/>
              </w:rPr>
              <w:fldChar w:fldCharType="end"/>
            </w:r>
          </w:hyperlink>
        </w:p>
        <w:p w14:paraId="729F2918" w14:textId="44A35AA8"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45" w:history="1">
            <w:r w:rsidRPr="003A7E96">
              <w:rPr>
                <w:rStyle w:val="Hyperlink"/>
                <w:noProof/>
              </w:rPr>
              <w:t>The Adapted Youth Quality of Life - Deaf and Hearing of Hard (AQOL-DHH) Survey</w:t>
            </w:r>
            <w:r>
              <w:rPr>
                <w:noProof/>
                <w:webHidden/>
              </w:rPr>
              <w:tab/>
            </w:r>
            <w:r>
              <w:rPr>
                <w:noProof/>
                <w:webHidden/>
              </w:rPr>
              <w:fldChar w:fldCharType="begin"/>
            </w:r>
            <w:r>
              <w:rPr>
                <w:noProof/>
                <w:webHidden/>
              </w:rPr>
              <w:instrText xml:space="preserve"> PAGEREF _Toc214490445 \h </w:instrText>
            </w:r>
            <w:r>
              <w:rPr>
                <w:noProof/>
                <w:webHidden/>
              </w:rPr>
            </w:r>
            <w:r>
              <w:rPr>
                <w:noProof/>
                <w:webHidden/>
              </w:rPr>
              <w:fldChar w:fldCharType="separate"/>
            </w:r>
            <w:r w:rsidR="00A62649">
              <w:rPr>
                <w:noProof/>
                <w:webHidden/>
              </w:rPr>
              <w:t>138</w:t>
            </w:r>
            <w:r>
              <w:rPr>
                <w:noProof/>
                <w:webHidden/>
              </w:rPr>
              <w:fldChar w:fldCharType="end"/>
            </w:r>
          </w:hyperlink>
        </w:p>
        <w:p w14:paraId="5EF86E56" w14:textId="3FCCDDBD"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46" w:history="1">
            <w:r w:rsidRPr="003A7E96">
              <w:rPr>
                <w:rStyle w:val="Hyperlink"/>
                <w:noProof/>
              </w:rPr>
              <w:t>Appendix C</w:t>
            </w:r>
            <w:r>
              <w:rPr>
                <w:noProof/>
                <w:webHidden/>
              </w:rPr>
              <w:tab/>
            </w:r>
            <w:r>
              <w:rPr>
                <w:noProof/>
                <w:webHidden/>
              </w:rPr>
              <w:fldChar w:fldCharType="begin"/>
            </w:r>
            <w:r>
              <w:rPr>
                <w:noProof/>
                <w:webHidden/>
              </w:rPr>
              <w:instrText xml:space="preserve"> PAGEREF _Toc214490446 \h </w:instrText>
            </w:r>
            <w:r>
              <w:rPr>
                <w:noProof/>
                <w:webHidden/>
              </w:rPr>
            </w:r>
            <w:r>
              <w:rPr>
                <w:noProof/>
                <w:webHidden/>
              </w:rPr>
              <w:fldChar w:fldCharType="separate"/>
            </w:r>
            <w:r w:rsidR="00A62649">
              <w:rPr>
                <w:noProof/>
                <w:webHidden/>
              </w:rPr>
              <w:t>151</w:t>
            </w:r>
            <w:r>
              <w:rPr>
                <w:noProof/>
                <w:webHidden/>
              </w:rPr>
              <w:fldChar w:fldCharType="end"/>
            </w:r>
          </w:hyperlink>
        </w:p>
        <w:p w14:paraId="7BADB361" w14:textId="4CCB21C3" w:rsidR="002C1FA9" w:rsidRDefault="002C1FA9">
          <w:pPr>
            <w:pStyle w:val="TOC3"/>
            <w:tabs>
              <w:tab w:val="right" w:leader="dot" w:pos="9440"/>
            </w:tabs>
            <w:rPr>
              <w:rFonts w:asciiTheme="minorHAnsi" w:eastAsiaTheme="minorEastAsia" w:hAnsiTheme="minorHAnsi" w:cstheme="minorBidi"/>
              <w:noProof/>
              <w:kern w:val="2"/>
              <w:lang w:val="en-US"/>
              <w14:ligatures w14:val="standardContextual"/>
            </w:rPr>
          </w:pPr>
          <w:hyperlink w:anchor="_Toc214490447" w:history="1">
            <w:r w:rsidRPr="003A7E96">
              <w:rPr>
                <w:rStyle w:val="Hyperlink"/>
                <w:noProof/>
              </w:rPr>
              <w:t>Demonstrating the Survey in various Languages (English, Malay and BIM)</w:t>
            </w:r>
            <w:r>
              <w:rPr>
                <w:noProof/>
                <w:webHidden/>
              </w:rPr>
              <w:tab/>
            </w:r>
            <w:r>
              <w:rPr>
                <w:noProof/>
                <w:webHidden/>
              </w:rPr>
              <w:fldChar w:fldCharType="begin"/>
            </w:r>
            <w:r>
              <w:rPr>
                <w:noProof/>
                <w:webHidden/>
              </w:rPr>
              <w:instrText xml:space="preserve"> PAGEREF _Toc214490447 \h </w:instrText>
            </w:r>
            <w:r>
              <w:rPr>
                <w:noProof/>
                <w:webHidden/>
              </w:rPr>
            </w:r>
            <w:r>
              <w:rPr>
                <w:noProof/>
                <w:webHidden/>
              </w:rPr>
              <w:fldChar w:fldCharType="separate"/>
            </w:r>
            <w:r w:rsidR="00A62649">
              <w:rPr>
                <w:noProof/>
                <w:webHidden/>
              </w:rPr>
              <w:t>151</w:t>
            </w:r>
            <w:r>
              <w:rPr>
                <w:noProof/>
                <w:webHidden/>
              </w:rPr>
              <w:fldChar w:fldCharType="end"/>
            </w:r>
          </w:hyperlink>
        </w:p>
        <w:p w14:paraId="51C77DC8" w14:textId="1A4B9401" w:rsidR="002C1FA9" w:rsidRDefault="002C1FA9">
          <w:pPr>
            <w:pStyle w:val="TOC2"/>
            <w:tabs>
              <w:tab w:val="right" w:leader="dot" w:pos="9440"/>
            </w:tabs>
            <w:rPr>
              <w:rFonts w:asciiTheme="minorHAnsi" w:eastAsiaTheme="minorEastAsia" w:hAnsiTheme="minorHAnsi" w:cstheme="minorBidi"/>
              <w:noProof/>
              <w:kern w:val="2"/>
              <w:lang w:val="en-US"/>
              <w14:ligatures w14:val="standardContextual"/>
            </w:rPr>
          </w:pPr>
          <w:hyperlink w:anchor="_Toc214490448" w:history="1">
            <w:r w:rsidRPr="003A7E96">
              <w:rPr>
                <w:rStyle w:val="Hyperlink"/>
                <w:noProof/>
              </w:rPr>
              <w:t>Vita</w:t>
            </w:r>
            <w:r>
              <w:rPr>
                <w:noProof/>
                <w:webHidden/>
              </w:rPr>
              <w:tab/>
            </w:r>
            <w:r>
              <w:rPr>
                <w:noProof/>
                <w:webHidden/>
              </w:rPr>
              <w:fldChar w:fldCharType="begin"/>
            </w:r>
            <w:r>
              <w:rPr>
                <w:noProof/>
                <w:webHidden/>
              </w:rPr>
              <w:instrText xml:space="preserve"> PAGEREF _Toc214490448 \h </w:instrText>
            </w:r>
            <w:r>
              <w:rPr>
                <w:noProof/>
                <w:webHidden/>
              </w:rPr>
            </w:r>
            <w:r>
              <w:rPr>
                <w:noProof/>
                <w:webHidden/>
              </w:rPr>
              <w:fldChar w:fldCharType="separate"/>
            </w:r>
            <w:r w:rsidR="00A62649">
              <w:rPr>
                <w:noProof/>
                <w:webHidden/>
              </w:rPr>
              <w:t>153</w:t>
            </w:r>
            <w:r>
              <w:rPr>
                <w:noProof/>
                <w:webHidden/>
              </w:rPr>
              <w:fldChar w:fldCharType="end"/>
            </w:r>
          </w:hyperlink>
        </w:p>
        <w:p w14:paraId="10CF68B8" w14:textId="6D315112" w:rsidR="009E4375" w:rsidRPr="00B57A92" w:rsidRDefault="00000000">
          <w:pPr>
            <w:widowControl w:val="0"/>
            <w:tabs>
              <w:tab w:val="right" w:leader="dot" w:pos="12000"/>
            </w:tabs>
            <w:spacing w:before="60" w:after="0"/>
            <w:ind w:left="360"/>
            <w:rPr>
              <w:color w:val="000000"/>
            </w:rPr>
          </w:pPr>
          <w:r w:rsidRPr="00B57A92">
            <w:fldChar w:fldCharType="end"/>
          </w:r>
        </w:p>
      </w:sdtContent>
    </w:sdt>
    <w:p w14:paraId="10CF68B9" w14:textId="77777777" w:rsidR="009E4375" w:rsidRDefault="009E4375">
      <w:pPr>
        <w:pStyle w:val="Heading1"/>
      </w:pPr>
    </w:p>
    <w:p w14:paraId="10CF68BA" w14:textId="77777777" w:rsidR="009E4375" w:rsidRDefault="009E4375">
      <w:pPr>
        <w:pStyle w:val="Heading1"/>
        <w:jc w:val="left"/>
        <w:sectPr w:rsidR="009E4375" w:rsidSect="00D43BCC">
          <w:headerReference w:type="even" r:id="rId8"/>
          <w:headerReference w:type="default" r:id="rId9"/>
          <w:footerReference w:type="even" r:id="rId10"/>
          <w:footerReference w:type="default" r:id="rId11"/>
          <w:headerReference w:type="first" r:id="rId12"/>
          <w:pgSz w:w="12240" w:h="15840"/>
          <w:pgMar w:top="1440" w:right="1440" w:bottom="1440" w:left="1350" w:header="720" w:footer="720" w:gutter="0"/>
          <w:pgNumType w:fmt="lowerRoman" w:start="1"/>
          <w:cols w:space="720"/>
          <w:titlePg/>
          <w:docGrid w:linePitch="326"/>
        </w:sectPr>
      </w:pPr>
    </w:p>
    <w:p w14:paraId="10CF68BB" w14:textId="77777777" w:rsidR="009E4375" w:rsidRDefault="00000000">
      <w:pPr>
        <w:spacing w:before="0" w:after="0"/>
        <w:jc w:val="center"/>
        <w:rPr>
          <w:b/>
          <w:bCs/>
        </w:rPr>
      </w:pPr>
      <w:r>
        <w:rPr>
          <w:b/>
          <w:bCs/>
        </w:rPr>
        <w:lastRenderedPageBreak/>
        <w:t xml:space="preserve">LIST OF </w:t>
      </w:r>
      <w:proofErr w:type="gramStart"/>
      <w:r>
        <w:rPr>
          <w:b/>
          <w:bCs/>
        </w:rPr>
        <w:t>TABLE</w:t>
      </w:r>
      <w:proofErr w:type="gramEnd"/>
    </w:p>
    <w:p w14:paraId="10CF68BC" w14:textId="77777777" w:rsidR="009E4375" w:rsidRDefault="009E4375">
      <w:pPr>
        <w:spacing w:before="0" w:after="0"/>
        <w:jc w:val="center"/>
        <w:rPr>
          <w:b/>
          <w:bCs/>
        </w:rPr>
      </w:pPr>
    </w:p>
    <w:p w14:paraId="10CF68BD" w14:textId="443E0B3C" w:rsidR="009E4375" w:rsidRDefault="00000000" w:rsidP="0071197E">
      <w:pPr>
        <w:widowControl w:val="0"/>
        <w:tabs>
          <w:tab w:val="right" w:leader="dot" w:pos="12000"/>
        </w:tabs>
        <w:spacing w:before="0" w:after="0"/>
      </w:pPr>
      <w:r>
        <w:t>Table 1: Cronbach’s Alpha for the scales from studies using the YQOL-DHH …</w:t>
      </w:r>
      <w:r w:rsidR="008309CE">
        <w:t xml:space="preserve"> </w:t>
      </w:r>
      <w:r>
        <w:t>…</w:t>
      </w:r>
      <w:r w:rsidR="008309CE">
        <w:t>.</w:t>
      </w:r>
      <w:r>
        <w:t>… 5</w:t>
      </w:r>
      <w:r w:rsidR="00BD14E8">
        <w:t>8</w:t>
      </w:r>
    </w:p>
    <w:p w14:paraId="10CF68BE" w14:textId="43EE9CC5" w:rsidR="009E4375" w:rsidRDefault="00000000" w:rsidP="0071197E">
      <w:pPr>
        <w:widowControl w:val="0"/>
        <w:tabs>
          <w:tab w:val="right" w:leader="dot" w:pos="12000"/>
        </w:tabs>
        <w:spacing w:before="0" w:after="0"/>
      </w:pPr>
      <w:r>
        <w:t>Table 2: Variables of the study………………………………...……………………</w:t>
      </w:r>
      <w:r w:rsidR="008309CE">
        <w:t>.</w:t>
      </w:r>
      <w:r>
        <w:t>…</w:t>
      </w:r>
      <w:r w:rsidR="008309CE">
        <w:t xml:space="preserve"> </w:t>
      </w:r>
      <w:r>
        <w:t>….. 6</w:t>
      </w:r>
      <w:r w:rsidR="00BD14E8">
        <w:t>2</w:t>
      </w:r>
    </w:p>
    <w:p w14:paraId="10CF68BF" w14:textId="34199A20" w:rsidR="009E4375" w:rsidRDefault="00000000" w:rsidP="0071197E">
      <w:pPr>
        <w:widowControl w:val="0"/>
        <w:tabs>
          <w:tab w:val="right" w:leader="dot" w:pos="12000"/>
        </w:tabs>
        <w:spacing w:before="0" w:after="0"/>
      </w:pPr>
      <w:r>
        <w:t>Table 3: Analysis by Questions …………………………………………………</w:t>
      </w:r>
      <w:proofErr w:type="gramStart"/>
      <w:r>
        <w:t>…</w:t>
      </w:r>
      <w:r w:rsidR="008309CE">
        <w:t>.</w:t>
      </w:r>
      <w:r>
        <w:t>.</w:t>
      </w:r>
      <w:proofErr w:type="gramEnd"/>
      <w:r>
        <w:t>…</w:t>
      </w:r>
      <w:r w:rsidR="008309CE">
        <w:t xml:space="preserve"> </w:t>
      </w:r>
      <w:r>
        <w:t>….. 6</w:t>
      </w:r>
      <w:r w:rsidR="009562CA">
        <w:t>4</w:t>
      </w:r>
    </w:p>
    <w:p w14:paraId="10CF68C0" w14:textId="43CBC229" w:rsidR="009E4375" w:rsidRDefault="00000000" w:rsidP="0071197E">
      <w:pPr>
        <w:widowControl w:val="0"/>
        <w:tabs>
          <w:tab w:val="right" w:leader="dot" w:pos="12000"/>
        </w:tabs>
        <w:spacing w:before="0" w:after="0"/>
      </w:pPr>
      <w:r>
        <w:t>Table 4: Overall Quality of Life based on Race ………………………………</w:t>
      </w:r>
      <w:proofErr w:type="gramStart"/>
      <w:r>
        <w:t>…</w:t>
      </w:r>
      <w:r w:rsidR="008309CE">
        <w:t>.</w:t>
      </w:r>
      <w:r>
        <w:t>…..</w:t>
      </w:r>
      <w:proofErr w:type="gramEnd"/>
      <w:r w:rsidR="008309CE">
        <w:t xml:space="preserve"> </w:t>
      </w:r>
      <w:r>
        <w:t>….. 7</w:t>
      </w:r>
      <w:r w:rsidR="009562CA">
        <w:t>2</w:t>
      </w:r>
    </w:p>
    <w:p w14:paraId="10CF68C1" w14:textId="2B238885" w:rsidR="009E4375" w:rsidRDefault="00000000" w:rsidP="0071197E">
      <w:pPr>
        <w:widowControl w:val="0"/>
        <w:tabs>
          <w:tab w:val="right" w:leader="dot" w:pos="12000"/>
        </w:tabs>
        <w:spacing w:before="0" w:after="0"/>
      </w:pPr>
      <w:r>
        <w:t>Table 5: Mean and Standard Deviation of QOL by Subdomain and Race ………</w:t>
      </w:r>
      <w:r w:rsidR="008309CE">
        <w:t xml:space="preserve"> </w:t>
      </w:r>
      <w:r>
        <w:t>…</w:t>
      </w:r>
      <w:r w:rsidR="008309CE">
        <w:t>.</w:t>
      </w:r>
      <w:r>
        <w:t>... 7</w:t>
      </w:r>
      <w:r w:rsidR="009562CA">
        <w:t>3</w:t>
      </w:r>
    </w:p>
    <w:p w14:paraId="10CF68C2" w14:textId="277599BB" w:rsidR="009E4375" w:rsidRDefault="00000000" w:rsidP="0071197E">
      <w:pPr>
        <w:widowControl w:val="0"/>
        <w:tabs>
          <w:tab w:val="right" w:leader="dot" w:pos="12000"/>
        </w:tabs>
        <w:spacing w:before="0" w:after="0"/>
      </w:pPr>
      <w:r>
        <w:t>Table 6: Post-hoc Least Significant Difference (LSD) Test by Subdomain and Race</w:t>
      </w:r>
      <w:proofErr w:type="gramStart"/>
      <w:r>
        <w:t xml:space="preserve"> </w:t>
      </w:r>
      <w:r w:rsidR="00BD0690">
        <w:t>.</w:t>
      </w:r>
      <w:r>
        <w:t>.</w:t>
      </w:r>
      <w:proofErr w:type="gramEnd"/>
      <w:r>
        <w:t xml:space="preserve"> 7</w:t>
      </w:r>
      <w:r w:rsidR="009562CA">
        <w:t>4</w:t>
      </w:r>
    </w:p>
    <w:p w14:paraId="10CF68C3" w14:textId="7B0FDCAD" w:rsidR="009E4375" w:rsidRDefault="00000000" w:rsidP="0071197E">
      <w:pPr>
        <w:widowControl w:val="0"/>
        <w:tabs>
          <w:tab w:val="right" w:leader="dot" w:pos="12000"/>
        </w:tabs>
        <w:spacing w:before="0" w:after="0"/>
      </w:pPr>
      <w:r>
        <w:t xml:space="preserve">Table 7: Independent Samples T-Test Comparing Deaf and Hard of </w:t>
      </w:r>
      <w:proofErr w:type="gramStart"/>
      <w:r>
        <w:t>Hearing</w:t>
      </w:r>
      <w:r w:rsidR="0071197E">
        <w:t xml:space="preserve">  </w:t>
      </w:r>
      <w:r>
        <w:t>…..…</w:t>
      </w:r>
      <w:r w:rsidR="008309CE">
        <w:t xml:space="preserve">  .</w:t>
      </w:r>
      <w:proofErr w:type="gramEnd"/>
      <w:r>
        <w:t xml:space="preserve"> 75</w:t>
      </w:r>
    </w:p>
    <w:p w14:paraId="10CF68C4" w14:textId="2F4A5C6A" w:rsidR="009E4375" w:rsidRDefault="00000000" w:rsidP="0071197E">
      <w:pPr>
        <w:widowControl w:val="0"/>
        <w:tabs>
          <w:tab w:val="right" w:leader="dot" w:pos="12000"/>
        </w:tabs>
        <w:spacing w:before="0" w:after="0"/>
      </w:pPr>
      <w:r>
        <w:t xml:space="preserve">Table 8: Mean and Standard Deviation of Subdomains of QOL by Hearing Status </w:t>
      </w:r>
      <w:proofErr w:type="gramStart"/>
      <w:r>
        <w:t>.</w:t>
      </w:r>
      <w:r w:rsidR="008309CE">
        <w:t>..</w:t>
      </w:r>
      <w:r>
        <w:t>..</w:t>
      </w:r>
      <w:proofErr w:type="gramEnd"/>
      <w:r>
        <w:t xml:space="preserve"> 76</w:t>
      </w:r>
    </w:p>
    <w:p w14:paraId="10CF68C5" w14:textId="39DC27E2" w:rsidR="009E4375" w:rsidRDefault="00000000" w:rsidP="0071197E">
      <w:pPr>
        <w:widowControl w:val="0"/>
        <w:tabs>
          <w:tab w:val="right" w:leader="dot" w:pos="12000"/>
        </w:tabs>
        <w:spacing w:before="0" w:after="0"/>
      </w:pPr>
      <w:r>
        <w:t>Table 9: Nonparametric Correlations ………………………………………….……</w:t>
      </w:r>
      <w:r w:rsidR="008309CE">
        <w:t xml:space="preserve">   </w:t>
      </w:r>
      <w:r>
        <w:t>…… 77</w:t>
      </w:r>
    </w:p>
    <w:p w14:paraId="10CF68C6" w14:textId="6354450C" w:rsidR="009E4375" w:rsidRDefault="00000000" w:rsidP="0071197E">
      <w:pPr>
        <w:widowControl w:val="0"/>
        <w:tabs>
          <w:tab w:val="right" w:leader="dot" w:pos="12000"/>
        </w:tabs>
        <w:spacing w:before="0" w:after="0"/>
      </w:pPr>
      <w:r>
        <w:t>Table 10: Frequency and Percentage of Respondents by the Level of Satisfaction of Signed Communication Used at School …...……………………………</w:t>
      </w:r>
      <w:proofErr w:type="gramStart"/>
      <w:r>
        <w:t>…..</w:t>
      </w:r>
      <w:proofErr w:type="gramEnd"/>
      <w:r w:rsidR="008309CE">
        <w:t xml:space="preserve">  </w:t>
      </w:r>
      <w:r>
        <w:t>……….….. 78</w:t>
      </w:r>
    </w:p>
    <w:p w14:paraId="10CF68C7" w14:textId="10BD40AF" w:rsidR="009E4375" w:rsidRDefault="00000000" w:rsidP="0071197E">
      <w:pPr>
        <w:widowControl w:val="0"/>
        <w:tabs>
          <w:tab w:val="right" w:leader="dot" w:pos="12000"/>
        </w:tabs>
        <w:spacing w:before="0" w:after="0"/>
      </w:pPr>
      <w:r>
        <w:t>Table 11: Frequency and Percentage of Respondents by the Level of Satisfaction of Signed Communication Used at Home. …...………………………………..………</w:t>
      </w:r>
      <w:r w:rsidR="008309CE">
        <w:t xml:space="preserve">  </w:t>
      </w:r>
      <w:r>
        <w:t>.….. 79</w:t>
      </w:r>
    </w:p>
    <w:p w14:paraId="10CF68C8" w14:textId="14507EE9" w:rsidR="009E4375" w:rsidRDefault="00000000" w:rsidP="0071197E">
      <w:pPr>
        <w:widowControl w:val="0"/>
        <w:tabs>
          <w:tab w:val="right" w:leader="dot" w:pos="12000"/>
        </w:tabs>
        <w:spacing w:before="0" w:after="0"/>
      </w:pPr>
      <w:r>
        <w:t xml:space="preserve">Table 12: Frequency and Percentage of Respondents by the Level of Satisfaction of Signed Communication Used at </w:t>
      </w:r>
      <w:proofErr w:type="gramStart"/>
      <w:r>
        <w:t>Dormitories .</w:t>
      </w:r>
      <w:proofErr w:type="gramEnd"/>
      <w:r>
        <w:t>……….…………………</w:t>
      </w:r>
      <w:proofErr w:type="gramStart"/>
      <w:r>
        <w:t>…..</w:t>
      </w:r>
      <w:proofErr w:type="gramEnd"/>
      <w:r>
        <w:t>…………</w:t>
      </w:r>
      <w:proofErr w:type="gramStart"/>
      <w:r>
        <w:t>…..</w:t>
      </w:r>
      <w:proofErr w:type="gramEnd"/>
      <w:r>
        <w:t xml:space="preserve"> 8</w:t>
      </w:r>
      <w:r w:rsidR="00C23A74">
        <w:t>0</w:t>
      </w:r>
    </w:p>
    <w:p w14:paraId="10CF68C9" w14:textId="16E61952" w:rsidR="009E4375" w:rsidRDefault="00000000" w:rsidP="0071197E">
      <w:pPr>
        <w:widowControl w:val="0"/>
        <w:tabs>
          <w:tab w:val="right" w:leader="dot" w:pos="12000"/>
        </w:tabs>
        <w:spacing w:before="0" w:after="0"/>
      </w:pPr>
      <w:r>
        <w:t>Table 13: Mean and Standard Deviation of Subdomains by Signed Communication at School ………………………….………… …………………………………………</w:t>
      </w:r>
      <w:r w:rsidR="008309CE">
        <w:t xml:space="preserve"> </w:t>
      </w:r>
      <w:r>
        <w:t>……</w:t>
      </w:r>
      <w:r w:rsidR="008309CE">
        <w:t xml:space="preserve"> </w:t>
      </w:r>
      <w:r>
        <w:t>… 81</w:t>
      </w:r>
    </w:p>
    <w:p w14:paraId="10CF68CA" w14:textId="30FDE279" w:rsidR="009E4375" w:rsidRDefault="00000000" w:rsidP="0071197E">
      <w:pPr>
        <w:widowControl w:val="0"/>
        <w:tabs>
          <w:tab w:val="right" w:leader="dot" w:pos="12000"/>
        </w:tabs>
        <w:spacing w:before="0" w:after="0"/>
      </w:pPr>
      <w:r>
        <w:t>Table 14: Mean and Standard Deviation of QOL by Signed Communication at Home ……………………</w:t>
      </w:r>
      <w:proofErr w:type="gramStart"/>
      <w:r>
        <w:t>…..</w:t>
      </w:r>
      <w:proofErr w:type="gramEnd"/>
      <w:r>
        <w:t>……………………………………………………………………</w:t>
      </w:r>
      <w:r w:rsidR="008309CE">
        <w:t xml:space="preserve"> </w:t>
      </w:r>
      <w:r>
        <w:t>….. 82</w:t>
      </w:r>
    </w:p>
    <w:p w14:paraId="10CF68CB" w14:textId="1956E1E0" w:rsidR="009E4375" w:rsidRDefault="00000000" w:rsidP="0071197E">
      <w:pPr>
        <w:widowControl w:val="0"/>
        <w:tabs>
          <w:tab w:val="right" w:leader="dot" w:pos="12000"/>
        </w:tabs>
        <w:spacing w:before="0" w:after="0"/>
      </w:pPr>
      <w:r>
        <w:t>Table 15: Independent Samples T-test Comparing BIM and KTBM ………………</w:t>
      </w:r>
      <w:r w:rsidR="008309CE">
        <w:t xml:space="preserve">  </w:t>
      </w:r>
      <w:r>
        <w:t>…. 8</w:t>
      </w:r>
      <w:r w:rsidR="00356DF9">
        <w:t>3</w:t>
      </w:r>
    </w:p>
    <w:p w14:paraId="10CF68CC" w14:textId="1DA13C09" w:rsidR="009E4375" w:rsidRDefault="00000000" w:rsidP="0071197E">
      <w:pPr>
        <w:widowControl w:val="0"/>
        <w:tabs>
          <w:tab w:val="right" w:leader="dot" w:pos="12000"/>
        </w:tabs>
        <w:spacing w:before="0" w:after="0"/>
      </w:pPr>
      <w:r>
        <w:t>Table 16: Mean and Standard Deviation of Subdomains by Signed Communication in Family……………………………………...……………………………….……………</w:t>
      </w:r>
      <w:r w:rsidR="008309CE">
        <w:t xml:space="preserve">  </w:t>
      </w:r>
      <w:r>
        <w:t>.….. 83</w:t>
      </w:r>
    </w:p>
    <w:p w14:paraId="10CF68CD" w14:textId="2562BF71" w:rsidR="009E4375" w:rsidRDefault="00000000" w:rsidP="0071197E">
      <w:pPr>
        <w:widowControl w:val="0"/>
        <w:tabs>
          <w:tab w:val="right" w:leader="dot" w:pos="12000"/>
        </w:tabs>
        <w:spacing w:before="0" w:after="0"/>
      </w:pPr>
      <w:r>
        <w:t>Table 17: A Multivariate Analysis of Variance (MANOVA) on the Type of Signed Communication at Home</w:t>
      </w:r>
      <w:r>
        <w:rPr>
          <w:i/>
          <w:iCs/>
        </w:rPr>
        <w:t xml:space="preserve"> ………………………</w:t>
      </w:r>
      <w:proofErr w:type="gramStart"/>
      <w:r>
        <w:rPr>
          <w:i/>
          <w:iCs/>
        </w:rPr>
        <w:t>….</w:t>
      </w:r>
      <w:r>
        <w:t>…..</w:t>
      </w:r>
      <w:proofErr w:type="gramEnd"/>
      <w:r>
        <w:t>……………………………</w:t>
      </w:r>
      <w:r w:rsidR="008309CE">
        <w:t xml:space="preserve">  </w:t>
      </w:r>
      <w:r w:rsidR="00603D09">
        <w:t>.</w:t>
      </w:r>
      <w:r>
        <w:t>…..... 84</w:t>
      </w:r>
    </w:p>
    <w:p w14:paraId="10CF68CE" w14:textId="33DFA251" w:rsidR="009E4375" w:rsidRDefault="00000000" w:rsidP="0071197E">
      <w:pPr>
        <w:widowControl w:val="0"/>
        <w:tabs>
          <w:tab w:val="right" w:leader="dot" w:pos="12000"/>
        </w:tabs>
        <w:spacing w:before="0" w:after="0"/>
      </w:pPr>
      <w:r>
        <w:t>Table 18: Mean and Standard Deviation of Overall QOL by Signed Communication in Dormitories ………………………………………………………………………</w:t>
      </w:r>
      <w:r w:rsidR="008309CE">
        <w:t xml:space="preserve"> </w:t>
      </w:r>
      <w:r>
        <w:t>…</w:t>
      </w:r>
      <w:r w:rsidR="00603D09">
        <w:t>.</w:t>
      </w:r>
      <w:r>
        <w:t>……</w:t>
      </w:r>
      <w:proofErr w:type="gramStart"/>
      <w:r>
        <w:t>.....</w:t>
      </w:r>
      <w:proofErr w:type="gramEnd"/>
      <w:r>
        <w:t xml:space="preserve"> 84</w:t>
      </w:r>
    </w:p>
    <w:p w14:paraId="10CF68CF" w14:textId="44C77BA8" w:rsidR="009E4375" w:rsidRDefault="00000000" w:rsidP="0071197E">
      <w:pPr>
        <w:widowControl w:val="0"/>
        <w:tabs>
          <w:tab w:val="right" w:leader="dot" w:pos="12000"/>
        </w:tabs>
        <w:spacing w:before="0" w:after="0"/>
      </w:pPr>
      <w:r>
        <w:t>Table 19: Independent Samples T-test Comparing BIM and KTBM ……….…</w:t>
      </w:r>
      <w:r w:rsidR="00603D09">
        <w:t>.</w:t>
      </w:r>
      <w:r>
        <w:t>….…... 8</w:t>
      </w:r>
      <w:r w:rsidR="00356DF9">
        <w:t>6</w:t>
      </w:r>
    </w:p>
    <w:p w14:paraId="10CF68D0" w14:textId="28183C21" w:rsidR="009E4375" w:rsidRDefault="00000000" w:rsidP="0071197E">
      <w:pPr>
        <w:widowControl w:val="0"/>
        <w:tabs>
          <w:tab w:val="right" w:leader="dot" w:pos="12000"/>
        </w:tabs>
        <w:spacing w:before="0" w:after="0"/>
      </w:pPr>
      <w:r>
        <w:t>Table 20: Mean and Standard Deviation of Subdomains of QOL by Signed Communication in Dormitories</w:t>
      </w:r>
      <w:proofErr w:type="gramStart"/>
      <w:r>
        <w:t xml:space="preserve"> ..</w:t>
      </w:r>
      <w:proofErr w:type="gramEnd"/>
      <w:r>
        <w:t>………………………………………</w:t>
      </w:r>
      <w:proofErr w:type="gramStart"/>
      <w:r>
        <w:t>…..</w:t>
      </w:r>
      <w:proofErr w:type="gramEnd"/>
      <w:r>
        <w:t>……</w:t>
      </w:r>
      <w:r w:rsidR="00603D09">
        <w:t>.</w:t>
      </w:r>
      <w:r>
        <w:t>……….... 86</w:t>
      </w:r>
    </w:p>
    <w:p w14:paraId="10CF68D1" w14:textId="040AA994" w:rsidR="009E4375" w:rsidRDefault="00000000" w:rsidP="0071197E">
      <w:pPr>
        <w:widowControl w:val="0"/>
        <w:tabs>
          <w:tab w:val="right" w:leader="dot" w:pos="12000"/>
        </w:tabs>
        <w:spacing w:before="0" w:after="0"/>
      </w:pPr>
      <w:r>
        <w:lastRenderedPageBreak/>
        <w:t>Table 21: A Multivariate Analysis of Variance (MANOVA) on the Type of Signed Communication at Dormitories …</w:t>
      </w:r>
      <w:proofErr w:type="gramStart"/>
      <w:r>
        <w:t>…..…..</w:t>
      </w:r>
      <w:proofErr w:type="gramEnd"/>
      <w:r>
        <w:t>…………………………………………</w:t>
      </w:r>
      <w:proofErr w:type="gramStart"/>
      <w:r>
        <w:t>….</w:t>
      </w:r>
      <w:r w:rsidR="00603D09">
        <w:t>.</w:t>
      </w:r>
      <w:proofErr w:type="gramEnd"/>
      <w:r>
        <w:t>…... 8</w:t>
      </w:r>
      <w:r w:rsidR="00356DF9">
        <w:t>7</w:t>
      </w:r>
    </w:p>
    <w:p w14:paraId="10CF68D2" w14:textId="37D76A2E" w:rsidR="009E4375" w:rsidRDefault="00000000" w:rsidP="0071197E">
      <w:pPr>
        <w:widowControl w:val="0"/>
        <w:tabs>
          <w:tab w:val="right" w:leader="dot" w:pos="12000"/>
        </w:tabs>
        <w:spacing w:before="0" w:after="0"/>
      </w:pPr>
      <w:r>
        <w:t xml:space="preserve">Table A-1: Steps of the Translation and Cross-cultural </w:t>
      </w:r>
      <w:proofErr w:type="gramStart"/>
      <w:r>
        <w:t>Adaptation  ...</w:t>
      </w:r>
      <w:proofErr w:type="gramEnd"/>
      <w:r>
        <w:t>…………….…. 12</w:t>
      </w:r>
      <w:r w:rsidR="00152DD7">
        <w:t>9</w:t>
      </w:r>
    </w:p>
    <w:p w14:paraId="10CF68D3" w14:textId="77777777" w:rsidR="009E4375" w:rsidRDefault="009E4375" w:rsidP="0071197E">
      <w:pPr>
        <w:spacing w:before="0" w:after="0"/>
        <w:rPr>
          <w:b/>
          <w:bCs/>
        </w:rPr>
      </w:pPr>
    </w:p>
    <w:p w14:paraId="10CF68D4" w14:textId="77777777" w:rsidR="009E4375" w:rsidRDefault="009E4375" w:rsidP="0071197E">
      <w:pPr>
        <w:spacing w:before="0" w:after="0"/>
        <w:rPr>
          <w:b/>
          <w:bCs/>
        </w:rPr>
      </w:pPr>
    </w:p>
    <w:p w14:paraId="19734378" w14:textId="77777777" w:rsidR="00F017F1" w:rsidRDefault="00F017F1" w:rsidP="0071197E">
      <w:pPr>
        <w:spacing w:before="0" w:after="0"/>
        <w:rPr>
          <w:b/>
          <w:bCs/>
        </w:rPr>
      </w:pPr>
    </w:p>
    <w:p w14:paraId="10CF68D5" w14:textId="77777777" w:rsidR="009E4375" w:rsidRDefault="00000000" w:rsidP="0071197E">
      <w:pPr>
        <w:spacing w:before="0" w:after="0"/>
        <w:jc w:val="center"/>
      </w:pPr>
      <w:r>
        <w:rPr>
          <w:b/>
          <w:bCs/>
        </w:rPr>
        <w:t>LIST OF FIGURES</w:t>
      </w:r>
    </w:p>
    <w:p w14:paraId="10CF68D6" w14:textId="77777777" w:rsidR="009E4375" w:rsidRDefault="009E4375" w:rsidP="0071197E">
      <w:pPr>
        <w:widowControl w:val="0"/>
        <w:tabs>
          <w:tab w:val="right" w:leader="dot" w:pos="12000"/>
        </w:tabs>
        <w:spacing w:before="0" w:after="0"/>
      </w:pPr>
    </w:p>
    <w:p w14:paraId="10CF68D7" w14:textId="660A6DFC" w:rsidR="009E4375" w:rsidRDefault="00000000" w:rsidP="0071197E">
      <w:pPr>
        <w:widowControl w:val="0"/>
        <w:tabs>
          <w:tab w:val="right" w:leader="dot" w:pos="12000"/>
        </w:tabs>
        <w:spacing w:before="0" w:after="0"/>
      </w:pPr>
      <w:r>
        <w:t>Figure 1: Maslow’s Hierarchy of Needs……………………………………………</w:t>
      </w:r>
      <w:r w:rsidR="008309CE">
        <w:t>.</w:t>
      </w:r>
      <w:r>
        <w:t>…</w:t>
      </w:r>
      <w:proofErr w:type="gramStart"/>
      <w:r>
        <w:t>…..</w:t>
      </w:r>
      <w:proofErr w:type="gramEnd"/>
      <w:r>
        <w:t xml:space="preserve"> 19</w:t>
      </w:r>
    </w:p>
    <w:p w14:paraId="10CF68D8" w14:textId="392A44D9" w:rsidR="009E4375" w:rsidRDefault="00000000" w:rsidP="0071197E">
      <w:pPr>
        <w:widowControl w:val="0"/>
        <w:tabs>
          <w:tab w:val="right" w:leader="dot" w:pos="12000"/>
        </w:tabs>
        <w:spacing w:before="0" w:after="0"/>
      </w:pPr>
      <w:r>
        <w:t>Figure 2: A Model of Quality of Life…  ………………………………………………</w:t>
      </w:r>
      <w:r w:rsidR="008309CE">
        <w:t>.</w:t>
      </w:r>
      <w:r>
        <w:t>…..  22</w:t>
      </w:r>
    </w:p>
    <w:p w14:paraId="10CF68D9" w14:textId="25A00CAE" w:rsidR="009E4375" w:rsidRDefault="00000000" w:rsidP="0071197E">
      <w:pPr>
        <w:widowControl w:val="0"/>
        <w:tabs>
          <w:tab w:val="right" w:leader="dot" w:pos="12000"/>
        </w:tabs>
        <w:spacing w:before="0" w:after="0"/>
      </w:pPr>
      <w:r>
        <w:t>Figure 3: Conceptualization of Quality of Life …………………………………</w:t>
      </w:r>
      <w:proofErr w:type="gramStart"/>
      <w:r>
        <w:t>…..</w:t>
      </w:r>
      <w:proofErr w:type="gramEnd"/>
      <w:r>
        <w:t>……</w:t>
      </w:r>
      <w:r w:rsidR="008309CE">
        <w:t>.</w:t>
      </w:r>
      <w:r>
        <w:t xml:space="preserve">  25</w:t>
      </w:r>
    </w:p>
    <w:p w14:paraId="10CF68DA" w14:textId="0CCEE8BE" w:rsidR="009E4375" w:rsidRDefault="00000000" w:rsidP="0071197E">
      <w:pPr>
        <w:widowControl w:val="0"/>
        <w:tabs>
          <w:tab w:val="right" w:leader="dot" w:pos="12000"/>
        </w:tabs>
        <w:spacing w:before="0" w:after="0"/>
      </w:pPr>
      <w:r>
        <w:t>Figure 4: Total Population and Subgroup Comparisons of Satisfaction with Life…</w:t>
      </w:r>
      <w:r w:rsidR="008309CE">
        <w:t>.</w:t>
      </w:r>
      <w:r>
        <w:t>…  26</w:t>
      </w:r>
    </w:p>
    <w:p w14:paraId="10CF68DB" w14:textId="78C37399" w:rsidR="009E4375" w:rsidRDefault="00000000" w:rsidP="0071197E">
      <w:pPr>
        <w:widowControl w:val="0"/>
        <w:tabs>
          <w:tab w:val="right" w:leader="dot" w:pos="12000"/>
        </w:tabs>
        <w:spacing w:before="0" w:after="0"/>
      </w:pPr>
      <w:r>
        <w:t>Figure 5: Quality of Life Domains …</w:t>
      </w:r>
      <w:proofErr w:type="gramStart"/>
      <w:r>
        <w:t>…..</w:t>
      </w:r>
      <w:proofErr w:type="gramEnd"/>
      <w:r>
        <w:t>…………………………………………………</w:t>
      </w:r>
      <w:proofErr w:type="gramStart"/>
      <w:r w:rsidR="008309CE">
        <w:t xml:space="preserve"> </w:t>
      </w:r>
      <w:r>
        <w:t>..</w:t>
      </w:r>
      <w:proofErr w:type="gramEnd"/>
      <w:r>
        <w:t xml:space="preserve"> 28</w:t>
      </w:r>
    </w:p>
    <w:p w14:paraId="10CF68DC" w14:textId="77BFBE03" w:rsidR="009E4375" w:rsidRDefault="00000000" w:rsidP="0071197E">
      <w:pPr>
        <w:widowControl w:val="0"/>
        <w:tabs>
          <w:tab w:val="right" w:leader="dot" w:pos="12000"/>
        </w:tabs>
        <w:spacing w:before="0" w:after="0"/>
      </w:pPr>
      <w:r>
        <w:t>Figure 6: An Overall Model of Quality of Life …………………………………………</w:t>
      </w:r>
      <w:r w:rsidR="008309CE">
        <w:t xml:space="preserve"> </w:t>
      </w:r>
      <w:r>
        <w:t>…. 3</w:t>
      </w:r>
      <w:r w:rsidR="00BD14E8">
        <w:t>1</w:t>
      </w:r>
    </w:p>
    <w:p w14:paraId="10CF68DD" w14:textId="77777777" w:rsidR="009E4375" w:rsidRDefault="009E4375" w:rsidP="0071197E">
      <w:pPr>
        <w:widowControl w:val="0"/>
        <w:tabs>
          <w:tab w:val="right" w:leader="dot" w:pos="12000"/>
        </w:tabs>
        <w:spacing w:before="0" w:after="0"/>
      </w:pPr>
    </w:p>
    <w:p w14:paraId="10CF68DE" w14:textId="77777777" w:rsidR="009E4375" w:rsidRDefault="009E4375">
      <w:pPr>
        <w:widowControl w:val="0"/>
        <w:tabs>
          <w:tab w:val="right" w:leader="dot" w:pos="12000"/>
        </w:tabs>
        <w:spacing w:before="60" w:after="0"/>
        <w:sectPr w:rsidR="009E4375" w:rsidSect="00F20DE4">
          <w:pgSz w:w="12240" w:h="15840"/>
          <w:pgMar w:top="1440" w:right="1440" w:bottom="1440" w:left="1440" w:header="720" w:footer="720" w:gutter="0"/>
          <w:pgNumType w:fmt="lowerRoman"/>
          <w:cols w:space="720"/>
        </w:sectPr>
      </w:pPr>
    </w:p>
    <w:p w14:paraId="2D48E17B" w14:textId="77777777" w:rsidR="00D60F73" w:rsidRDefault="00000000" w:rsidP="00D60F73">
      <w:pPr>
        <w:pStyle w:val="Heading1"/>
      </w:pPr>
      <w:bookmarkStart w:id="2" w:name="_Toc214490362"/>
      <w:r>
        <w:lastRenderedPageBreak/>
        <w:t>CHAPTER I</w:t>
      </w:r>
      <w:bookmarkStart w:id="3" w:name="_Toc214490363"/>
      <w:bookmarkEnd w:id="2"/>
    </w:p>
    <w:p w14:paraId="10CF68E0" w14:textId="07784DAF" w:rsidR="009E4375" w:rsidRPr="00423AF1" w:rsidRDefault="00000000" w:rsidP="00D51647">
      <w:pPr>
        <w:pStyle w:val="Heading2"/>
      </w:pPr>
      <w:r w:rsidRPr="00423AF1">
        <w:t>Introduction</w:t>
      </w:r>
      <w:bookmarkEnd w:id="3"/>
    </w:p>
    <w:p w14:paraId="10CF68E1" w14:textId="77777777" w:rsidR="009E4375" w:rsidRDefault="009E4375"/>
    <w:p w14:paraId="10CF68E2" w14:textId="77777777" w:rsidR="009E4375" w:rsidRPr="0098360E" w:rsidRDefault="00000000" w:rsidP="0098360E">
      <w:pPr>
        <w:pStyle w:val="Heading3"/>
      </w:pPr>
      <w:bookmarkStart w:id="4" w:name="_Toc214490364"/>
      <w:r w:rsidRPr="0098360E">
        <w:t>Introduction to the Study</w:t>
      </w:r>
      <w:bookmarkEnd w:id="4"/>
    </w:p>
    <w:p w14:paraId="10CF68E3" w14:textId="77777777" w:rsidR="009E4375" w:rsidRDefault="00000000">
      <w:pPr>
        <w:spacing w:before="0" w:after="0"/>
        <w:ind w:firstLine="720"/>
      </w:pPr>
      <w:r>
        <w:t>The World Health Organization (WHO) provides a definition of Quality of Life (QOL) that has been applied in various studies (Freeman, 2014; Gerich &amp; Fellinger, 2011; McAbee, 2015) as “the individuals’ perceptions of their position in life, in the context of the cultural and value systems in which they live and in relation to their goals, expectations, standards and concerns” (World Health Organization, 1995, p. 1405).  Studies help researchers and others better understand the experiences of vulnerable individuals and groups who may have been disenfranchised by society, such as women, minorities, the elderly, and people with disabilities (McAbee et al., 2017). According to Trovato (2013), deaf communities in various countries have their own signed languages, which should be protected legally to ensure proper linguistic development and cognitive potential among the deaf. By doing so, their QOL can be improved. However, there is a dearth of literature and research on the QOL within the deaf</w:t>
      </w:r>
      <w:r>
        <w:rPr>
          <w:vertAlign w:val="superscript"/>
        </w:rPr>
        <w:footnoteReference w:id="1"/>
      </w:r>
      <w:r>
        <w:t xml:space="preserve"> community in Malaysia. The Malaysian deaf community uses various signed languages, which will be described in this chapter. Since a variety of signed languages are used in Malaysia, this study aims to explore how they influence the QOL, with the potential to determine which sign language has the greatest influence on deaf individuals. Therefore, in this study, I examine the QOL of deaf Malaysians who have graduated from secondary school, are at least 18 years old, and who have experienced signed communication during their school years. Ultimately, the results of this study are intended to enhance our understanding and inform future educational practices for supporting children who are deaf in Malaysia.</w:t>
      </w:r>
    </w:p>
    <w:p w14:paraId="10CF68E4" w14:textId="77777777" w:rsidR="009E4375" w:rsidRDefault="009E4375">
      <w:pPr>
        <w:spacing w:before="0" w:after="0"/>
        <w:ind w:firstLine="720"/>
      </w:pPr>
    </w:p>
    <w:p w14:paraId="10CF68E5" w14:textId="77777777" w:rsidR="009E4375" w:rsidRDefault="00000000">
      <w:pPr>
        <w:pStyle w:val="Heading2"/>
      </w:pPr>
      <w:bookmarkStart w:id="5" w:name="_Toc214490365"/>
      <w:r>
        <w:lastRenderedPageBreak/>
        <w:t>Rationale</w:t>
      </w:r>
      <w:bookmarkEnd w:id="5"/>
    </w:p>
    <w:p w14:paraId="10CF68E6" w14:textId="77777777" w:rsidR="009E4375" w:rsidRDefault="00000000">
      <w:pPr>
        <w:pStyle w:val="Heading3"/>
      </w:pPr>
      <w:bookmarkStart w:id="6" w:name="_Toc214490366"/>
      <w:r>
        <w:t>Signed Languages in Malaysia</w:t>
      </w:r>
      <w:bookmarkEnd w:id="6"/>
    </w:p>
    <w:p w14:paraId="10CF68E7" w14:textId="77777777" w:rsidR="009E4375" w:rsidRDefault="00000000">
      <w:pPr>
        <w:spacing w:before="0" w:after="0"/>
        <w:ind w:firstLine="720"/>
      </w:pPr>
      <w:r>
        <w:t xml:space="preserve">Throughout Malaysia’s history, various forms of signed languages and oralism have occurred in and after schools. Signed language was discovered to be used at the Federation School for the Deaf (FSD). The school was established in Penang, the north of Peninsular Malaysia, in 1954 (Bell et al., 2015). The FSD was Malaysia’s first fully residential school for deaf children from all parts of the country. Deaf children frequently socialized with friends at the residential </w:t>
      </w:r>
      <w:proofErr w:type="gramStart"/>
      <w:r>
        <w:t>school,</w:t>
      </w:r>
      <w:proofErr w:type="gramEnd"/>
      <w:r>
        <w:t xml:space="preserve"> where they lived and carried out all their daily activities. The students communicated meaningfully </w:t>
      </w:r>
      <w:proofErr w:type="gramStart"/>
      <w:r>
        <w:t>through the use of</w:t>
      </w:r>
      <w:proofErr w:type="gramEnd"/>
      <w:r>
        <w:t xml:space="preserve"> natural </w:t>
      </w:r>
      <w:proofErr w:type="gramStart"/>
      <w:r>
        <w:t>signed</w:t>
      </w:r>
      <w:proofErr w:type="gramEnd"/>
      <w:r>
        <w:t xml:space="preserve"> language while they were in the dormitories. However, the teachers used oralism to teach deaf students in the classrooms.</w:t>
      </w:r>
    </w:p>
    <w:p w14:paraId="10CF68E8" w14:textId="77777777" w:rsidR="009E4375" w:rsidRDefault="00000000">
      <w:pPr>
        <w:spacing w:before="0" w:after="0"/>
        <w:ind w:firstLine="720"/>
      </w:pPr>
      <w:r>
        <w:t>The British brought their way of life, including education, to Malaysia during the British colonization of Malaysia between 1824 and 1957. One of those influences was the use of oralism to teach deaf students. Oralism was introduced to the FSD, which followed the practice of teaching deaf children in Britain. At the FSD, oralism was used in the classrooms, while outside the classroom, deaf children used various forms of gestures or sign language. Saleena Yahaya Isa (formerly known as Lee Kooi Jong before she married a Muslim man and converted to Islam in 1967) was a teacher volunteer at the FSD during the evenings. The lack of English proficiency among the FSD students (Chong, 2014) prompted her to return to England to undertake a one-year program in Special Education for the Hearing Impaired at Manchester University in 1955 (The Straits Times, 1955 &amp; 1956). She learned the “British styles of deaf education that was a form of strict oral education (lipreading and speech skills), which meant that any signing by the students would be punished by the staff and teachers, who were all hearing individuals” (Nakamura, 2022, p. 197). She enforced the oralism method of instruction at the FSD in 1956 (Yahaya-Isa, 2004). With the inception of oralism at the FSD, students were forbidden to use any form of signed language or gesture in the classrooms, so they secretly communicated using signs in their dormitories, outside the classroom, or while their teachers were not present. During this process,</w:t>
      </w:r>
      <w:r>
        <w:rPr>
          <w:b/>
          <w:bCs/>
        </w:rPr>
        <w:t xml:space="preserve"> </w:t>
      </w:r>
      <w:r>
        <w:t>they developed the initial signs of Penang Sign Language (Hurlbut, 2000), which was later used in the FSD and locally in Penang.</w:t>
      </w:r>
    </w:p>
    <w:p w14:paraId="10CF68E9" w14:textId="77777777" w:rsidR="009E4375" w:rsidRDefault="00000000">
      <w:pPr>
        <w:spacing w:before="0" w:after="0"/>
        <w:ind w:firstLine="720"/>
      </w:pPr>
      <w:r>
        <w:lastRenderedPageBreak/>
        <w:t xml:space="preserve">After five years as a teacher, Saleena Yahaya-Isa (2004) became a principal at the FSD in 1961. She asserted that 72% of deaf students of the FSD who spent 12 years in school did not acquire a reasonable language proficiency standard, and 96% of the FSD students did not learn to speak (Yahaya-Isa, 2004). Additionally, the FSD students’ academic performance was based more on oralism than understanding and gaining academic knowledge. During overseas conferences, Saleena asked questions about the concept of pure oralism because she felt it was too narrow and restrictive. She </w:t>
      </w:r>
      <w:proofErr w:type="gramStart"/>
      <w:r>
        <w:t>“ . . .</w:t>
      </w:r>
      <w:proofErr w:type="gramEnd"/>
      <w:r>
        <w:t xml:space="preserve"> looked in earnest for alternative strategies for teaching deaf students that were more in keeping with local realities and needs” (Yahaya-Isa, 2004, p. 92).</w:t>
      </w:r>
    </w:p>
    <w:p w14:paraId="10CF68EA" w14:textId="77777777" w:rsidR="009E4375" w:rsidRDefault="009E4375">
      <w:pPr>
        <w:spacing w:before="0" w:after="0"/>
        <w:ind w:firstLine="720"/>
      </w:pPr>
    </w:p>
    <w:p w14:paraId="10CF68EB" w14:textId="77777777" w:rsidR="009E4375" w:rsidRDefault="00000000">
      <w:pPr>
        <w:pStyle w:val="Heading4"/>
      </w:pPr>
      <w:bookmarkStart w:id="7" w:name="_Toc214490367"/>
      <w:r>
        <w:t>A New Approach to Deaf Education in Malaysia</w:t>
      </w:r>
      <w:bookmarkEnd w:id="7"/>
    </w:p>
    <w:p w14:paraId="10CF68EC" w14:textId="77777777" w:rsidR="009E4375" w:rsidRDefault="00000000">
      <w:pPr>
        <w:spacing w:before="0" w:after="0"/>
        <w:ind w:firstLine="720"/>
      </w:pPr>
      <w:r>
        <w:t xml:space="preserve">In 1971, an FSD student, Eleanor Culas, who utilized the oral approach and some Penang Sign Language, was the first deaf student from the FSD to successfully pursue her studies at Gallaudet College (now known as Gallaudet University) in Washington, D.C., the United States of America. She began her studies and earned her bachelor's degree from Gallaudet College in 1976 (Nakamura, 2002; Yahaya-Isa, 2004). While at the college, Eleanor was impressed by the sign language used by deaf people, and she also used sign language there. In 1974, during a summer holiday, she returned to Malaysia and visited the FSD. She continued to use sign language there (Eleanor, personal communication, April 18, 2024) when Saleena objected to it. Eleanor spoke out and said, “I am not ashamed to be deaf. I use sign language to let the world know I am deaf” (Parsons, 2005, p. 223). Eleanor’s outburst “. . . shocked Saleena into rethinking her perception of how deaf students should be educated” (Parsons, 2005, p.223).  </w:t>
      </w:r>
    </w:p>
    <w:p w14:paraId="10CF68ED" w14:textId="77777777" w:rsidR="009E4375" w:rsidRDefault="00000000">
      <w:pPr>
        <w:spacing w:before="0" w:after="0"/>
        <w:ind w:firstLine="720"/>
      </w:pPr>
      <w:r>
        <w:t xml:space="preserve">When Eleanor Culas returned to Gallaudet College after her vacation in Malaysia, she met with Frances Parsons, a professor at Gallaudet College. Parsons, a deaf woman who can speak fluently, was known to use Signed English. Eleanor asked her to share her expertise in using Signed English at the FSD when she visited Malaysia. Parsons met </w:t>
      </w:r>
      <w:r>
        <w:rPr>
          <w:highlight w:val="white"/>
        </w:rPr>
        <w:t xml:space="preserve">with </w:t>
      </w:r>
      <w:r>
        <w:t xml:space="preserve">Roy K. Holcomb, the father of Total Communication (TC), to discuss TC (Parsons, 2005). When Holcomb became a deaf supervisor for the hearing impaired program in the Santa Ana Unified School District in California in 1968 </w:t>
      </w:r>
      <w:r>
        <w:lastRenderedPageBreak/>
        <w:t xml:space="preserve">(Holcomb, 1971), he stated, “Total Communication is using all means of communication with the children, especially at the earliest possible age….Total Communication, as used in the Santa Ana Program, consists of auditory training, speech, speechreading, fingerspelling, and the language of signs” (Holcomb, 1971, p. 524). One of his famous quotes was, “Communicate with the deaf in any way you can - stand on your head, if necessary.” (Holcomb, 1971, p. 524). Parsons </w:t>
      </w:r>
      <w:proofErr w:type="gramStart"/>
      <w:r>
        <w:t>was</w:t>
      </w:r>
      <w:proofErr w:type="gramEnd"/>
      <w:r>
        <w:t xml:space="preserve"> well-known worldwide for sharing </w:t>
      </w:r>
      <w:proofErr w:type="gramStart"/>
      <w:r>
        <w:t>the TC</w:t>
      </w:r>
      <w:proofErr w:type="gramEnd"/>
      <w:r>
        <w:t xml:space="preserve"> philosophy. When Parsons was on a one-year sabbatical leave in 1976, she visited deaf schools in some countries in Asia and Africa, including Malaysia (Yahaya-Isa, 2004; Parsons, 2005) to continue to spread TC.</w:t>
      </w:r>
    </w:p>
    <w:p w14:paraId="10CF68EE" w14:textId="77777777" w:rsidR="009E4375" w:rsidRDefault="009E4375">
      <w:pPr>
        <w:spacing w:before="0" w:after="0"/>
        <w:ind w:firstLine="720"/>
      </w:pPr>
    </w:p>
    <w:p w14:paraId="10CF68EF" w14:textId="77777777" w:rsidR="009E4375" w:rsidRDefault="00000000">
      <w:pPr>
        <w:pStyle w:val="Heading4"/>
      </w:pPr>
      <w:bookmarkStart w:id="8" w:name="_Toc214490368"/>
      <w:r>
        <w:t>Total Communication</w:t>
      </w:r>
      <w:bookmarkEnd w:id="8"/>
    </w:p>
    <w:p w14:paraId="10CF68F0" w14:textId="77777777" w:rsidR="009E4375" w:rsidRDefault="00000000">
      <w:pPr>
        <w:spacing w:before="0" w:after="0"/>
        <w:ind w:firstLine="720"/>
      </w:pPr>
      <w:r>
        <w:t>In March 1976, Frances Parsons visited the FSD and met Saleena. Parsons convinced Saleena</w:t>
      </w:r>
      <w:r>
        <w:rPr>
          <w:highlight w:val="white"/>
        </w:rPr>
        <w:t xml:space="preserve"> t</w:t>
      </w:r>
      <w:r>
        <w:t>hat signing was the way of the future for her schoolchildren (Nakamura, 2002). Frances Parson advocated for allowing deaf students to use signed language in the classroom. Parsons recommended the philosophy of Total Communication (TC). TC includes “the full spectrum of language modes, child-devised gestures, the language of signs, speech reading, finger spelling, reading, and writing” (</w:t>
      </w:r>
      <w:proofErr w:type="spellStart"/>
      <w:r>
        <w:t>Dento</w:t>
      </w:r>
      <w:proofErr w:type="spellEnd"/>
      <w:r>
        <w:t>, 1976, p. 4). TC is a comprehensive approach to communication that may include the use of multiple modes such as spoken (oral), manual (signed) language, written language, and visual aids depending on the individual’s needs and abilities. Although this was the philosophy and intent of TC, over time, TC was implemented by signing and speaking at the same time, known as simultaneous communication (sim-com).</w:t>
      </w:r>
    </w:p>
    <w:p w14:paraId="10CF68F1" w14:textId="77777777" w:rsidR="009E4375" w:rsidRDefault="009E4375">
      <w:pPr>
        <w:spacing w:before="0" w:after="0"/>
        <w:ind w:firstLine="720"/>
      </w:pPr>
    </w:p>
    <w:p w14:paraId="10CF68F2" w14:textId="77777777" w:rsidR="009E4375" w:rsidRDefault="00000000">
      <w:pPr>
        <w:pStyle w:val="Heading4"/>
      </w:pPr>
      <w:bookmarkStart w:id="9" w:name="_Toc214490369"/>
      <w:r>
        <w:t>Signed English</w:t>
      </w:r>
      <w:bookmarkEnd w:id="9"/>
    </w:p>
    <w:p w14:paraId="10CF68F3" w14:textId="77777777" w:rsidR="009E4375" w:rsidRDefault="00000000">
      <w:pPr>
        <w:spacing w:before="0" w:after="0"/>
        <w:ind w:firstLine="720"/>
      </w:pPr>
      <w:r>
        <w:t xml:space="preserve">Saleena viewed Signed English, known at the time in Malaysia as Manually Coded English (MCE) </w:t>
      </w:r>
      <w:proofErr w:type="gramStart"/>
      <w:r>
        <w:t>as a way to</w:t>
      </w:r>
      <w:proofErr w:type="gramEnd"/>
      <w:r>
        <w:t xml:space="preserve"> help deaf children integrate into hearing Malaysian society (Nakamura, 2002). Malaysian deaf students who learned English and MCE were able to attend Gallaudet College in the United States. Saleena requested that Frances Parsons teach MCE.  Frances Parsons taught a six-week intensive course with the FSD teachers who volunteered their evenings (Chong, 2014; Parson, 2005) to learn MCE. </w:t>
      </w:r>
    </w:p>
    <w:p w14:paraId="10CF68F4" w14:textId="77777777" w:rsidR="009E4375" w:rsidRDefault="00000000">
      <w:pPr>
        <w:spacing w:before="0" w:after="0"/>
        <w:ind w:firstLine="720"/>
      </w:pPr>
      <w:r>
        <w:lastRenderedPageBreak/>
        <w:t>In 1957, Malaysia became independent from Britain. During the decolonization process, Malaysia changed the medium of instruction from the use of colonizers' English to their own national language, Malay. In the 1970s, Malaysia began the transition from using English to Malay. The primary school was the first phase of the transition from English to Malay as the medium of instruction, while at the same time, English continued to be the medium of instruction at secondary schools. By 1985, English as the medium of instruction was phased out at public (government-funded) schools, including primary and secondary schools as well as public universities in Malaysia.</w:t>
      </w:r>
    </w:p>
    <w:p w14:paraId="10CF68F5" w14:textId="77777777" w:rsidR="009E4375" w:rsidRDefault="009E4375">
      <w:pPr>
        <w:spacing w:before="0" w:after="0"/>
        <w:ind w:firstLine="720"/>
      </w:pPr>
    </w:p>
    <w:p w14:paraId="10CF68F6" w14:textId="77777777" w:rsidR="009E4375" w:rsidRDefault="00000000">
      <w:pPr>
        <w:pStyle w:val="Heading4"/>
      </w:pPr>
      <w:bookmarkStart w:id="10" w:name="_Toc214490370"/>
      <w:r>
        <w:t>Signed Malay</w:t>
      </w:r>
      <w:bookmarkEnd w:id="10"/>
    </w:p>
    <w:p w14:paraId="10CF68F7" w14:textId="77777777" w:rsidR="009E4375" w:rsidRDefault="00000000">
      <w:pPr>
        <w:spacing w:before="0" w:after="0"/>
        <w:ind w:firstLine="720"/>
      </w:pPr>
      <w:r>
        <w:t xml:space="preserve">During this transition process of </w:t>
      </w:r>
      <w:proofErr w:type="gramStart"/>
      <w:r>
        <w:t>the languages</w:t>
      </w:r>
      <w:proofErr w:type="gramEnd"/>
      <w:r>
        <w:t xml:space="preserve"> as the medium of instruction, the FSD developed a Malay version of sign language known as Signed Malay, which was originally taken from MCE. Signed Malay was to be used by deaf primary school students since they had already begun using Malay as the medium of instruction. At the same time, the FSD adopted MCE. MCE was used when English was the medium of instruction in secondary schools.  </w:t>
      </w:r>
    </w:p>
    <w:p w14:paraId="10CF68F8" w14:textId="77777777" w:rsidR="009E4375" w:rsidRDefault="00000000">
      <w:pPr>
        <w:spacing w:before="0" w:after="0"/>
        <w:ind w:firstLine="720"/>
      </w:pPr>
      <w:r>
        <w:t xml:space="preserve">Saleena wanted to implement TC at the FSD, but she needed to seek permission to conduct a trial of using TC in a classroom from the Minister of Education (MOE). Saleena arranged a meeting regarding TC between Parsons and Dr. Mahathir Mohamad, who was the Deputy Prime Minister </w:t>
      </w:r>
      <w:proofErr w:type="gramStart"/>
      <w:r>
        <w:t>and also</w:t>
      </w:r>
      <w:proofErr w:type="gramEnd"/>
      <w:r>
        <w:t xml:space="preserve"> the Minister of Education (Parsons, 2005; Yahaya-Isa, 2004). On May 7, 1976, Frances Parsons convinced Dr. Mahathir, who granted the FSD permission to conduct an experimental trial using TC in September 1976. With a five-year grant from the MOE, Saleena established an experimental pilot study with two classes of deaf students to determine the results of children's performance based on the type of communication used. One class used TC, which was implemented </w:t>
      </w:r>
      <w:proofErr w:type="gramStart"/>
      <w:r>
        <w:t>through the use of</w:t>
      </w:r>
      <w:proofErr w:type="gramEnd"/>
      <w:r>
        <w:t xml:space="preserve"> simultaneous speech and Signed Malay, and one class used the oral approach (Parsons, 2005; Yahaya-Isa, 2004). </w:t>
      </w:r>
    </w:p>
    <w:p w14:paraId="10CF68F9" w14:textId="77777777" w:rsidR="009E4375" w:rsidRDefault="00000000">
      <w:pPr>
        <w:spacing w:before="0" w:after="0"/>
        <w:ind w:firstLine="720"/>
      </w:pPr>
      <w:r>
        <w:t xml:space="preserve">By 1978, less than three years into the five-year study, the students in the experimental class using sim-com demonstrated marked superiority in the use of language over their peers in the oral classes (Nakamura, 2002; Yahaya-Isa, 2004). As a </w:t>
      </w:r>
      <w:r>
        <w:lastRenderedPageBreak/>
        <w:t>result of the successful experiment, the MOE accelerated the implementation date of TC and, therefore, allowed for a more liberal approach to teaching deaf students. The MOE officially announced that the implementation of TC was to begin in all public schools run by the MOE that teach deaf children in Malaysia (Yahaya-Isa, 2004). In March 1978, the MOE formed a working committee to oversee the switch from oralism to TC throughout Malaysia (Chua, 1991) and to be responsible for supporting the National Total Communication Committee. In 1979, Saleena was assigned to the committee, which consisted of a group of academic professionals and teachers who taught deaf children throughout Malaysia (Kementerian Pelajaran Malaysia</w:t>
      </w:r>
      <w:r>
        <w:rPr>
          <w:i/>
          <w:iCs/>
        </w:rPr>
        <w:t>,</w:t>
      </w:r>
      <w:r>
        <w:t xml:space="preserve"> 1985). Their goal was to expand Signed Malay to incorporate more signs by including American Sign Language (ASL), Signing Exact English, and “... some local signs and grammatical signs representing affixation of nouns and verbs that are used in the Malay Language” (Ow et al., 2007, p. 168).</w:t>
      </w:r>
    </w:p>
    <w:p w14:paraId="10CF68FA" w14:textId="77777777" w:rsidR="009E4375" w:rsidRDefault="009E4375">
      <w:pPr>
        <w:spacing w:before="0" w:after="0"/>
        <w:ind w:firstLine="720"/>
      </w:pPr>
    </w:p>
    <w:p w14:paraId="10CF68FB" w14:textId="77777777" w:rsidR="009E4375" w:rsidRDefault="00000000">
      <w:pPr>
        <w:pStyle w:val="Heading4"/>
      </w:pPr>
      <w:bookmarkStart w:id="11" w:name="_Toc214490371"/>
      <w:proofErr w:type="spellStart"/>
      <w:r>
        <w:t>Kod</w:t>
      </w:r>
      <w:proofErr w:type="spellEnd"/>
      <w:r>
        <w:t xml:space="preserve"> Tangan Bahasa Malaysia (KTBM)</w:t>
      </w:r>
      <w:bookmarkEnd w:id="11"/>
    </w:p>
    <w:p w14:paraId="10CF68FC" w14:textId="77777777" w:rsidR="009E4375" w:rsidRDefault="00000000">
      <w:pPr>
        <w:spacing w:before="0" w:after="0"/>
        <w:ind w:firstLine="720"/>
      </w:pPr>
      <w:r>
        <w:t xml:space="preserve">Signed Malay later became known as </w:t>
      </w:r>
      <w:proofErr w:type="spellStart"/>
      <w:r>
        <w:rPr>
          <w:i/>
          <w:iCs/>
        </w:rPr>
        <w:t>Kod</w:t>
      </w:r>
      <w:proofErr w:type="spellEnd"/>
      <w:r>
        <w:rPr>
          <w:i/>
          <w:iCs/>
        </w:rPr>
        <w:t xml:space="preserve"> Tangan Bahasa Malaysia </w:t>
      </w:r>
      <w:r>
        <w:t>(KTBM). KTBM is translated in English as Manually Coded Malay</w:t>
      </w:r>
      <w:r>
        <w:rPr>
          <w:i/>
          <w:iCs/>
        </w:rPr>
        <w:t>.</w:t>
      </w:r>
      <w:r>
        <w:t xml:space="preserve"> American signs from </w:t>
      </w:r>
      <w:r>
        <w:rPr>
          <w:i/>
          <w:iCs/>
        </w:rPr>
        <w:t>A Basic Course in Manual Communication</w:t>
      </w:r>
      <w:r>
        <w:t xml:space="preserve"> by Terrence J. O’Rourke (National Association of the Deaf, 1973) formed the basis of KTBM. Pictures of American signs were used, but the written English for each sign was changed to written Malay. When there were no signs for some words, the teachers on the committee invented signs and thereby expanded KTBM. Ultimately, the MOE published a book titled KTBM to be utilized as a medium of instruction at schools with the goal of helping deaf students master the Malay language for reading and writing (Omar, 1978). </w:t>
      </w:r>
    </w:p>
    <w:p w14:paraId="10CF68FD" w14:textId="77777777" w:rsidR="009E4375" w:rsidRDefault="00000000">
      <w:pPr>
        <w:spacing w:before="0" w:after="0"/>
        <w:ind w:firstLine="720"/>
      </w:pPr>
      <w:r>
        <w:t xml:space="preserve">As of today, the Department of Special Education under the Ministry of Education still uses KTBM as the primary medium of instruction officially in special education schools and schools where deaf </w:t>
      </w:r>
      <w:proofErr w:type="gramStart"/>
      <w:r>
        <w:t>students</w:t>
      </w:r>
      <w:proofErr w:type="gramEnd"/>
      <w:r>
        <w:t xml:space="preserve"> study. The approach is intended to support spoken Malay, which is not a native language for deaf people. KTBM is considered a manually coded form of Malay or an artificial signed language. Despite the evidence from statistical research worldwide, particularly on sign bilingualism (Griffin, 2018; Tang, 2017), KTBM is still prevalent in Malaysia because of beliefs that it is conducive to the </w:t>
      </w:r>
      <w:r>
        <w:lastRenderedPageBreak/>
        <w:t xml:space="preserve">teaching of reading and writing. KTBM is taught at universities and the Specialist Teacher Training Institute in Malaysia for the preparation of future teachers of the deaf. </w:t>
      </w:r>
    </w:p>
    <w:p w14:paraId="10CF68FE" w14:textId="77777777" w:rsidR="009E4375" w:rsidRDefault="009E4375">
      <w:pPr>
        <w:spacing w:before="0" w:after="0"/>
        <w:ind w:firstLine="720"/>
      </w:pPr>
    </w:p>
    <w:p w14:paraId="10CF68FF" w14:textId="77777777" w:rsidR="009E4375" w:rsidRDefault="00000000">
      <w:pPr>
        <w:pStyle w:val="Heading4"/>
      </w:pPr>
      <w:bookmarkStart w:id="12" w:name="_Toc214490372"/>
      <w:r>
        <w:t>American Sign Language (ASL)</w:t>
      </w:r>
      <w:bookmarkEnd w:id="12"/>
    </w:p>
    <w:p w14:paraId="10CF6900" w14:textId="77777777" w:rsidR="009E4375" w:rsidRDefault="00000000">
      <w:pPr>
        <w:spacing w:before="0" w:after="0"/>
        <w:ind w:firstLine="720"/>
      </w:pPr>
      <w:r>
        <w:t xml:space="preserve">In the 1960s, however, American Sign Language (ASL) also had a significant influence on the development of signed language in other parts of Malaysia. A hearing certified pharmacist in Malaysia, Tan Yap, became interested in working with deaf children after he found out about them. Tan Yap took a one-year leave of absence from his work to take sign language interpreting courses at Gallaudet College. In 1964, after completing the courses, he returned to Malaysia to set up a school to teach ASL to deaf people in Johor, which is in the south of Peninsular Malaysia (Chong, 2014), especially to dropouts and those who missed an opportunity for primary or secondary education. Following that, he founded another school for the deaf in Kuala Lumpur, the capital of Malaysia, in 1968. He additionally founded a deaf club at the YMCA Kuala Lumpur in 1973 so that deaf adults could </w:t>
      </w:r>
      <w:proofErr w:type="gramStart"/>
      <w:r>
        <w:t>gather together</w:t>
      </w:r>
      <w:proofErr w:type="gramEnd"/>
      <w:r>
        <w:t xml:space="preserve"> for social interactions. As part of his promotion of ASL, he, with deaf people and those who work with deaf people, conducted sign language classes for various groups in the community, such as government employees, companies, charitable organizations, churches, religious centers, hospitals, and parents of deaf children throughout Malaysia. Due to Tan Yap’s work in setting up schools, employment opportunities, and clubs, he is called the “Father of the Deaf'' by the deaf community in Malaysia (Hurlbert, 2000).</w:t>
      </w:r>
    </w:p>
    <w:p w14:paraId="10CF6901" w14:textId="77777777" w:rsidR="009E4375" w:rsidRDefault="009E4375">
      <w:pPr>
        <w:spacing w:before="0" w:after="0"/>
        <w:ind w:firstLine="720"/>
      </w:pPr>
    </w:p>
    <w:p w14:paraId="10CF6902" w14:textId="77777777" w:rsidR="009E4375" w:rsidRDefault="00000000">
      <w:pPr>
        <w:pStyle w:val="Heading4"/>
      </w:pPr>
      <w:bookmarkStart w:id="13" w:name="_Toc214490373"/>
      <w:r>
        <w:t xml:space="preserve">Bahasa </w:t>
      </w:r>
      <w:proofErr w:type="spellStart"/>
      <w:r>
        <w:t>Isyarat</w:t>
      </w:r>
      <w:proofErr w:type="spellEnd"/>
      <w:r>
        <w:t xml:space="preserve"> Malaysia (BIM)</w:t>
      </w:r>
      <w:bookmarkEnd w:id="13"/>
    </w:p>
    <w:p w14:paraId="10CF6903" w14:textId="77777777" w:rsidR="009E4375" w:rsidRDefault="00000000">
      <w:pPr>
        <w:spacing w:before="0" w:after="0"/>
        <w:ind w:firstLine="720"/>
      </w:pPr>
      <w:r>
        <w:t xml:space="preserve">In addition to KTBM and ASL, a natural sign language called </w:t>
      </w:r>
      <w:r>
        <w:rPr>
          <w:i/>
          <w:iCs/>
        </w:rPr>
        <w:t xml:space="preserve">Bahasa </w:t>
      </w:r>
      <w:proofErr w:type="spellStart"/>
      <w:r>
        <w:rPr>
          <w:i/>
          <w:iCs/>
        </w:rPr>
        <w:t>Isyarat</w:t>
      </w:r>
      <w:proofErr w:type="spellEnd"/>
      <w:r>
        <w:rPr>
          <w:i/>
          <w:iCs/>
        </w:rPr>
        <w:t xml:space="preserve"> Malaysia </w:t>
      </w:r>
      <w:r>
        <w:t xml:space="preserve">(BIM) was discovered, translating into English as Malaysian Sign Language. BIM came into the spotlight in 1998 (Chong, 2014) when the Malaysia Federation of the Deaf (MFD) initiated a research project to collect the existing local signed languages used in deaf people’s daily communication in the deaf community. The project was funded both domestically and internationally. Examples of signed languages that influenced BIM include Penang Sign Language (Hurlbut, 2000), which was used by older deaf people in the dormitories when living at the FSD; Selangor Sign Language, </w:t>
      </w:r>
      <w:r>
        <w:lastRenderedPageBreak/>
        <w:t xml:space="preserve">which had roots from American Sign Language (Ow et al., 2007); and Shanghai Sign Language was used by older deaf people who studied in Singapore (Bell et al., 2015; Hurlbut, 2000). MFD documented the signs and printed several BIM books to ensure that BIM was recognized as the native signed language of deaf Malaysians and was used uniformly (Bell et al., 2015). </w:t>
      </w:r>
    </w:p>
    <w:p w14:paraId="10CF6904" w14:textId="77777777" w:rsidR="009E4375" w:rsidRDefault="00000000">
      <w:pPr>
        <w:spacing w:before="0" w:after="0"/>
        <w:ind w:firstLine="720"/>
      </w:pPr>
      <w:r>
        <w:t>Although some signs used in BIM are “heavily influenced by ASL” (Gertz &amp; Boudreault, 2016. p. 239), BIM also includes signs from the Malaysians, and it is recognized as an autonomous and independent language. The Malaysian Government has recognized BIM as the official signed language of the Deaf community pursuant to the People with Disabilities Act (2008). Therefore, BIM should be considered the national sign language in Malaysia. However, BIM has not yet been recognized as an official medium of instruction at government schools that provide special education to deaf students (Yusoff &amp; Mohamed, 2012, 2017). In addition, BIM is not widely taught in schools in Malaysia (Yasin et al., 2017).  It is their belief that if BIM were used, deaf students would not be able to master the Malay language. In contrast, other government agencies use BIM interpreters to communicate with the deaf community through news, events, and workshops.</w:t>
      </w:r>
    </w:p>
    <w:p w14:paraId="10CF6905" w14:textId="77777777" w:rsidR="009E4375" w:rsidRDefault="009E4375">
      <w:pPr>
        <w:spacing w:before="0" w:after="0"/>
        <w:ind w:firstLine="720"/>
      </w:pPr>
    </w:p>
    <w:p w14:paraId="10CF6906" w14:textId="77777777" w:rsidR="009E4375" w:rsidRDefault="00000000">
      <w:pPr>
        <w:pStyle w:val="Heading4"/>
      </w:pPr>
      <w:bookmarkStart w:id="14" w:name="_Toc214490374"/>
      <w:r>
        <w:t>Mixed Lexicons from Signed Languages</w:t>
      </w:r>
      <w:bookmarkEnd w:id="14"/>
    </w:p>
    <w:p w14:paraId="10CF6907" w14:textId="77777777" w:rsidR="009E4375" w:rsidRDefault="00000000">
      <w:pPr>
        <w:spacing w:before="0" w:after="0"/>
        <w:ind w:firstLine="720"/>
      </w:pPr>
      <w:r>
        <w:t>The Department of Special Education under the MOE continued to keep KTBM as a medium of instruction in schools with the goal of helping deaf students master the Malay language for reading and writing (Omar, 1978). According to Omar (1978), deaf students should learn Malay by using KTBM in school, as it follows the syntactic structure of spoken Malay, which is still used today. However, deaf people continued to use BIM widely in their daily communication and social interactions, both in private and in public, because BIM is their native sign language. Today, KTBM is still used academically in schools, while BIM is still used socially, intellectually, emotionally, culturally, and linguistically in the deaf community.</w:t>
      </w:r>
    </w:p>
    <w:p w14:paraId="10CF6908" w14:textId="77777777" w:rsidR="009E4375" w:rsidRDefault="00000000">
      <w:pPr>
        <w:spacing w:before="0" w:after="0"/>
        <w:ind w:firstLine="720"/>
      </w:pPr>
      <w:r>
        <w:t xml:space="preserve">In the 2010s, the Department of Textbooks, which is under the MOE, developed textbooks specifically for deaf elementary students for subjects such as </w:t>
      </w:r>
      <w:r>
        <w:rPr>
          <w:i/>
          <w:iCs/>
        </w:rPr>
        <w:t xml:space="preserve">Bahasa </w:t>
      </w:r>
      <w:proofErr w:type="spellStart"/>
      <w:r>
        <w:rPr>
          <w:i/>
          <w:iCs/>
        </w:rPr>
        <w:t>Isyarat</w:t>
      </w:r>
      <w:proofErr w:type="spellEnd"/>
      <w:r>
        <w:rPr>
          <w:i/>
          <w:iCs/>
        </w:rPr>
        <w:t xml:space="preserve"> </w:t>
      </w:r>
      <w:proofErr w:type="spellStart"/>
      <w:r>
        <w:rPr>
          <w:i/>
          <w:iCs/>
        </w:rPr>
        <w:t>Komunikasi</w:t>
      </w:r>
      <w:proofErr w:type="spellEnd"/>
      <w:r>
        <w:t xml:space="preserve"> (BIK), English and Malay. BIK is a language subject intended to teach deaf </w:t>
      </w:r>
      <w:r>
        <w:lastRenderedPageBreak/>
        <w:t xml:space="preserve">students how to communicate using sign language, in the same way that Malay is used to teach language proficiency in Malay. The Department of Textbooks decided that instead of focusing on KTBM or BIM, they would use a mixture of both languages, in which KTBM signs were used first, and if there were no signs, they would then use a sign from BIM. BIK is taught to deaf students as academic content about sign language to help students learn and master sign language to improve their communication skills. The Department of Textbooks wanted to ensure that students could follow the curriculum by adding pictures of signs to texts. </w:t>
      </w:r>
    </w:p>
    <w:p w14:paraId="10CF6909" w14:textId="77777777" w:rsidR="009E4375" w:rsidRDefault="00000000">
      <w:pPr>
        <w:spacing w:before="0" w:after="0"/>
        <w:ind w:firstLine="720"/>
      </w:pPr>
      <w:r>
        <w:t>As a member of the English textbook panel for five years, I was responsible for locating and verifying the pictures of signs before inputting them into the English textbooks for Years 1-6, which is for the primary level. Following the policy made by the MOE stating that English words must be supported by English signs, the sign language pictures that were inserted into the English textbooks were Signing Exact English (SEE) obtained from the primary reference text, Comprehensive Signed English</w:t>
      </w:r>
      <w:r>
        <w:rPr>
          <w:i/>
          <w:iCs/>
        </w:rPr>
        <w:t xml:space="preserve"> </w:t>
      </w:r>
      <w:r>
        <w:t>Dictionary</w:t>
      </w:r>
      <w:r>
        <w:rPr>
          <w:i/>
          <w:iCs/>
        </w:rPr>
        <w:t xml:space="preserve">, </w:t>
      </w:r>
      <w:r>
        <w:t xml:space="preserve">by Bornstein et al. (1983). If there was no SEE sign for an English word, then an ASL sign was to be used from the </w:t>
      </w:r>
      <w:r>
        <w:rPr>
          <w:i/>
          <w:iCs/>
        </w:rPr>
        <w:t>American Sign Language Dictionary</w:t>
      </w:r>
      <w:r>
        <w:t xml:space="preserve"> by Martin L. A. Sternberg (1998). KTBM and BIM were to be used if neither SEE nor ASL equivalents were found. In summary, the sequence of locating the pictures for the English vocabulary was from SEE, ASL, KTMB, and BIM as needed based on the MOE policy.</w:t>
      </w:r>
    </w:p>
    <w:p w14:paraId="10CF690A" w14:textId="77777777" w:rsidR="009E4375" w:rsidRDefault="00000000">
      <w:pPr>
        <w:spacing w:before="0" w:after="0"/>
        <w:ind w:firstLine="720"/>
      </w:pPr>
      <w:r>
        <w:t xml:space="preserve">On the other hand, the textbook for the Malay language had a different process than the textbook for English. </w:t>
      </w:r>
      <w:proofErr w:type="gramStart"/>
      <w:r>
        <w:t>In regards to</w:t>
      </w:r>
      <w:proofErr w:type="gramEnd"/>
      <w:r>
        <w:t xml:space="preserve"> the textbook about Malay, following the MOE policy, Malay words must be supported by KTBM signs. BIM pictures could be used if no sign words from KTBM were available to represent the concept. If neither KTBM nor BIM equivalents were available, other sign resources, such as SEE or ASL, could be used. The sequence for locating the pictures for the Malay vocabulary was from KTBM, BIM, SEE, and ASL.</w:t>
      </w:r>
    </w:p>
    <w:p w14:paraId="10CF690B" w14:textId="77777777" w:rsidR="009E4375" w:rsidRDefault="00000000">
      <w:pPr>
        <w:tabs>
          <w:tab w:val="center" w:pos="4680"/>
          <w:tab w:val="right" w:pos="9360"/>
        </w:tabs>
        <w:spacing w:before="0" w:after="0"/>
      </w:pPr>
      <w:r>
        <w:tab/>
        <w:t xml:space="preserve">Historically, Malaysia has made concerted efforts to assist deaf students in their education by using natural but foreign signed language (such as ASL) as well as contrived signed language systems (such as SEE and KTBM). However, there has yet to be a recognition of the potential for BIM to be the driving force in the students’ development of sign language as a tool for communication and learning. BIM was not </w:t>
      </w:r>
      <w:r>
        <w:lastRenderedPageBreak/>
        <w:t>encouraged to be used in the BIK textbook, and instead, the KTBM was prioritized. Since ASL, SEE, and KTBM are either not the native sign languages used by the deaf community in Malaysia or not natural languages, they may not be preferred for schooling by the Malaysian deaf community. Instead, BIM could be considered the preferred language in school. BIM has not yet played a significant role in the education of deaf students in Malaysia due to widespread beliefs that it would hinder literacy development rather than assist it.</w:t>
      </w:r>
    </w:p>
    <w:p w14:paraId="10CF690C" w14:textId="77777777" w:rsidR="009E4375" w:rsidRDefault="009E4375">
      <w:pPr>
        <w:tabs>
          <w:tab w:val="center" w:pos="4680"/>
          <w:tab w:val="right" w:pos="9360"/>
        </w:tabs>
        <w:spacing w:before="0" w:after="0"/>
      </w:pPr>
    </w:p>
    <w:p w14:paraId="10CF690D" w14:textId="77777777" w:rsidR="009E4375" w:rsidRDefault="00000000">
      <w:pPr>
        <w:pStyle w:val="Heading3"/>
      </w:pPr>
      <w:bookmarkStart w:id="15" w:name="_Toc214490375"/>
      <w:r>
        <w:t>Quality of Life of Deaf Malaysians</w:t>
      </w:r>
      <w:bookmarkEnd w:id="15"/>
    </w:p>
    <w:p w14:paraId="10CF690E" w14:textId="77777777" w:rsidR="009E4375" w:rsidRDefault="00000000">
      <w:pPr>
        <w:spacing w:before="0" w:after="0"/>
        <w:ind w:firstLine="720"/>
      </w:pPr>
      <w:r>
        <w:t>Studies in Austria and the USA have revealed that deaf individuals generally have a lower quality of life (QOL) than their hearing peers (Fellinger et al., 2005; Gilman et al., 2004). Several studies also examined the correlation between QOL and a variety of variables, including communication (</w:t>
      </w:r>
      <w:proofErr w:type="spellStart"/>
      <w:r>
        <w:t>Frajtag</w:t>
      </w:r>
      <w:proofErr w:type="spellEnd"/>
      <w:r>
        <w:t xml:space="preserve"> &amp; </w:t>
      </w:r>
      <w:proofErr w:type="spellStart"/>
      <w:r>
        <w:t>Jelinic</w:t>
      </w:r>
      <w:proofErr w:type="spellEnd"/>
      <w:r>
        <w:t xml:space="preserve">, 2017; </w:t>
      </w:r>
      <w:proofErr w:type="spellStart"/>
      <w:r>
        <w:t>Holmstram</w:t>
      </w:r>
      <w:proofErr w:type="spellEnd"/>
      <w:r>
        <w:t xml:space="preserve">, 2022; </w:t>
      </w:r>
      <w:proofErr w:type="spellStart"/>
      <w:r>
        <w:t>Kushalnagar</w:t>
      </w:r>
      <w:proofErr w:type="spellEnd"/>
      <w:r>
        <w:t xml:space="preserve"> et al., 2011), parents' hearing status (</w:t>
      </w:r>
      <w:proofErr w:type="spellStart"/>
      <w:r>
        <w:t>Jombor</w:t>
      </w:r>
      <w:proofErr w:type="spellEnd"/>
      <w:r>
        <w:t>, 2009; Maxwell, 2011), school settings (Schick et al., 2013; van der Straaten et al., 2020), health (</w:t>
      </w:r>
      <w:proofErr w:type="spellStart"/>
      <w:r>
        <w:t>Smeijers</w:t>
      </w:r>
      <w:proofErr w:type="spellEnd"/>
      <w:r>
        <w:t xml:space="preserve"> et al., 2018), emotional intelligence (Ashor &amp; Jalil-</w:t>
      </w:r>
      <w:proofErr w:type="spellStart"/>
      <w:r>
        <w:t>Abkenar</w:t>
      </w:r>
      <w:proofErr w:type="spellEnd"/>
      <w:r>
        <w:t>, 2021), acculturation levels (</w:t>
      </w:r>
      <w:proofErr w:type="spellStart"/>
      <w:r>
        <w:t>Marschark</w:t>
      </w:r>
      <w:proofErr w:type="spellEnd"/>
      <w:r>
        <w:t xml:space="preserve"> et al., 2018; Maxwell, 2001), family function (</w:t>
      </w:r>
      <w:proofErr w:type="spellStart"/>
      <w:r>
        <w:t>Aanonden</w:t>
      </w:r>
      <w:proofErr w:type="spellEnd"/>
      <w:r>
        <w:t xml:space="preserve"> et al., 2018), parents (</w:t>
      </w:r>
      <w:proofErr w:type="spellStart"/>
      <w:r>
        <w:t>Cagulada</w:t>
      </w:r>
      <w:proofErr w:type="spellEnd"/>
      <w:r>
        <w:t xml:space="preserve"> &amp; Koller, 2022), sign language (Santos et al., 2019; La </w:t>
      </w:r>
      <w:proofErr w:type="spellStart"/>
      <w:r>
        <w:t>Grutta</w:t>
      </w:r>
      <w:proofErr w:type="spellEnd"/>
      <w:r>
        <w:t xml:space="preserve"> et al., 2023), acculturative stress (</w:t>
      </w:r>
      <w:proofErr w:type="spellStart"/>
      <w:r>
        <w:t>Aldalur</w:t>
      </w:r>
      <w:proofErr w:type="spellEnd"/>
      <w:r>
        <w:t xml:space="preserve"> &amp; Pick, 2023), and educational achievement levels (</w:t>
      </w:r>
      <w:proofErr w:type="spellStart"/>
      <w:r>
        <w:t>Alsabei</w:t>
      </w:r>
      <w:proofErr w:type="spellEnd"/>
      <w:r>
        <w:t xml:space="preserve">, 2020). Some QOL studies have investigated the effect of cochlear implants (CI) on deaf individual’s QOL (Denham &amp; </w:t>
      </w:r>
      <w:proofErr w:type="spellStart"/>
      <w:r>
        <w:t>Battro</w:t>
      </w:r>
      <w:proofErr w:type="spellEnd"/>
      <w:r>
        <w:t xml:space="preserve">, 2012; Meyer et al., 2013; Spencer, Tomblin &amp; Gantz, 2012).  A number of these studies, however, have focused on the medical discourse of hearing functioning, viewing hearing loss as a limitation inherent in the deaf individual. </w:t>
      </w:r>
    </w:p>
    <w:p w14:paraId="10CF690F" w14:textId="77777777" w:rsidR="009E4375" w:rsidRDefault="00000000">
      <w:pPr>
        <w:spacing w:before="0" w:after="0"/>
        <w:ind w:firstLine="720"/>
      </w:pPr>
      <w:r>
        <w:t xml:space="preserve">There is little information available regarding the well-being of Malaysian individuals with disabilities, particularly the deaf community. There have been a few studies that have attempted to correlate the QOL of Malaysian individuals who have disabilities with a variety of individual variables, including education levels (Jani et al., 2020a, 2020b) and various areas of one’s life, including psychological health, social relationship, environment, autonomy, discrimination, inclusion, and physical </w:t>
      </w:r>
      <w:proofErr w:type="gramStart"/>
      <w:r>
        <w:t>health  (</w:t>
      </w:r>
      <w:proofErr w:type="gramEnd"/>
      <w:r>
        <w:t xml:space="preserve">Aziz et al., 2023). Several studies have proposed to parallel QOL research with deaf </w:t>
      </w:r>
      <w:r>
        <w:lastRenderedPageBreak/>
        <w:t>individuals according to a variety of individual characteristics, including the use of hearing aid (Adibi et al., 2013), family (</w:t>
      </w:r>
      <w:proofErr w:type="spellStart"/>
      <w:r>
        <w:t>Umat</w:t>
      </w:r>
      <w:proofErr w:type="spellEnd"/>
      <w:r>
        <w:t xml:space="preserve"> et al., 2019), communication accessibility (Khairuddin et al., 2018), inclusion (Khairuddin &amp; Miles, 2020), educational experiences (Lee at al., 2021) and social experiences (Lee at al., 2022). There are no studies that </w:t>
      </w:r>
      <w:proofErr w:type="gramStart"/>
      <w:r>
        <w:t>focused</w:t>
      </w:r>
      <w:proofErr w:type="gramEnd"/>
      <w:r>
        <w:t xml:space="preserve"> specifically on the impact of the use of natural sign language.</w:t>
      </w:r>
    </w:p>
    <w:p w14:paraId="10CF6910" w14:textId="77777777" w:rsidR="009E4375" w:rsidRDefault="00000000">
      <w:pPr>
        <w:spacing w:before="0" w:after="0"/>
        <w:ind w:firstLine="720"/>
      </w:pPr>
      <w:r>
        <w:t xml:space="preserve">Today, various sign languages are being used in Malaysia, such as KTBM, BIM, SEE, and ASL (Chong &amp; Foster, 2022).  The use of foreign natural (e.g., ASL) and contrived signed languages (e.g., SEE) in Malaysia may confuse deaf students who have not yet acquired a solid foundation in the natural Malaysian Sign Language, BIM. Additionally, deaf persons in Malaysia who are exposed only to foreign signed languages or Malay coded sign </w:t>
      </w:r>
      <w:proofErr w:type="gramStart"/>
      <w:r>
        <w:t>language</w:t>
      </w:r>
      <w:proofErr w:type="gramEnd"/>
      <w:r>
        <w:t xml:space="preserve"> (e.g., KTBM) may have difficulty communicating with other members of the Malaysian deaf community who use the natural signed language, BIM. Misunderstandings and miscommunications may adversely affect the QOL of these individuals in some cases. In schools for the deaf, KTBM is the primary medium of instruction, while BIM is the primary language deaf students use in their daily communication (Pregel &amp; </w:t>
      </w:r>
      <w:proofErr w:type="spellStart"/>
      <w:r>
        <w:t>Kamenopoulou</w:t>
      </w:r>
      <w:proofErr w:type="spellEnd"/>
      <w:r>
        <w:t xml:space="preserve">, 2018). During their schooling, deaf students may be unable to distinguish between KTBM, BIM, SEE, and ASL (Chong &amp; Foster, 2022). It has long been perceived by the Department of Special Education under the MOE and by teachers of the deaf that KTBM, SEE or ASL, rather than BIM, should be used by deaf students for learning the Malay or English language in school. Nevertheless, deaf </w:t>
      </w:r>
      <w:proofErr w:type="gramStart"/>
      <w:r>
        <w:t>persons</w:t>
      </w:r>
      <w:proofErr w:type="gramEnd"/>
      <w:r>
        <w:t xml:space="preserve"> who were exposed to BIM in school, in </w:t>
      </w:r>
      <w:proofErr w:type="gramStart"/>
      <w:r>
        <w:t>the dorms</w:t>
      </w:r>
      <w:proofErr w:type="gramEnd"/>
      <w:r>
        <w:t xml:space="preserve">, in the deaf community, or by deaf families often continue using the language socially and cognitively into adulthood. This contradiction of educational and social spheres may impact deaf individuals’ QOL.  </w:t>
      </w:r>
    </w:p>
    <w:p w14:paraId="10CF6911" w14:textId="77777777" w:rsidR="009E4375" w:rsidRDefault="00000000">
      <w:pPr>
        <w:spacing w:before="0" w:after="0"/>
        <w:ind w:firstLine="720"/>
      </w:pPr>
      <w:r>
        <w:t xml:space="preserve">Additionally, the lack of sign language in family settings may impact deaf persons’ QOL. A study by Lee et al. (2021) demonstrated the prevalence of "dinner table syndrome" among Malaysian deaf adults. Deaf people can experience dinner table syndrome when they are excluded from conversations </w:t>
      </w:r>
      <w:proofErr w:type="gramStart"/>
      <w:r>
        <w:t>with hearing</w:t>
      </w:r>
      <w:proofErr w:type="gramEnd"/>
      <w:r>
        <w:t xml:space="preserve"> family members during social gatherings, such as meals, because they are not able to participate or understand the conversations and it can cause a feeling of isolation (Meek, 2020). One of the most common childhood traumas experienced by deaf adults is chronic </w:t>
      </w:r>
      <w:r>
        <w:lastRenderedPageBreak/>
        <w:t>inaccessibility to communication with hearing parents and relatives (Anderson et al., 2016). According to Lee et al., (2021), one married woman struggled to engage in conversations with her hearing family members to fit into the hearing family conversations due to her limited hearing abilities; however, she could speak and read lips. She felt frustrated, isolated, and excluded in these conversations. This terrible experience may affect how deaf people relate to their families, especially their hearing parents. There is a possibility that this phenomenon may adversely affect the QOL of deaf adults due to communication barriers.</w:t>
      </w:r>
    </w:p>
    <w:p w14:paraId="10CF6912" w14:textId="77777777" w:rsidR="009E4375" w:rsidRDefault="00000000">
      <w:pPr>
        <w:spacing w:before="0" w:after="0"/>
        <w:ind w:firstLine="720"/>
      </w:pPr>
      <w:r>
        <w:t xml:space="preserve">The current study is an inquiry into the signed languages </w:t>
      </w:r>
      <w:proofErr w:type="gramStart"/>
      <w:r>
        <w:t>most commonly used</w:t>
      </w:r>
      <w:proofErr w:type="gramEnd"/>
      <w:r>
        <w:t xml:space="preserve"> by deaf Malaysians today and during their prior schooling, and how sign language may have impacted their QOL. In Malaysia, there are signed languages (e.g., ASL and BIM) and artificial signed communication systems (e.g., KTBM and SEE) being used in schooling and beyond, and a deaf person’s experiences with sign language during their schooling may affect their QOL.</w:t>
      </w:r>
    </w:p>
    <w:p w14:paraId="10CF6913" w14:textId="77777777" w:rsidR="009E4375" w:rsidRDefault="009E4375">
      <w:pPr>
        <w:spacing w:before="0" w:after="0"/>
        <w:ind w:firstLine="720"/>
      </w:pPr>
    </w:p>
    <w:p w14:paraId="10CF6914" w14:textId="77777777" w:rsidR="009E4375" w:rsidRDefault="00000000">
      <w:pPr>
        <w:pStyle w:val="Heading2"/>
      </w:pPr>
      <w:bookmarkStart w:id="16" w:name="_Toc214490376"/>
      <w:r>
        <w:t>Purpose of the Study</w:t>
      </w:r>
      <w:bookmarkEnd w:id="16"/>
    </w:p>
    <w:p w14:paraId="10CF6915" w14:textId="77777777" w:rsidR="009E4375" w:rsidRDefault="00000000">
      <w:pPr>
        <w:spacing w:before="0" w:after="0"/>
        <w:ind w:firstLine="720"/>
      </w:pPr>
      <w:r>
        <w:t xml:space="preserve">In Malaysian schools, KTBM has been widely used to teach deaf students how to read and write in Malay (Omar, 1978) and it is still prevalent today. At the same time, BIM, as the native sign language of deaf people in Malaysia, is used as a means for communication, discussion, storytelling, and social interactions. Therefore, the signed communication often used in school is not the signed communication used by the community outside of school. This may have implications for students’ learning and their QOL in adulthood. </w:t>
      </w:r>
    </w:p>
    <w:p w14:paraId="2C2330D0" w14:textId="0D954078" w:rsidR="00B5581C" w:rsidRDefault="00000000" w:rsidP="005224EE">
      <w:pPr>
        <w:spacing w:before="0" w:after="0"/>
        <w:ind w:firstLine="720"/>
      </w:pPr>
      <w:r>
        <w:t xml:space="preserve">The purpose of this study is to investigate the QOL of deaf Malaysians who recently graduated from school and to identify whether QOL differs based on the signed language communication </w:t>
      </w:r>
      <w:proofErr w:type="gramStart"/>
      <w:r>
        <w:t>most commonly used</w:t>
      </w:r>
      <w:proofErr w:type="gramEnd"/>
      <w:r>
        <w:t xml:space="preserve"> during their school years and today. It is proposed that communication during the formative school years may affect the QOL of deaf adults in Malaysia through subsequent positive or adverse life experiences after schooling. </w:t>
      </w:r>
      <w:bookmarkStart w:id="17" w:name="_f0i2kravzxg9" w:colFirst="0" w:colLast="0"/>
      <w:bookmarkEnd w:id="17"/>
    </w:p>
    <w:p w14:paraId="1D989779" w14:textId="77777777" w:rsidR="005224EE" w:rsidRDefault="005224EE" w:rsidP="005224EE">
      <w:pPr>
        <w:spacing w:before="0" w:after="0"/>
        <w:ind w:firstLine="720"/>
      </w:pPr>
    </w:p>
    <w:p w14:paraId="0F22391C" w14:textId="77777777" w:rsidR="005224EE" w:rsidRDefault="005224EE" w:rsidP="0009223A">
      <w:pPr>
        <w:spacing w:before="0" w:after="0"/>
      </w:pPr>
    </w:p>
    <w:p w14:paraId="10CF6919" w14:textId="77777777" w:rsidR="009E4375" w:rsidRDefault="00000000">
      <w:pPr>
        <w:pStyle w:val="Heading3"/>
        <w:spacing w:line="240" w:lineRule="auto"/>
      </w:pPr>
      <w:bookmarkStart w:id="18" w:name="_Toc214490377"/>
      <w:r>
        <w:lastRenderedPageBreak/>
        <w:t>Research Questions</w:t>
      </w:r>
      <w:bookmarkEnd w:id="18"/>
    </w:p>
    <w:p w14:paraId="10CF691A" w14:textId="77777777" w:rsidR="009E4375" w:rsidRDefault="00000000">
      <w:pPr>
        <w:numPr>
          <w:ilvl w:val="0"/>
          <w:numId w:val="11"/>
        </w:numPr>
        <w:spacing w:after="0"/>
      </w:pPr>
      <w:r>
        <w:t xml:space="preserve">Are there demographic variables that relate to higher or lesser QOL outcomes for deaf Malaysians? </w:t>
      </w:r>
    </w:p>
    <w:p w14:paraId="10CF691B" w14:textId="744742B7" w:rsidR="009E4375" w:rsidRDefault="00000000">
      <w:pPr>
        <w:numPr>
          <w:ilvl w:val="1"/>
          <w:numId w:val="11"/>
        </w:numPr>
        <w:spacing w:before="0" w:after="0"/>
      </w:pPr>
      <w:r>
        <w:t xml:space="preserve">Is there a difference in QOL and QOL domains (participation, </w:t>
      </w:r>
      <w:r w:rsidR="002D7BC9">
        <w:t>self</w:t>
      </w:r>
      <w:r w:rsidR="00C41DD9">
        <w:t>-</w:t>
      </w:r>
      <w:r w:rsidR="002D7BC9">
        <w:t>acceptance</w:t>
      </w:r>
      <w:r w:rsidR="00C41DD9">
        <w:t xml:space="preserve"> </w:t>
      </w:r>
      <w:r>
        <w:t>/</w:t>
      </w:r>
      <w:r w:rsidR="00C41DD9">
        <w:t xml:space="preserve"> </w:t>
      </w:r>
      <w:r>
        <w:t>advocacy, and perceived stigma) among deaf adults based on the signed communication most often used?</w:t>
      </w:r>
    </w:p>
    <w:p w14:paraId="10CF691C" w14:textId="77777777" w:rsidR="009E4375" w:rsidRDefault="00000000">
      <w:pPr>
        <w:numPr>
          <w:ilvl w:val="1"/>
          <w:numId w:val="11"/>
        </w:numPr>
        <w:spacing w:before="0" w:after="0"/>
      </w:pPr>
      <w:r>
        <w:t xml:space="preserve">Is there a difference in QOL among deaf adults based on gender? </w:t>
      </w:r>
    </w:p>
    <w:p w14:paraId="10CF691D" w14:textId="77777777" w:rsidR="009E4375" w:rsidRDefault="00000000">
      <w:pPr>
        <w:numPr>
          <w:ilvl w:val="1"/>
          <w:numId w:val="11"/>
        </w:numPr>
        <w:spacing w:before="0" w:after="0"/>
      </w:pPr>
      <w:r>
        <w:t xml:space="preserve">Is there a difference in QOL among deaf adults based on race? </w:t>
      </w:r>
    </w:p>
    <w:p w14:paraId="10CF691E" w14:textId="77777777" w:rsidR="009E4375" w:rsidRDefault="00000000">
      <w:pPr>
        <w:numPr>
          <w:ilvl w:val="1"/>
          <w:numId w:val="11"/>
        </w:numPr>
        <w:spacing w:before="0" w:after="200"/>
      </w:pPr>
      <w:r>
        <w:t>Is there a difference in QOL among deaf adults based on deaf or hard of hearing identity?</w:t>
      </w:r>
    </w:p>
    <w:p w14:paraId="10CF691F" w14:textId="77777777" w:rsidR="009E4375" w:rsidRDefault="00000000">
      <w:pPr>
        <w:numPr>
          <w:ilvl w:val="0"/>
          <w:numId w:val="11"/>
        </w:numPr>
        <w:spacing w:before="0" w:after="0"/>
      </w:pPr>
      <w:r>
        <w:t>What is the relationship between deaf Malaysians’ satisfaction with the signed communication used during one’s formative school years and their QOL in adulthood?</w:t>
      </w:r>
    </w:p>
    <w:p w14:paraId="10CF6920" w14:textId="77777777" w:rsidR="009E4375" w:rsidRDefault="00000000">
      <w:pPr>
        <w:numPr>
          <w:ilvl w:val="1"/>
          <w:numId w:val="11"/>
        </w:numPr>
        <w:spacing w:before="0" w:after="0"/>
      </w:pPr>
      <w:r>
        <w:t>What is the relationship between deaf Malaysians’ satisfaction with the signed communication used in the school during the formative school years and their QOL in adulthood?</w:t>
      </w:r>
    </w:p>
    <w:p w14:paraId="10CF6921" w14:textId="77777777" w:rsidR="009E4375" w:rsidRDefault="00000000">
      <w:pPr>
        <w:numPr>
          <w:ilvl w:val="1"/>
          <w:numId w:val="11"/>
        </w:numPr>
        <w:spacing w:before="0" w:after="0"/>
      </w:pPr>
      <w:r>
        <w:t>What is the relationship between deaf Malaysians’ satisfaction with the signed communication used with their family members at home during their formative school years and their QOL in adulthood?</w:t>
      </w:r>
    </w:p>
    <w:p w14:paraId="10CF6922" w14:textId="77777777" w:rsidR="009E4375" w:rsidRDefault="00000000">
      <w:pPr>
        <w:numPr>
          <w:ilvl w:val="1"/>
          <w:numId w:val="11"/>
        </w:numPr>
        <w:spacing w:before="0" w:after="200"/>
      </w:pPr>
      <w:r>
        <w:t>What is the relationship between deaf Malaysians’ satisfaction with the signed communication used with their friends in the dormitories during their formative school years and their QOL in adulthood?</w:t>
      </w:r>
    </w:p>
    <w:p w14:paraId="10CF6923" w14:textId="77777777" w:rsidR="009E4375" w:rsidRDefault="00000000">
      <w:pPr>
        <w:numPr>
          <w:ilvl w:val="0"/>
          <w:numId w:val="11"/>
        </w:numPr>
        <w:spacing w:before="0" w:after="0"/>
      </w:pPr>
      <w:r>
        <w:t>Does the signed communication most often used during one’s previous school years impact deaf Malaysian’s QOL in adulthood?</w:t>
      </w:r>
    </w:p>
    <w:p w14:paraId="10CF6924" w14:textId="77777777" w:rsidR="009E4375" w:rsidRDefault="00000000">
      <w:pPr>
        <w:numPr>
          <w:ilvl w:val="1"/>
          <w:numId w:val="11"/>
        </w:numPr>
        <w:spacing w:before="0" w:after="0"/>
      </w:pPr>
      <w:r>
        <w:t xml:space="preserve">Is there a difference in QOL for deaf Malaysians based on the type of signed communication they most often used in their previous schooling? </w:t>
      </w:r>
    </w:p>
    <w:p w14:paraId="10CF6925" w14:textId="77777777" w:rsidR="009E4375" w:rsidRDefault="00000000">
      <w:pPr>
        <w:numPr>
          <w:ilvl w:val="1"/>
          <w:numId w:val="11"/>
        </w:numPr>
        <w:spacing w:before="0" w:after="0"/>
      </w:pPr>
      <w:r>
        <w:t xml:space="preserve">Is there a difference in QOL for deaf Malaysians based on the type of signed communication they most often used with their family members at home during their formative school years? </w:t>
      </w:r>
    </w:p>
    <w:p w14:paraId="10CF6926" w14:textId="77777777" w:rsidR="009E4375" w:rsidRDefault="00000000">
      <w:pPr>
        <w:numPr>
          <w:ilvl w:val="1"/>
          <w:numId w:val="11"/>
        </w:numPr>
        <w:spacing w:before="0" w:after="0"/>
      </w:pPr>
      <w:r>
        <w:lastRenderedPageBreak/>
        <w:t xml:space="preserve">Is there a difference in QOL for deaf Malaysians based on the type of signed communication they most often used with their friends in the dormitories during their formative school years? </w:t>
      </w:r>
    </w:p>
    <w:p w14:paraId="10CF6927" w14:textId="77777777" w:rsidR="009E4375" w:rsidRDefault="009E4375">
      <w:pPr>
        <w:spacing w:after="0"/>
      </w:pPr>
    </w:p>
    <w:p w14:paraId="10CF6928" w14:textId="77777777" w:rsidR="009E4375" w:rsidRDefault="00000000">
      <w:pPr>
        <w:pStyle w:val="Heading3"/>
      </w:pPr>
      <w:bookmarkStart w:id="19" w:name="_Toc214490378"/>
      <w:r>
        <w:t>Definition of Terms</w:t>
      </w:r>
      <w:bookmarkEnd w:id="19"/>
    </w:p>
    <w:p w14:paraId="10CF6929" w14:textId="77777777" w:rsidR="009E4375" w:rsidRDefault="00000000">
      <w:pPr>
        <w:spacing w:before="0" w:after="0"/>
      </w:pPr>
      <w:proofErr w:type="spellStart"/>
      <w:r>
        <w:rPr>
          <w:b/>
          <w:bCs/>
        </w:rPr>
        <w:t>Kod</w:t>
      </w:r>
      <w:proofErr w:type="spellEnd"/>
      <w:r>
        <w:rPr>
          <w:b/>
          <w:bCs/>
        </w:rPr>
        <w:t xml:space="preserve"> Tangan Bahasa </w:t>
      </w:r>
      <w:proofErr w:type="spellStart"/>
      <w:r>
        <w:rPr>
          <w:b/>
          <w:bCs/>
        </w:rPr>
        <w:t>Isyarat</w:t>
      </w:r>
      <w:proofErr w:type="spellEnd"/>
      <w:r>
        <w:rPr>
          <w:b/>
          <w:bCs/>
        </w:rPr>
        <w:t xml:space="preserve"> (KTBM)</w:t>
      </w:r>
      <w:r>
        <w:t xml:space="preserve"> is a signed code in which each word in the Malay language is given a corresponding sign. It is intended to assist in learning the Malay language. When it comes to learning the English language, it is </w:t>
      </w:r>
      <w:proofErr w:type="gramStart"/>
      <w:r>
        <w:t>similar to</w:t>
      </w:r>
      <w:proofErr w:type="gramEnd"/>
      <w:r>
        <w:t xml:space="preserve"> Sign Exact English (SEE) or Manually Coded English (</w:t>
      </w:r>
      <w:proofErr w:type="spellStart"/>
      <w:r>
        <w:t>Zainuddine</w:t>
      </w:r>
      <w:proofErr w:type="spellEnd"/>
      <w:r>
        <w:t xml:space="preserve"> et al., 2010). KTBM is known as Sign Exact Malay or Manually Coded Malay. It is not a native signed language for deaf people in Malaysia.</w:t>
      </w:r>
    </w:p>
    <w:p w14:paraId="10CF692A" w14:textId="77777777" w:rsidR="009E4375" w:rsidRDefault="009E4375">
      <w:pPr>
        <w:spacing w:before="0" w:after="0"/>
      </w:pPr>
    </w:p>
    <w:p w14:paraId="10CF692B" w14:textId="77777777" w:rsidR="009E4375" w:rsidRDefault="00000000">
      <w:pPr>
        <w:spacing w:before="0" w:after="0"/>
      </w:pPr>
      <w:r>
        <w:rPr>
          <w:b/>
          <w:bCs/>
        </w:rPr>
        <w:t xml:space="preserve">Bahasa </w:t>
      </w:r>
      <w:proofErr w:type="spellStart"/>
      <w:r>
        <w:rPr>
          <w:b/>
          <w:bCs/>
        </w:rPr>
        <w:t>Isyarat</w:t>
      </w:r>
      <w:proofErr w:type="spellEnd"/>
      <w:r>
        <w:rPr>
          <w:b/>
          <w:bCs/>
        </w:rPr>
        <w:t xml:space="preserve"> Malaysia (BIM)</w:t>
      </w:r>
      <w:r>
        <w:t xml:space="preserve"> is a genuine native sign language that is used by the deaf Malaysian community for their daily communication. Generally, it is </w:t>
      </w:r>
      <w:proofErr w:type="gramStart"/>
      <w:r>
        <w:t>similar to</w:t>
      </w:r>
      <w:proofErr w:type="gramEnd"/>
      <w:r>
        <w:t xml:space="preserve"> American Sign Language in terms of its syntax and grammar rules.</w:t>
      </w:r>
    </w:p>
    <w:p w14:paraId="10CF692C" w14:textId="77777777" w:rsidR="009E4375" w:rsidRDefault="009E4375">
      <w:pPr>
        <w:spacing w:before="0" w:after="0"/>
      </w:pPr>
    </w:p>
    <w:p w14:paraId="10CF692D" w14:textId="77777777" w:rsidR="009E4375" w:rsidRDefault="00000000">
      <w:pPr>
        <w:spacing w:before="0" w:after="0"/>
      </w:pPr>
      <w:r>
        <w:rPr>
          <w:b/>
          <w:bCs/>
        </w:rPr>
        <w:t>Simultaneous Communication (sim-com)</w:t>
      </w:r>
      <w:r>
        <w:t xml:space="preserve"> involves the use of both spoken language and a manually coded system of signs at the same time. </w:t>
      </w:r>
    </w:p>
    <w:p w14:paraId="10CF692E" w14:textId="77777777" w:rsidR="009E4375" w:rsidRDefault="009E4375">
      <w:pPr>
        <w:spacing w:before="0" w:after="0"/>
      </w:pPr>
    </w:p>
    <w:p w14:paraId="10CF692F" w14:textId="77777777" w:rsidR="009E4375" w:rsidRDefault="00000000">
      <w:pPr>
        <w:spacing w:before="0"/>
        <w:ind w:firstLine="720"/>
      </w:pPr>
      <w:r>
        <w:t>There are four additional chapters following this dissertation introduction. In the following chapters, a literature review supporting the study is presented. This chapter examines theoretical orientations that underpin the QOL of people who are deaf. A description of the research design is provided in Chapter 3, along with information on participants, data sources, and methods for analyzing the study results in Chapter 4. A discussion of the findings, limitations of the study, and future directions for research on the use of signed communication modes within the context of the QOL of the deaf community is presented in Chapter 5.</w:t>
      </w:r>
    </w:p>
    <w:p w14:paraId="10CF6930" w14:textId="77777777" w:rsidR="009E4375" w:rsidRDefault="00000000">
      <w:pPr>
        <w:pStyle w:val="Heading1"/>
      </w:pPr>
      <w:r>
        <w:br w:type="page"/>
      </w:r>
    </w:p>
    <w:p w14:paraId="10CF6931" w14:textId="77777777" w:rsidR="009E4375" w:rsidRDefault="00000000">
      <w:pPr>
        <w:pStyle w:val="Heading1"/>
      </w:pPr>
      <w:bookmarkStart w:id="20" w:name="_Toc214490379"/>
      <w:r>
        <w:lastRenderedPageBreak/>
        <w:t>CHAPTER II</w:t>
      </w:r>
      <w:bookmarkEnd w:id="20"/>
    </w:p>
    <w:p w14:paraId="10CF6932" w14:textId="77777777" w:rsidR="009E4375" w:rsidRDefault="00000000">
      <w:pPr>
        <w:pStyle w:val="Heading2"/>
      </w:pPr>
      <w:bookmarkStart w:id="21" w:name="_Toc214490380"/>
      <w:r>
        <w:t>Literature Review</w:t>
      </w:r>
      <w:bookmarkEnd w:id="21"/>
    </w:p>
    <w:p w14:paraId="10CF6933" w14:textId="77777777" w:rsidR="009E4375" w:rsidRDefault="009E4375">
      <w:pPr>
        <w:pBdr>
          <w:top w:val="nil"/>
          <w:left w:val="nil"/>
          <w:bottom w:val="nil"/>
          <w:right w:val="nil"/>
          <w:between w:val="nil"/>
        </w:pBdr>
        <w:spacing w:before="0" w:after="0"/>
        <w:rPr>
          <w:b/>
          <w:bCs/>
          <w:color w:val="000000"/>
        </w:rPr>
      </w:pPr>
    </w:p>
    <w:p w14:paraId="10CF6934" w14:textId="77777777" w:rsidR="009E4375" w:rsidRDefault="00000000">
      <w:pPr>
        <w:pStyle w:val="Heading3"/>
      </w:pPr>
      <w:bookmarkStart w:id="22" w:name="_Toc214490381"/>
      <w:r>
        <w:t>Quality of Life (QOL)</w:t>
      </w:r>
      <w:bookmarkEnd w:id="22"/>
    </w:p>
    <w:p w14:paraId="10CF6935" w14:textId="77777777" w:rsidR="009E4375" w:rsidRDefault="00000000">
      <w:pPr>
        <w:spacing w:before="0" w:after="0"/>
        <w:ind w:firstLine="720"/>
        <w:rPr>
          <w:color w:val="000000"/>
        </w:rPr>
      </w:pPr>
      <w:r>
        <w:t xml:space="preserve">The World Health Organization (WHO) defines Quality of Life (QOL) as “an individual’s perception of their position in life in the context of the culture and value systems in which they live and in relation to their goals, expectations, standards and concerns” (WHOQOL Group, 1993). QOL refers to the degree to which one perceives satisfaction with one's life conditions. Different people value different aspects of life and character, so "quality of life" means different things to different people. </w:t>
      </w:r>
      <w:r>
        <w:rPr>
          <w:color w:val="000000"/>
        </w:rPr>
        <w:t xml:space="preserve">QOL </w:t>
      </w:r>
      <w:r>
        <w:t xml:space="preserve">emphasizes culture which strongly influences QOL. Within society, humans have different elements or demographic group identities such as gender and define their own conception of QOL </w:t>
      </w:r>
      <w:r>
        <w:rPr>
          <w:color w:val="000000"/>
        </w:rPr>
        <w:t>(McCall, 1975). QOL is an integrative concept encompassing human, social, and health sciences; it incorporates the philosophical notion of happiness, p</w:t>
      </w:r>
      <w:r>
        <w:t>sychology’s conception of</w:t>
      </w:r>
      <w:r>
        <w:rPr>
          <w:color w:val="000000"/>
        </w:rPr>
        <w:t xml:space="preserve"> subjective well-being, and medical sc</w:t>
      </w:r>
      <w:r>
        <w:t>iences’ ideas of</w:t>
      </w:r>
      <w:r>
        <w:rPr>
          <w:color w:val="000000"/>
        </w:rPr>
        <w:t xml:space="preserve"> physical and mental health (</w:t>
      </w:r>
      <w:r>
        <w:t xml:space="preserve">Bowling, 2003; </w:t>
      </w:r>
      <w:r>
        <w:rPr>
          <w:color w:val="000000"/>
        </w:rPr>
        <w:t xml:space="preserve">McCall, 1975). </w:t>
      </w:r>
      <w:r>
        <w:t xml:space="preserve">Comparing studies on QOL is challenging due to the variety of definitions of the concept and its amorphous nature. </w:t>
      </w:r>
    </w:p>
    <w:p w14:paraId="10CF6936" w14:textId="77777777" w:rsidR="009E4375" w:rsidRDefault="00000000">
      <w:pPr>
        <w:spacing w:before="0" w:after="0"/>
        <w:ind w:firstLine="720"/>
        <w:rPr>
          <w:color w:val="000000"/>
        </w:rPr>
      </w:pPr>
      <w:r>
        <w:t xml:space="preserve">Felce and Perry (1995) propose that Quality of Life (QOL) can be understood at three levels: personal values, personal life satisfaction, and objective living conditions. They describe personal values as including good physical health (health, mobility, efficiency, safely), financial stability (income, housing, communication, social security), strong social relationships (personal relationships, social bonds, support), positive emotional well-being (positive emotions, mental health, resistance to stress, leisure), and opportunities for development and productivity (talent, productivity, self-esteem, faith, sex). On the first level, personal values influence the individual's perception of a good QOL. Felce and Perry (1995) describe personal life satisfaction as “satisfaction in a number of life domains: (a) material comforts, health work, recreation, learning, and creative expression; (b) living situation, relations with family, social relations, leisure, work, finances, safety, health, and religion; and, (c) marriage, family life, friendships, standard of living, work, neighborhood, city or town of residence, the state of the nation, </w:t>
      </w:r>
      <w:r>
        <w:lastRenderedPageBreak/>
        <w:t>housing, education, health, and the self” (p. 56). The second level, personal life satisfaction, refers to the individual’s subjective evaluation of their own life, precisely their level of satisfaction with various aspects of their lives. Lastly, o</w:t>
      </w:r>
      <w:r>
        <w:rPr>
          <w:color w:val="000000"/>
        </w:rPr>
        <w:t>bjective living conditions</w:t>
      </w:r>
      <w:r>
        <w:t xml:space="preserve"> can influence how an individual achieves personal life satisfaction by defining personal </w:t>
      </w:r>
      <w:proofErr w:type="gramStart"/>
      <w:r>
        <w:t xml:space="preserve">values </w:t>
      </w:r>
      <w:r>
        <w:rPr>
          <w:color w:val="000000"/>
        </w:rPr>
        <w:t xml:space="preserve"> (</w:t>
      </w:r>
      <w:proofErr w:type="spellStart"/>
      <w:proofErr w:type="gramEnd"/>
      <w:r>
        <w:rPr>
          <w:color w:val="000000"/>
        </w:rPr>
        <w:t>Daszykowska</w:t>
      </w:r>
      <w:proofErr w:type="spellEnd"/>
      <w:r>
        <w:rPr>
          <w:color w:val="000000"/>
        </w:rPr>
        <w:t>, 2010</w:t>
      </w:r>
      <w:r>
        <w:t>)</w:t>
      </w:r>
      <w:r>
        <w:rPr>
          <w:color w:val="000000"/>
        </w:rPr>
        <w:t xml:space="preserve">. The individual subjectively assesses the relationship </w:t>
      </w:r>
      <w:r>
        <w:t xml:space="preserve">between all three levels, and this is dependent upon how they perceive their physical, material, social, or emotional well-being, their development, and their activities. </w:t>
      </w:r>
      <w:r>
        <w:rPr>
          <w:color w:val="000000"/>
        </w:rPr>
        <w:t xml:space="preserve"> </w:t>
      </w:r>
    </w:p>
    <w:p w14:paraId="10CF6937" w14:textId="77777777" w:rsidR="009E4375" w:rsidRDefault="00000000">
      <w:pPr>
        <w:spacing w:before="0" w:after="0"/>
        <w:ind w:firstLine="720"/>
      </w:pPr>
      <w:r>
        <w:t xml:space="preserve">Teoli &amp; Bhardwaj (2023) emphasize that the concept of QOL captures both positive and negative aspects of an individual's existence within a specified </w:t>
      </w:r>
      <w:proofErr w:type="gramStart"/>
      <w:r>
        <w:t>period of time</w:t>
      </w:r>
      <w:proofErr w:type="gramEnd"/>
      <w:r>
        <w:t>. For instance, typical aspects of quality of life encompass personal health (such as physical, mental, and spiritual well-being), relationships, educational attainments, work environment, social status, financial stability, security and safety, liberty, autonomy in decision-making, social belonging, one’s physical environments. Physical health, material wealth, and social relationships are tangible aspects of an individual's life. However, as they point out, the concept of QOL extends beyond these tangible aspects. For individuals who are deaf or hard of hearing, for example, their QOL may also be influenced by factors such as access to communication, inclusion in social activities, and support from the community. These intangible elements play a significant role in determining an individual's overall satisfaction and well-being.</w:t>
      </w:r>
    </w:p>
    <w:p w14:paraId="10CF6938" w14:textId="77777777" w:rsidR="009E4375" w:rsidRDefault="00000000">
      <w:pPr>
        <w:spacing w:before="0" w:after="0"/>
        <w:ind w:firstLine="720"/>
      </w:pPr>
      <w:r>
        <w:t>Standard indicators of the QOL contain financial, employment, the environment, physical and mental health, education, recreation and leisure time, social belonging, religious beliefs, safety, security, and freedom (Barcaccia, 2013, Gregory et al., 2011; Nussbaum &amp; Sen, 1993). QOL spans contexts, including the fields of international development, healthcare, politics, and employment. Health-related QOL (or HRQOL) evaluates QOL and its relationship with health (Andrew, 2002). Medicine and public health is generally concerned with improving quality of life of special education of the low functional ability group (Kober &amp; Eggleton, 2002; Raphael et al., 1999), the relationship between spirituality and health (Sawatzky et al., 2005), sociology (Bowling et al., 2003), and psychology and mental health of the deaf people (Fellinger et al., 2007; Flanagan, 1978; Frisch et al.,1992).</w:t>
      </w:r>
    </w:p>
    <w:p w14:paraId="10CF6939" w14:textId="77777777" w:rsidR="009E4375" w:rsidRDefault="00000000">
      <w:pPr>
        <w:spacing w:before="0" w:after="0"/>
        <w:ind w:firstLine="720"/>
      </w:pPr>
      <w:r>
        <w:lastRenderedPageBreak/>
        <w:t xml:space="preserve">From an economic perspective (Fox, 1974), QOL is viewed as one’s "total income" obtained through one’s behavior or directed by one’s choices, whereby income maximizes the individual's total utility, satisfaction, or happiness. According to </w:t>
      </w:r>
      <w:proofErr w:type="spellStart"/>
      <w:r>
        <w:t>Sirgy</w:t>
      </w:r>
      <w:proofErr w:type="spellEnd"/>
      <w:r>
        <w:t xml:space="preserve"> et al. (1982) and </w:t>
      </w:r>
      <w:proofErr w:type="spellStart"/>
      <w:r>
        <w:t>Sirgy</w:t>
      </w:r>
      <w:proofErr w:type="spellEnd"/>
      <w:r>
        <w:t xml:space="preserve"> et al. (1985), in marketing, QOL is construed as long-term life satisfaction in terms of the relative “goodness” of a marketing program that generates long-term satisfaction while providing marketing value.</w:t>
      </w:r>
    </w:p>
    <w:p w14:paraId="10CF693A" w14:textId="77777777" w:rsidR="009E4375" w:rsidRDefault="00000000">
      <w:pPr>
        <w:spacing w:before="0" w:after="0"/>
        <w:ind w:firstLine="720"/>
      </w:pPr>
      <w:r>
        <w:t>From an ecological perspective, Bubolz et al. (1980) examined QOL through the concepts of what they call “the human-environed unit”, the environment, and interactions. The concept of “human-environed unit” refers to social units that exist within an ecological context. The environment provides energy and matter (resources) to sustain a “human-environed unit”. The interaction among the components of “the human-environed” unit, the components of the environment, and between the human environment unit and the environment occurs. The “human-environed unit” views the QOL as a high level of satisfaction across various life domains. An environment providing sufficient resources to meet the needs of all humans is defined as providing QOL from the perspective of the environment.</w:t>
      </w:r>
    </w:p>
    <w:p w14:paraId="10CF693B" w14:textId="77777777" w:rsidR="009E4375" w:rsidRDefault="00000000">
      <w:pPr>
        <w:spacing w:before="0" w:after="0"/>
        <w:ind w:firstLine="720"/>
      </w:pPr>
      <w:r>
        <w:t xml:space="preserve">Public health and medicine experts have also conceptualized QOL from a need assessment perspective. Basically, need assessment involves collecting information about a particular population and utilizing that information to develop and/or modify programs aimed at that population (Bell et al., 1983; Nguyen et al., 1983; Siegel et al., 1978). </w:t>
      </w:r>
      <w:proofErr w:type="gramStart"/>
      <w:r>
        <w:t>The majority of</w:t>
      </w:r>
      <w:proofErr w:type="gramEnd"/>
      <w:r>
        <w:t xml:space="preserve"> research </w:t>
      </w:r>
      <w:proofErr w:type="gramStart"/>
      <w:r>
        <w:t>in the area of</w:t>
      </w:r>
      <w:proofErr w:type="gramEnd"/>
      <w:r>
        <w:t xml:space="preserve"> deafness focuses on QOL and outcomes for cochlear implant recipients, including language development, health, and self-esteem, as well as the assessment of children's and their parents' QOL (Loy et al., 2010; Preisler et al., 2005; Sparreboom et al., 2012). Research on QOL among the Deaf and Hard of Hearing population exists in the medical field; however, most of this research concerns mental health (Fellinger et al., 2005, 2007; </w:t>
      </w:r>
      <w:proofErr w:type="spellStart"/>
      <w:r>
        <w:t>Tambs</w:t>
      </w:r>
      <w:proofErr w:type="spellEnd"/>
      <w:r>
        <w:t>, 2004).</w:t>
      </w:r>
    </w:p>
    <w:p w14:paraId="10CF693C" w14:textId="77777777" w:rsidR="009E4375" w:rsidRDefault="009E4375">
      <w:pPr>
        <w:spacing w:before="0" w:after="0"/>
        <w:ind w:firstLine="720"/>
      </w:pPr>
    </w:p>
    <w:p w14:paraId="10CF693D" w14:textId="77777777" w:rsidR="009E4375" w:rsidRDefault="00000000">
      <w:pPr>
        <w:pStyle w:val="Heading4"/>
      </w:pPr>
      <w:bookmarkStart w:id="23" w:name="_Toc214490382"/>
      <w:r>
        <w:t>Maslow’s Theory of Hierarchy of Needs</w:t>
      </w:r>
      <w:bookmarkEnd w:id="23"/>
    </w:p>
    <w:p w14:paraId="10CF693E" w14:textId="77777777" w:rsidR="009E4375" w:rsidRDefault="00000000">
      <w:pPr>
        <w:spacing w:before="0" w:after="0"/>
        <w:ind w:firstLine="720"/>
      </w:pPr>
      <w:r>
        <w:t xml:space="preserve">From a theoretical perspective, QOL is viewed through Abraham Maslow’s perspective of the human community. The theory of QOL argues that the higher the </w:t>
      </w:r>
      <w:proofErr w:type="gramStart"/>
      <w:r>
        <w:t>need</w:t>
      </w:r>
      <w:proofErr w:type="gramEnd"/>
      <w:r>
        <w:t xml:space="preserve"> satisfaction level of most members in </w:t>
      </w:r>
      <w:proofErr w:type="gramStart"/>
      <w:r>
        <w:t>a society</w:t>
      </w:r>
      <w:proofErr w:type="gramEnd"/>
      <w:r>
        <w:t xml:space="preserve">, the greater the QOL of that </w:t>
      </w:r>
      <w:r>
        <w:lastRenderedPageBreak/>
        <w:t>society. QOL is also viewed from the environment perspective as a setting that provides sufficient resources to meet the needs of the human community (</w:t>
      </w:r>
      <w:proofErr w:type="spellStart"/>
      <w:r>
        <w:t>Sirgy</w:t>
      </w:r>
      <w:proofErr w:type="spellEnd"/>
      <w:r>
        <w:t xml:space="preserve">, 1986). </w:t>
      </w:r>
    </w:p>
    <w:p w14:paraId="10CF693F" w14:textId="77777777" w:rsidR="009E4375" w:rsidRDefault="00000000">
      <w:pPr>
        <w:spacing w:before="0" w:after="0"/>
        <w:ind w:firstLine="720"/>
      </w:pPr>
      <w:r>
        <w:t xml:space="preserve">The QOL theory is derived from Abraham Maslow's human developmental perspective. Even though many attempts have been made to construct social indicators and measure systems, few </w:t>
      </w:r>
      <w:proofErr w:type="gramStart"/>
      <w:r>
        <w:t>have been</w:t>
      </w:r>
      <w:proofErr w:type="gramEnd"/>
      <w:r>
        <w:t xml:space="preserve"> attempted to construct QOL theories (Carley, 1981). Although social indicator systems have been developed "pragmatically" through intuition and political compromise, QOL research requires theoretical orientation. Developing and refining the QOL theory from which social indicators can be measured should be a priority for social scientists. Without theory, there may be questions regarding the construct validity of existing social indicators. The development of meaningful indicators is based on the understanding of the dynamics underlying quality of life and the development of QOL theories. As a result, the development of indicators provides a framework for evaluating the effectiveness of social policies and understanding how the indicators affect </w:t>
      </w:r>
      <w:proofErr w:type="gramStart"/>
      <w:r>
        <w:t>the QOL</w:t>
      </w:r>
      <w:proofErr w:type="gramEnd"/>
      <w:r>
        <w:t>.</w:t>
      </w:r>
    </w:p>
    <w:p w14:paraId="10CF6940" w14:textId="77777777" w:rsidR="009E4375" w:rsidRDefault="00000000">
      <w:pPr>
        <w:spacing w:before="0" w:after="0"/>
        <w:ind w:firstLine="720"/>
      </w:pPr>
      <w:r>
        <w:t xml:space="preserve">Maslow refined his theory over </w:t>
      </w:r>
      <w:proofErr w:type="gramStart"/>
      <w:r>
        <w:t>a number of</w:t>
      </w:r>
      <w:proofErr w:type="gramEnd"/>
      <w:r>
        <w:t xml:space="preserve"> decades based on the concept of the hierarchy of needs (Maslow, 1943, 1962 &amp; 1987). The most basic needs occupy the lowest levels of the pyramid of the hierarchy of needs. The more complex the need, the closer it appears to the top. The most basic needs must be met before moving on to the next level until the more complex needs can be fulfilled. Figure 1 shows a pyramid representing Maslow’s hierarchy of needs.</w:t>
      </w:r>
    </w:p>
    <w:p w14:paraId="10CF6941" w14:textId="77777777" w:rsidR="009E4375" w:rsidRDefault="00000000">
      <w:pPr>
        <w:spacing w:before="0" w:after="0"/>
        <w:ind w:firstLine="720"/>
      </w:pPr>
      <w:r>
        <w:t>Physiological needs refer to what the body requires for survival, such as food, water, breathable air, and shelter as part of the pyramid at the bottom level. A higher level of security and safety is required to ensure that a person is free from danger and physical harm. These include the need for financial security, health, and wellness. These needs can often be met by having a job, health insurance, and choosing a safe neighborhood to live in. Higher level, social needs include the needs to belong and acceptance, which includes the need for love, family, and friends. These needs are often met through social groups, church, or romantic relationships. In addition to the need for appreciation and respect from others, esteem needs also include self-esteem, which is fulfilled through personal accomplishments and contributions to the world.</w:t>
      </w:r>
    </w:p>
    <w:p w14:paraId="10CF6942" w14:textId="77777777" w:rsidR="009E4375" w:rsidRDefault="009E4375">
      <w:pPr>
        <w:spacing w:before="0" w:after="0"/>
      </w:pPr>
    </w:p>
    <w:p w14:paraId="10CF6943" w14:textId="77777777" w:rsidR="009E4375" w:rsidRDefault="009E4375">
      <w:pPr>
        <w:spacing w:before="0" w:after="0"/>
      </w:pPr>
    </w:p>
    <w:p w14:paraId="10CF6944" w14:textId="77777777" w:rsidR="009E4375" w:rsidRDefault="009E4375">
      <w:pPr>
        <w:spacing w:before="0" w:after="0"/>
      </w:pPr>
    </w:p>
    <w:p w14:paraId="10CF6945" w14:textId="77777777" w:rsidR="009E4375" w:rsidRDefault="00000000">
      <w:pPr>
        <w:spacing w:before="0" w:after="0" w:line="480" w:lineRule="auto"/>
        <w:rPr>
          <w:b/>
          <w:bCs/>
        </w:rPr>
      </w:pPr>
      <w:r>
        <w:rPr>
          <w:b/>
          <w:bCs/>
        </w:rPr>
        <w:t xml:space="preserve">Figure 1 </w:t>
      </w:r>
    </w:p>
    <w:p w14:paraId="10CF6947" w14:textId="77777777" w:rsidR="009E4375" w:rsidRDefault="00000000">
      <w:pPr>
        <w:spacing w:before="0" w:after="0"/>
      </w:pPr>
      <w:r>
        <w:rPr>
          <w:noProof/>
        </w:rPr>
        <w:drawing>
          <wp:inline distT="0" distB="0" distL="0" distR="0" wp14:anchorId="10CF73C5" wp14:editId="10CF73C6">
            <wp:extent cx="4929188" cy="3701405"/>
            <wp:effectExtent l="0" t="0" r="0" b="0"/>
            <wp:docPr id="4" name="image2.png" descr="A pyramid of needs with Mediterranean Sea in th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yramid of needs with Mediterranean Sea in the background&#10;&#10;Description automatically generated"/>
                    <pic:cNvPicPr preferRelativeResize="0"/>
                  </pic:nvPicPr>
                  <pic:blipFill>
                    <a:blip r:embed="rId13"/>
                    <a:srcRect/>
                    <a:stretch>
                      <a:fillRect/>
                    </a:stretch>
                  </pic:blipFill>
                  <pic:spPr>
                    <a:xfrm>
                      <a:off x="0" y="0"/>
                      <a:ext cx="4929188" cy="3701405"/>
                    </a:xfrm>
                    <a:prstGeom prst="rect">
                      <a:avLst/>
                    </a:prstGeom>
                    <a:ln/>
                  </pic:spPr>
                </pic:pic>
              </a:graphicData>
            </a:graphic>
          </wp:inline>
        </w:drawing>
      </w:r>
    </w:p>
    <w:p w14:paraId="0B768471" w14:textId="77777777" w:rsidR="00CA27AB" w:rsidRDefault="002A24FF" w:rsidP="00CA27AB">
      <w:pPr>
        <w:spacing w:before="0" w:after="0"/>
        <w:rPr>
          <w:i/>
          <w:iCs/>
        </w:rPr>
      </w:pPr>
      <w:r>
        <w:rPr>
          <w:i/>
          <w:iCs/>
        </w:rPr>
        <w:t>Maslow’s Hierarchy of Needs</w:t>
      </w:r>
    </w:p>
    <w:p w14:paraId="10CF6949" w14:textId="3E34D259" w:rsidR="009E4375" w:rsidRPr="00CA27AB" w:rsidRDefault="00000000" w:rsidP="00CA27AB">
      <w:pPr>
        <w:spacing w:before="0" w:after="0"/>
        <w:rPr>
          <w:i/>
          <w:iCs/>
        </w:rPr>
      </w:pPr>
      <w:r>
        <w:rPr>
          <w:i/>
          <w:iCs/>
        </w:rPr>
        <w:t>Note.</w:t>
      </w:r>
      <w:r>
        <w:t xml:space="preserve"> Reprinted image from “Maslow’s Hierarchy of Needs,” by S. McLeod, 2024, S</w:t>
      </w:r>
      <w:r>
        <w:rPr>
          <w:i/>
          <w:iCs/>
        </w:rPr>
        <w:t xml:space="preserve">imply </w:t>
      </w:r>
      <w:proofErr w:type="gramStart"/>
      <w:r>
        <w:rPr>
          <w:i/>
          <w:iCs/>
        </w:rPr>
        <w:t>Psychology</w:t>
      </w:r>
      <w:r>
        <w:t>,  (</w:t>
      </w:r>
      <w:proofErr w:type="gramEnd"/>
      <w:r>
        <w:fldChar w:fldCharType="begin"/>
      </w:r>
      <w:r>
        <w:instrText>HYPERLINK "https://www.simplypsychology.org/maslow.html" \h</w:instrText>
      </w:r>
      <w:r>
        <w:fldChar w:fldCharType="separate"/>
      </w:r>
      <w:r>
        <w:rPr>
          <w:color w:val="0000FF"/>
          <w:u w:val="single"/>
        </w:rPr>
        <w:t>https://www.simplypsychology.org/maslow.html</w:t>
      </w:r>
      <w:r>
        <w:fldChar w:fldCharType="end"/>
      </w:r>
      <w:r>
        <w:rPr>
          <w:color w:val="0000FF"/>
          <w:u w:val="single"/>
        </w:rPr>
        <w:t>)</w:t>
      </w:r>
    </w:p>
    <w:p w14:paraId="10CF694B" w14:textId="77777777" w:rsidR="009E4375" w:rsidRDefault="009E4375" w:rsidP="00CA27AB">
      <w:pPr>
        <w:pBdr>
          <w:top w:val="nil"/>
          <w:left w:val="nil"/>
          <w:bottom w:val="nil"/>
          <w:right w:val="nil"/>
          <w:between w:val="nil"/>
        </w:pBdr>
        <w:spacing w:before="0" w:after="0"/>
        <w:ind w:firstLine="720"/>
        <w:rPr>
          <w:color w:val="000000"/>
        </w:rPr>
      </w:pPr>
    </w:p>
    <w:p w14:paraId="10CF694C" w14:textId="77777777" w:rsidR="009E4375" w:rsidRDefault="00000000">
      <w:pPr>
        <w:pBdr>
          <w:top w:val="nil"/>
          <w:left w:val="nil"/>
          <w:bottom w:val="nil"/>
          <w:right w:val="nil"/>
          <w:between w:val="nil"/>
        </w:pBdr>
        <w:spacing w:before="0" w:after="0"/>
        <w:ind w:firstLine="720"/>
        <w:rPr>
          <w:color w:val="000000"/>
        </w:rPr>
      </w:pPr>
      <w:r>
        <w:rPr>
          <w:color w:val="000000"/>
        </w:rPr>
        <w:t>Self-actualizing needs are at the pinnacle of the pyramid. These include the need to fulfill one’s potential as a person. According to Couture et al. (2007), self-actualization can be described as the psychological process that enables one to maximize the use of one’s abilities and resources. The process may vary from one person to another.</w:t>
      </w:r>
      <w:r>
        <w:t xml:space="preserve"> </w:t>
      </w:r>
      <w:r>
        <w:rPr>
          <w:color w:val="000000"/>
        </w:rPr>
        <w:t xml:space="preserve">According to McCall (1975), most of Maslow's needs belong to the category of psychological needs. </w:t>
      </w:r>
      <w:r>
        <w:t>Fulfilling</w:t>
      </w:r>
      <w:r>
        <w:rPr>
          <w:color w:val="000000"/>
        </w:rPr>
        <w:t xml:space="preserve"> a psychological need is to achieve a state of psychological well-being or happiness.</w:t>
      </w:r>
    </w:p>
    <w:p w14:paraId="10CF694D" w14:textId="77777777" w:rsidR="009E4375" w:rsidRDefault="00000000">
      <w:pPr>
        <w:spacing w:before="0" w:after="0"/>
        <w:ind w:firstLine="720"/>
      </w:pPr>
      <w:proofErr w:type="gramStart"/>
      <w:r>
        <w:t>German-American</w:t>
      </w:r>
      <w:proofErr w:type="gramEnd"/>
      <w:r>
        <w:t xml:space="preserve"> neurologist Kurt Goldstein (born 1878, died 1965) coined the term self-actualization in reference to "individuation" or the process of becoming </w:t>
      </w:r>
      <w:r>
        <w:lastRenderedPageBreak/>
        <w:t xml:space="preserve">independent from one's environment (Whitehead, 2017). However, the term is most well-known as coined by American psychologist Abraham Maslow (born 1908, died 1970). In his 1943 theory to explain human behavior, Maslow placed self-actualization at the top of a </w:t>
      </w:r>
      <w:proofErr w:type="gramStart"/>
      <w:r>
        <w:t>human’s</w:t>
      </w:r>
      <w:proofErr w:type="gramEnd"/>
      <w:r>
        <w:t xml:space="preserve"> hierarchy of needs. According to Maslow (1943), fulfilling one's potential is not only a noble undertaking or an admirable trait but a human necessity. Even so, self-actualization is not often achieved. One of the reasons for this is that most people are concerned with meeting the most urgent needs in the hierarchy. A person’s ability to achieve self-actualization is often described as developing one’s capabilities, which includes an appreciation of and full participation in life. However, </w:t>
      </w:r>
      <w:proofErr w:type="gramStart"/>
      <w:r>
        <w:t>each individual’s</w:t>
      </w:r>
      <w:proofErr w:type="gramEnd"/>
      <w:r>
        <w:t xml:space="preserve"> potential is unique to them and varies from person to person. Therefore, self-actualization is a personal process that differs from person to person.</w:t>
      </w:r>
    </w:p>
    <w:p w14:paraId="10CF694E" w14:textId="77777777" w:rsidR="009E4375" w:rsidRDefault="00000000">
      <w:pPr>
        <w:spacing w:before="0" w:after="0"/>
        <w:ind w:firstLine="720"/>
      </w:pPr>
      <w:r>
        <w:t>In conclusion, the perspective adopted is that of human development, based on Maslow’s theory (Maslow, 1943). The concept of quality of life is based on a hierarchy of satisfaction needs shared by all members of society. Generally, the higher the level of satisfaction needed (from lower-order to higher-order needs), the better the quality of life in that society.</w:t>
      </w:r>
    </w:p>
    <w:p w14:paraId="10CF694F" w14:textId="77777777" w:rsidR="009E4375" w:rsidRDefault="009E4375">
      <w:pPr>
        <w:spacing w:before="0" w:after="0"/>
        <w:ind w:firstLine="720"/>
      </w:pPr>
    </w:p>
    <w:p w14:paraId="10CF6950" w14:textId="77777777" w:rsidR="009E4375" w:rsidRDefault="00000000">
      <w:pPr>
        <w:pStyle w:val="Heading4"/>
      </w:pPr>
      <w:bookmarkStart w:id="24" w:name="_Toc214490383"/>
      <w:r>
        <w:t>Quality of Life Concept</w:t>
      </w:r>
      <w:bookmarkEnd w:id="24"/>
    </w:p>
    <w:p w14:paraId="10CF6951" w14:textId="77777777" w:rsidR="009E4375" w:rsidRDefault="00000000">
      <w:pPr>
        <w:spacing w:before="0" w:after="0"/>
        <w:ind w:firstLine="720"/>
      </w:pPr>
      <w:r>
        <w:t xml:space="preserve">English economist Arthur Cecil Pigou introduced the concept of QOL in his 1920 book, </w:t>
      </w:r>
      <w:r>
        <w:rPr>
          <w:i/>
          <w:iCs/>
        </w:rPr>
        <w:t>The Economics of Welfare</w:t>
      </w:r>
      <w:r>
        <w:t xml:space="preserve"> (</w:t>
      </w:r>
      <w:proofErr w:type="spellStart"/>
      <w:r>
        <w:t>Arsic</w:t>
      </w:r>
      <w:proofErr w:type="spellEnd"/>
      <w:r>
        <w:t xml:space="preserve"> &amp; Djordjevic, 2017). John F. Kennedy, as President of the United States, used the term to describe the state of the nation a few decades later, it became mainstream. QOL was developed as an opportunity to unify concepts, set goals for providing services, and evaluate the impact of the services on people daily. According to Felice (1997), in nature, experiences, and lifestyles, QOL encompasses a variety of developmental changes in individuals and their identity. Among his philosophical services are integration, maintaining relationships, and leading an everyday and social existence.</w:t>
      </w:r>
    </w:p>
    <w:p w14:paraId="10CF6952" w14:textId="77777777" w:rsidR="009E4375" w:rsidRDefault="00000000">
      <w:pPr>
        <w:spacing w:before="0" w:after="0"/>
        <w:ind w:firstLine="720"/>
      </w:pPr>
      <w:r>
        <w:t>The concept of QOL is a multidimensional construct (Felce, 1997), as can be seen in the three-element model (see Figure 2), in which values, life conditions, and personal satisfaction interact with personal values and aspirations to determine the QOL (Felce &amp; Perry 1995):</w:t>
      </w:r>
    </w:p>
    <w:p w14:paraId="10CF6953" w14:textId="77777777" w:rsidR="009E4375" w:rsidRDefault="00000000">
      <w:pPr>
        <w:numPr>
          <w:ilvl w:val="0"/>
          <w:numId w:val="18"/>
        </w:numPr>
        <w:pBdr>
          <w:top w:val="nil"/>
          <w:left w:val="nil"/>
          <w:bottom w:val="nil"/>
          <w:right w:val="nil"/>
          <w:between w:val="nil"/>
        </w:pBdr>
        <w:spacing w:before="0" w:after="0"/>
        <w:rPr>
          <w:color w:val="000000"/>
        </w:rPr>
      </w:pPr>
      <w:r>
        <w:lastRenderedPageBreak/>
        <w:t>An individual's life circumstances describe their objective conditions.</w:t>
      </w:r>
    </w:p>
    <w:p w14:paraId="10CF6954" w14:textId="77777777" w:rsidR="009E4375" w:rsidRDefault="00000000">
      <w:pPr>
        <w:numPr>
          <w:ilvl w:val="0"/>
          <w:numId w:val="18"/>
        </w:numPr>
        <w:pBdr>
          <w:top w:val="nil"/>
          <w:left w:val="nil"/>
          <w:bottom w:val="nil"/>
          <w:right w:val="nil"/>
          <w:between w:val="nil"/>
        </w:pBdr>
        <w:spacing w:before="0" w:after="0"/>
        <w:rPr>
          <w:color w:val="000000"/>
        </w:rPr>
      </w:pPr>
      <w:r>
        <w:rPr>
          <w:color w:val="000000"/>
        </w:rPr>
        <w:t>An individual's subjective well-being is how satisfied they are with their living conditions or lifestyles.</w:t>
      </w:r>
    </w:p>
    <w:p w14:paraId="10CF6955" w14:textId="77777777" w:rsidR="009E4375" w:rsidRDefault="00000000">
      <w:pPr>
        <w:numPr>
          <w:ilvl w:val="0"/>
          <w:numId w:val="18"/>
        </w:numPr>
        <w:pBdr>
          <w:top w:val="nil"/>
          <w:left w:val="nil"/>
          <w:bottom w:val="nil"/>
          <w:right w:val="nil"/>
          <w:between w:val="nil"/>
        </w:pBdr>
        <w:spacing w:before="0" w:after="0"/>
        <w:rPr>
          <w:color w:val="000000"/>
        </w:rPr>
      </w:pPr>
      <w:r>
        <w:t>Values and aspirations reflect an individual's prioritization of different aspects of their subjective well-being and objective well-being.</w:t>
      </w:r>
    </w:p>
    <w:p w14:paraId="10CF6956" w14:textId="77777777" w:rsidR="009E4375" w:rsidRDefault="009E4375">
      <w:pPr>
        <w:spacing w:before="0" w:after="0"/>
        <w:ind w:firstLine="720"/>
      </w:pPr>
    </w:p>
    <w:p w14:paraId="10CF6957" w14:textId="77777777" w:rsidR="009E4375" w:rsidRDefault="00000000">
      <w:pPr>
        <w:spacing w:before="0" w:after="0"/>
        <w:ind w:firstLine="720"/>
        <w:rPr>
          <w:b/>
          <w:bCs/>
        </w:rPr>
      </w:pPr>
      <w:r>
        <w:t xml:space="preserve">This QOL model is based on other formulations summarized by Borthwick-Duffy (1992) and the importance of individual values outlined by Cummins (1997). A starting point (see Figure 3a) is to suggest that QOL is the sum of the objectively measurable life conditions experienced by an individual. In such conditions, personal satisfaction with life is an indicator of a subjective response to life. In this model, citizens are not guaranteed satisfaction with life, but only a right to live and reasonable living conditions.  Although life conditions can significantly impact an individual's satisfaction with life, neither this potential relationship nor the subjective appraisal itself is relevant to the QOL assessment. Assessing the variety of life conditions across the population may be able to establish general indicators of QOL. The life conditions of a specific subgroup, such as deaf </w:t>
      </w:r>
      <w:proofErr w:type="gramStart"/>
      <w:r>
        <w:t>persons</w:t>
      </w:r>
      <w:proofErr w:type="gramEnd"/>
      <w:r>
        <w:t xml:space="preserve">, could be identified based on their position within the population distribution. </w:t>
      </w:r>
    </w:p>
    <w:p w14:paraId="10CF6958" w14:textId="3BE54F8C" w:rsidR="009E4375" w:rsidRDefault="0065123D" w:rsidP="0065123D">
      <w:pPr>
        <w:spacing w:before="0" w:after="0"/>
        <w:ind w:firstLine="720"/>
        <w:rPr>
          <w:b/>
          <w:bCs/>
        </w:rPr>
      </w:pPr>
      <w:r>
        <w:t xml:space="preserve">This QOL model is based on other formulations summarized by Borthwick-Duffy (1992) and the importance of individual values outlined by Cummins (1997). A starting point (see Figure 3a) is to suggest that QOL is the sum of the objectively measurable life conditions experienced by an individual. In such conditions, personal satisfaction with life is an indicator of a subjective response to life. In this model, citizens are not guaranteed satisfaction with life, but only a right to live and reasonable living conditions.  Although life conditions can significantly impact an individual's satisfaction with life, neither this potential relationship nor the subjective appraisal itself is relevant to the QOL assessment. Assessing the variety of life conditions across the population may be able to establish general indicators of QOL. The life conditions of a specific subgroup, such as deaf </w:t>
      </w:r>
      <w:proofErr w:type="gramStart"/>
      <w:r>
        <w:t>persons</w:t>
      </w:r>
      <w:proofErr w:type="gramEnd"/>
      <w:r>
        <w:t xml:space="preserve">, could be identified based on their position within the population distribution. </w:t>
      </w:r>
    </w:p>
    <w:p w14:paraId="0ACBEF30" w14:textId="77777777" w:rsidR="006410BE" w:rsidRDefault="006410BE">
      <w:pPr>
        <w:spacing w:before="0" w:after="200"/>
        <w:rPr>
          <w:b/>
          <w:bCs/>
        </w:rPr>
      </w:pPr>
    </w:p>
    <w:p w14:paraId="10CF695A" w14:textId="77777777" w:rsidR="009E4375" w:rsidRDefault="00000000">
      <w:pPr>
        <w:pBdr>
          <w:top w:val="nil"/>
          <w:left w:val="nil"/>
          <w:bottom w:val="nil"/>
          <w:right w:val="nil"/>
          <w:between w:val="nil"/>
        </w:pBdr>
        <w:spacing w:before="200" w:after="0" w:line="480" w:lineRule="auto"/>
        <w:rPr>
          <w:b/>
          <w:bCs/>
        </w:rPr>
      </w:pPr>
      <w:r>
        <w:rPr>
          <w:b/>
          <w:bCs/>
        </w:rPr>
        <w:lastRenderedPageBreak/>
        <w:t xml:space="preserve">Figure 2 </w:t>
      </w:r>
    </w:p>
    <w:p w14:paraId="5E1D99A5" w14:textId="64265AF5" w:rsidR="00CA27AB" w:rsidRDefault="00CA27AB" w:rsidP="00CA27AB">
      <w:pPr>
        <w:pBdr>
          <w:top w:val="nil"/>
          <w:left w:val="nil"/>
          <w:bottom w:val="nil"/>
          <w:right w:val="nil"/>
          <w:between w:val="nil"/>
        </w:pBdr>
        <w:spacing w:before="0" w:after="0"/>
        <w:rPr>
          <w:i/>
          <w:iCs/>
        </w:rPr>
      </w:pPr>
      <w:r>
        <w:rPr>
          <w:noProof/>
          <w:color w:val="000000"/>
        </w:rPr>
        <w:drawing>
          <wp:inline distT="0" distB="0" distL="0" distR="0" wp14:anchorId="6EAC19C2" wp14:editId="5B652162">
            <wp:extent cx="3406140" cy="4069080"/>
            <wp:effectExtent l="0" t="0" r="3810" b="7620"/>
            <wp:docPr id="6" name="image9.png" descr="A diagram of wellbe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diagram of wellbeing&#10;&#10;Description automatically generated"/>
                    <pic:cNvPicPr preferRelativeResize="0"/>
                  </pic:nvPicPr>
                  <pic:blipFill>
                    <a:blip r:embed="rId14"/>
                    <a:srcRect b="3838"/>
                    <a:stretch>
                      <a:fillRect/>
                    </a:stretch>
                  </pic:blipFill>
                  <pic:spPr>
                    <a:xfrm>
                      <a:off x="0" y="0"/>
                      <a:ext cx="3406140" cy="4069080"/>
                    </a:xfrm>
                    <a:prstGeom prst="rect">
                      <a:avLst/>
                    </a:prstGeom>
                    <a:ln/>
                  </pic:spPr>
                </pic:pic>
              </a:graphicData>
            </a:graphic>
          </wp:inline>
        </w:drawing>
      </w:r>
      <w:r>
        <w:rPr>
          <w:i/>
          <w:iCs/>
        </w:rPr>
        <w:t xml:space="preserve"> </w:t>
      </w:r>
    </w:p>
    <w:p w14:paraId="10CF695C" w14:textId="6C35CED5" w:rsidR="009E4375" w:rsidRPr="00CA27AB" w:rsidRDefault="00CA27AB" w:rsidP="00CA27AB">
      <w:pPr>
        <w:pBdr>
          <w:top w:val="nil"/>
          <w:left w:val="nil"/>
          <w:bottom w:val="nil"/>
          <w:right w:val="nil"/>
          <w:between w:val="nil"/>
        </w:pBdr>
        <w:spacing w:before="0" w:after="0"/>
        <w:rPr>
          <w:i/>
          <w:iCs/>
        </w:rPr>
      </w:pPr>
      <w:r>
        <w:rPr>
          <w:i/>
          <w:iCs/>
        </w:rPr>
        <w:t xml:space="preserve">A Model of Quality of Life </w:t>
      </w:r>
    </w:p>
    <w:p w14:paraId="10CF695D" w14:textId="77777777" w:rsidR="009E4375" w:rsidRDefault="00000000">
      <w:pPr>
        <w:pBdr>
          <w:top w:val="nil"/>
          <w:left w:val="nil"/>
          <w:bottom w:val="nil"/>
          <w:right w:val="nil"/>
          <w:between w:val="nil"/>
        </w:pBdr>
        <w:spacing w:before="0" w:after="0"/>
      </w:pPr>
      <w:r>
        <w:rPr>
          <w:i/>
          <w:iCs/>
        </w:rPr>
        <w:t>Note.</w:t>
      </w:r>
      <w:r>
        <w:t xml:space="preserve"> Reprinted image from “Defining and Applying the Concept of Quality of Life” by D. Felce, 1997, </w:t>
      </w:r>
      <w:r>
        <w:rPr>
          <w:i/>
          <w:iCs/>
        </w:rPr>
        <w:t>Journal of Intellectual Disability Research, 41</w:t>
      </w:r>
      <w:r>
        <w:t>(2), p.126 (</w:t>
      </w:r>
      <w:hyperlink r:id="rId15">
        <w:r w:rsidR="009E4375">
          <w:rPr>
            <w:color w:val="1155CC"/>
            <w:u w:val="single"/>
          </w:rPr>
          <w:t>https://doi.org/10.1111/j.1365-2788.1997.tb00689.x</w:t>
        </w:r>
      </w:hyperlink>
      <w:r>
        <w:t>).</w:t>
      </w:r>
    </w:p>
    <w:p w14:paraId="6599CFB9" w14:textId="77777777" w:rsidR="0065123D" w:rsidRDefault="0065123D" w:rsidP="00A26ED6">
      <w:pPr>
        <w:spacing w:before="0" w:after="0"/>
      </w:pPr>
    </w:p>
    <w:p w14:paraId="10CF6960" w14:textId="11F10001" w:rsidR="009E4375" w:rsidRDefault="00000000" w:rsidP="0065123D">
      <w:pPr>
        <w:spacing w:before="0"/>
        <w:ind w:firstLine="720"/>
        <w:rPr>
          <w:b/>
          <w:bCs/>
        </w:rPr>
      </w:pPr>
      <w:r>
        <w:t xml:space="preserve">However, many authors caution against defining </w:t>
      </w:r>
      <w:proofErr w:type="gramStart"/>
      <w:r>
        <w:t>a reasonable</w:t>
      </w:r>
      <w:proofErr w:type="gramEnd"/>
      <w:r>
        <w:t xml:space="preserve"> or decent QOL based on objective standards (Edgerton 1990). Expressed satisfaction with life (Figure 3b) is the essential criterion of QOL because individuals differ in what they enjoy and what they want from life or find important. The proposition is that people’s views about their lives will reflect their QOL more sensitively than an imposed objective measure.</w:t>
      </w:r>
    </w:p>
    <w:p w14:paraId="10CF6961" w14:textId="77777777" w:rsidR="009E4375" w:rsidRDefault="00000000" w:rsidP="00E817C9">
      <w:pPr>
        <w:spacing w:before="0" w:after="0"/>
        <w:ind w:firstLine="720"/>
      </w:pPr>
      <w:r>
        <w:t xml:space="preserve">Nevertheless, using described satisfaction as a reflection on </w:t>
      </w:r>
      <w:proofErr w:type="gramStart"/>
      <w:r>
        <w:t>the QOL</w:t>
      </w:r>
      <w:proofErr w:type="gramEnd"/>
      <w:r>
        <w:t xml:space="preserve"> - as a fulfillment of expectations - is not unproblematic. Firstly, the perception of well-being may be influenced more by internal rather than external conditions. The term </w:t>
      </w:r>
      <w:r>
        <w:lastRenderedPageBreak/>
        <w:t xml:space="preserve">"regression to characteristic level" refers to the process where over time, an individual's satisfaction levels tend to stabilize around a baseline based on the individual's inherent characteristics and past experiences. Thus, a longitudinal pattern can be relatively stable, with previous satisfaction being among the best indicators of current satisfaction.  There is no evidence that satisfaction is the indirect indicator of QOL that is often assumed. Instead, it is a </w:t>
      </w:r>
      <w:proofErr w:type="gramStart"/>
      <w:r>
        <w:t>nonresponsive</w:t>
      </w:r>
      <w:proofErr w:type="gramEnd"/>
      <w:r>
        <w:t xml:space="preserve"> indicator that is sensitive to only gross and sudden changes in life circumstances. Secondly, satisfaction is a measure of comparison between people and within people over time (Felce, 1997). It is impossible to isolate expressions of satisfaction from their context. </w:t>
      </w:r>
      <w:r>
        <w:rPr>
          <w:highlight w:val="white"/>
        </w:rPr>
        <w:t xml:space="preserve">The individual's expressions of satisfaction may be adjusted to habitual life conditions if the experience indicates that there are pervasive life conditions that are typical for them and their class. </w:t>
      </w:r>
      <w:r>
        <w:t xml:space="preserve">QOL is defined as the individual’s personal satisfaction regardless of various life conditions. If social stratification is not considered, this formulation is less appealing. Many people with substantial disabilities lack independence and experience constrained autonomy to maintain or change life conditions based on their subjective appraisals, </w:t>
      </w:r>
      <w:proofErr w:type="gramStart"/>
      <w:r>
        <w:t>similar to</w:t>
      </w:r>
      <w:proofErr w:type="gramEnd"/>
      <w:r>
        <w:t xml:space="preserve"> other societal groups that are disadvantaged economically, educationally, by class, racial origin, or other factors. It is possible that this reality will affect the satisfaction reports.</w:t>
      </w:r>
    </w:p>
    <w:p w14:paraId="10CF6962" w14:textId="77777777" w:rsidR="009E4375" w:rsidRDefault="00000000" w:rsidP="00E817C9">
      <w:pPr>
        <w:spacing w:before="0" w:after="0"/>
        <w:ind w:firstLine="720"/>
      </w:pPr>
      <w:r>
        <w:t xml:space="preserve">Those with low expectations due to their circumstances or status are more likely to report satisfaction instead of dissatisfaction regardless of adverse circumstances.  Adults with moderate or mild intellectual disabilities who live independently have provided evidence consistent with this prediction. According to studies (Close &amp; Halpern, 1988; Edgerton et al., 1984) that have explored the perspectives of individuals with developmental disabilities, the people with developmental disabilities were satisfied with their present lives and exceptionally positive about their future. </w:t>
      </w:r>
      <w:proofErr w:type="gramStart"/>
      <w:r>
        <w:t>In spite of</w:t>
      </w:r>
      <w:proofErr w:type="gramEnd"/>
      <w:r>
        <w:t xml:space="preserve"> dreadful living conditions, such as poverty, inadequate housing, health and safety risks, victimization, social isolation, personal loss, and the inability to obtain or maintain employment, they remain satisfied with their present situation. Holland (1990) also found that residents of various living environments, from hospitals with poor conditions to common community housing, expressed the same high satisfaction with their circumstances.</w:t>
      </w:r>
    </w:p>
    <w:p w14:paraId="10CF6964" w14:textId="05D2D9AE" w:rsidR="009E4375" w:rsidRDefault="00000000" w:rsidP="0075688B">
      <w:pPr>
        <w:spacing w:before="0" w:after="0"/>
        <w:ind w:firstLine="720"/>
      </w:pPr>
      <w:r>
        <w:lastRenderedPageBreak/>
        <w:t xml:space="preserve">As a result of Cummins's (1995) review of empirical studies of lifestyle satisfaction, there was remarkable consistency in the results of large-scale studies of the general population. The researcher obtained the following results (see Figure 4). There is a difference in the assessed QOL between the rich and the poor and among different ethnic groups (at least in the USA). The QOL of </w:t>
      </w:r>
      <w:proofErr w:type="gramStart"/>
      <w:r>
        <w:t>persons</w:t>
      </w:r>
      <w:proofErr w:type="gramEnd"/>
      <w:r>
        <w:t xml:space="preserve"> with physical disabilities and chronic medical conditions is lower than the average QOL for the general population. For people with intellectual disabilities, however, all results are within the normal range. It can be concluded that either the problem we perceive as a problem has already been resolved, or that a definition of QOL which relies solely on subjective evaluation fails to provide adequate safeguards for vulnerable individuals that need to be associated with this measure. The adequacy of social policy in general and the level of service support in particular should be evaluated according to this criterion.</w:t>
      </w:r>
    </w:p>
    <w:p w14:paraId="10CF6969" w14:textId="4EE9FC80" w:rsidR="009E4375" w:rsidRDefault="0075688B" w:rsidP="0075688B">
      <w:pPr>
        <w:spacing w:before="0" w:after="0"/>
        <w:ind w:firstLine="720"/>
      </w:pPr>
      <w:r>
        <w:t>Commentators have therefore viewed quality in Figure 3c as a combination of objective and subjective components (Bigelow et al., 1991; Schalock, 1994), but there is a pitfall that the way scores are accumulated across issues is pragmatic in nature.  Biological, material, social, behavioral, and psychological indicators may be used to evaluate life domains objectively. Reports of satisfaction and well-being may also reflect subjective feelings about each aspect of life. Similarly, the QOL measures have been developed for individuals with mental retardation that account for both subjective and objective aspects (Schalock, Keith, &amp; Hoffman, 1990). This formulation allows the individual to maintain an independent perspective on his or her own life circumstances. This model does not specify how to combine objective and subjective assessments across relevant issues.</w:t>
      </w:r>
    </w:p>
    <w:p w14:paraId="40C4D2D1" w14:textId="77777777" w:rsidR="006410BE" w:rsidRDefault="006410BE" w:rsidP="0075688B">
      <w:pPr>
        <w:spacing w:before="0" w:after="0"/>
        <w:ind w:firstLine="720"/>
      </w:pPr>
    </w:p>
    <w:p w14:paraId="5FF6F434" w14:textId="77777777" w:rsidR="006410BE" w:rsidRDefault="006410BE" w:rsidP="0075688B">
      <w:pPr>
        <w:spacing w:before="0" w:after="0"/>
        <w:ind w:firstLine="720"/>
      </w:pPr>
    </w:p>
    <w:p w14:paraId="389704C7" w14:textId="77777777" w:rsidR="006410BE" w:rsidRDefault="006410BE" w:rsidP="0075688B">
      <w:pPr>
        <w:spacing w:before="0" w:after="0"/>
        <w:ind w:firstLine="720"/>
      </w:pPr>
    </w:p>
    <w:p w14:paraId="39443724" w14:textId="77777777" w:rsidR="006410BE" w:rsidRDefault="006410BE" w:rsidP="0075688B">
      <w:pPr>
        <w:spacing w:before="0" w:after="0"/>
        <w:ind w:firstLine="720"/>
      </w:pPr>
    </w:p>
    <w:p w14:paraId="03EF29DF" w14:textId="77777777" w:rsidR="006410BE" w:rsidRDefault="006410BE" w:rsidP="0075688B">
      <w:pPr>
        <w:spacing w:before="0" w:after="0"/>
        <w:ind w:firstLine="720"/>
      </w:pPr>
    </w:p>
    <w:p w14:paraId="13B3D4D3" w14:textId="77777777" w:rsidR="006410BE" w:rsidRDefault="006410BE" w:rsidP="0075688B">
      <w:pPr>
        <w:spacing w:before="0" w:after="0"/>
        <w:ind w:firstLine="720"/>
      </w:pPr>
    </w:p>
    <w:p w14:paraId="77D8ECF7" w14:textId="77777777" w:rsidR="006410BE" w:rsidRDefault="006410BE" w:rsidP="0075688B">
      <w:pPr>
        <w:spacing w:before="0" w:after="0"/>
        <w:ind w:firstLine="720"/>
      </w:pPr>
    </w:p>
    <w:p w14:paraId="10CF696A" w14:textId="77777777" w:rsidR="009E4375" w:rsidRDefault="009E4375" w:rsidP="0075688B">
      <w:pPr>
        <w:spacing w:before="0" w:after="0"/>
      </w:pPr>
    </w:p>
    <w:p w14:paraId="10CF696B" w14:textId="77777777" w:rsidR="009E4375" w:rsidRDefault="00000000">
      <w:pPr>
        <w:spacing w:before="0" w:after="0"/>
      </w:pPr>
      <w:r>
        <w:rPr>
          <w:b/>
          <w:bCs/>
        </w:rPr>
        <w:lastRenderedPageBreak/>
        <w:t>Figure 3</w:t>
      </w:r>
      <w:r>
        <w:t xml:space="preserve"> </w:t>
      </w:r>
    </w:p>
    <w:p w14:paraId="24425C10" w14:textId="77777777" w:rsidR="00773611" w:rsidRDefault="00773611">
      <w:pPr>
        <w:spacing w:before="0" w:after="0"/>
        <w:rPr>
          <w:i/>
          <w:iCs/>
        </w:rPr>
      </w:pPr>
      <w:r>
        <w:rPr>
          <w:noProof/>
          <w:color w:val="000000"/>
        </w:rPr>
        <w:drawing>
          <wp:inline distT="0" distB="0" distL="0" distR="0" wp14:anchorId="73AD6F85" wp14:editId="5F9C257E">
            <wp:extent cx="4448571" cy="5965552"/>
            <wp:effectExtent l="0" t="0" r="0" b="0"/>
            <wp:docPr id="7" name="image8.png" descr="A diagram of life condition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diagram of life conditions&#10;&#10;Description automatically generated"/>
                    <pic:cNvPicPr preferRelativeResize="0"/>
                  </pic:nvPicPr>
                  <pic:blipFill>
                    <a:blip r:embed="rId16"/>
                    <a:srcRect/>
                    <a:stretch>
                      <a:fillRect/>
                    </a:stretch>
                  </pic:blipFill>
                  <pic:spPr>
                    <a:xfrm>
                      <a:off x="0" y="0"/>
                      <a:ext cx="4448571" cy="5965552"/>
                    </a:xfrm>
                    <a:prstGeom prst="rect">
                      <a:avLst/>
                    </a:prstGeom>
                    <a:ln/>
                  </pic:spPr>
                </pic:pic>
              </a:graphicData>
            </a:graphic>
          </wp:inline>
        </w:drawing>
      </w:r>
    </w:p>
    <w:p w14:paraId="10CF696D" w14:textId="2FC3617F" w:rsidR="009E4375" w:rsidRPr="00773611" w:rsidRDefault="00000000" w:rsidP="00773611">
      <w:pPr>
        <w:spacing w:before="0" w:after="0"/>
        <w:rPr>
          <w:i/>
          <w:iCs/>
          <w:color w:val="000000"/>
        </w:rPr>
      </w:pPr>
      <w:r>
        <w:rPr>
          <w:i/>
          <w:iCs/>
        </w:rPr>
        <w:t xml:space="preserve">Conceptualization of Quality of Life </w:t>
      </w:r>
    </w:p>
    <w:p w14:paraId="10CF696F" w14:textId="7C2D25AD" w:rsidR="009E4375" w:rsidRDefault="00000000" w:rsidP="00773611">
      <w:pPr>
        <w:pBdr>
          <w:top w:val="nil"/>
          <w:left w:val="nil"/>
          <w:bottom w:val="nil"/>
          <w:right w:val="nil"/>
          <w:between w:val="nil"/>
        </w:pBdr>
        <w:spacing w:before="0" w:after="0"/>
        <w:rPr>
          <w:sz w:val="20"/>
          <w:szCs w:val="20"/>
        </w:rPr>
      </w:pPr>
      <w:r>
        <w:rPr>
          <w:i/>
          <w:iCs/>
        </w:rPr>
        <w:t>Note.</w:t>
      </w:r>
      <w:r>
        <w:t xml:space="preserve"> QOL is defined in terms of (a) life conditions, (b) satisfaction with life, (c) a combination of life conditions and satisfaction, and (d) a combination of life conditions and satisfaction weighted by the scale of importance. See Figure 6 for an extension of (d) only. Reprinted image from “Quality of Life: Its Definition and Measurement,” by D. Felce and J. Perry, 1995, </w:t>
      </w:r>
      <w:r>
        <w:rPr>
          <w:i/>
          <w:iCs/>
        </w:rPr>
        <w:t>Research in Developmental Disabilities, 16</w:t>
      </w:r>
      <w:r>
        <w:t>(1), p. 55 (</w:t>
      </w:r>
      <w:hyperlink r:id="rId17">
        <w:r w:rsidR="009E4375">
          <w:rPr>
            <w:color w:val="1155CC"/>
            <w:u w:val="single"/>
          </w:rPr>
          <w:t>https://doi.org/10.1016/0891-4222(94)00028-8</w:t>
        </w:r>
      </w:hyperlink>
      <w:r>
        <w:t>).</w:t>
      </w:r>
    </w:p>
    <w:p w14:paraId="6B51CC8F" w14:textId="77777777" w:rsidR="0075688B" w:rsidRDefault="0075688B">
      <w:pPr>
        <w:pBdr>
          <w:top w:val="nil"/>
          <w:left w:val="nil"/>
          <w:bottom w:val="nil"/>
          <w:right w:val="nil"/>
          <w:between w:val="nil"/>
        </w:pBdr>
        <w:spacing w:before="0" w:after="0"/>
        <w:rPr>
          <w:sz w:val="20"/>
          <w:szCs w:val="20"/>
        </w:rPr>
      </w:pPr>
    </w:p>
    <w:p w14:paraId="10CF6970" w14:textId="77777777" w:rsidR="009E4375" w:rsidRDefault="00000000" w:rsidP="00651970">
      <w:pPr>
        <w:spacing w:before="0" w:after="0"/>
      </w:pPr>
      <w:r>
        <w:rPr>
          <w:b/>
          <w:bCs/>
        </w:rPr>
        <w:t>Figure 4</w:t>
      </w:r>
    </w:p>
    <w:p w14:paraId="03128E3D" w14:textId="77777777" w:rsidR="00651970" w:rsidRDefault="00773611" w:rsidP="00651970">
      <w:pPr>
        <w:spacing w:before="0" w:after="0"/>
        <w:rPr>
          <w:i/>
          <w:iCs/>
        </w:rPr>
      </w:pPr>
      <w:r>
        <w:rPr>
          <w:noProof/>
        </w:rPr>
        <w:drawing>
          <wp:inline distT="0" distB="0" distL="0" distR="0" wp14:anchorId="55BA695B" wp14:editId="6B689874">
            <wp:extent cx="4038600" cy="3905250"/>
            <wp:effectExtent l="0" t="0" r="0" b="0"/>
            <wp:docPr id="3" name="image4.png" descr="A diagram of a sca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diagram of a scale&#10;&#10;Description automatically generated"/>
                    <pic:cNvPicPr preferRelativeResize="0"/>
                  </pic:nvPicPr>
                  <pic:blipFill>
                    <a:blip r:embed="rId18"/>
                    <a:srcRect b="11637"/>
                    <a:stretch>
                      <a:fillRect/>
                    </a:stretch>
                  </pic:blipFill>
                  <pic:spPr>
                    <a:xfrm>
                      <a:off x="0" y="0"/>
                      <a:ext cx="4038600" cy="3905250"/>
                    </a:xfrm>
                    <a:prstGeom prst="rect">
                      <a:avLst/>
                    </a:prstGeom>
                    <a:ln/>
                  </pic:spPr>
                </pic:pic>
              </a:graphicData>
            </a:graphic>
          </wp:inline>
        </w:drawing>
      </w:r>
      <w:r w:rsidR="00651970">
        <w:rPr>
          <w:i/>
          <w:iCs/>
        </w:rPr>
        <w:t xml:space="preserve"> </w:t>
      </w:r>
    </w:p>
    <w:p w14:paraId="10CF6971" w14:textId="3D766BCE" w:rsidR="009E4375" w:rsidRPr="00651970" w:rsidRDefault="00000000" w:rsidP="00651970">
      <w:pPr>
        <w:spacing w:before="0" w:after="0"/>
        <w:rPr>
          <w:i/>
          <w:iCs/>
        </w:rPr>
      </w:pPr>
      <w:r>
        <w:rPr>
          <w:i/>
          <w:iCs/>
        </w:rPr>
        <w:t xml:space="preserve">Total Population and Subgroup Comparisons of Satisfaction with Life </w:t>
      </w:r>
    </w:p>
    <w:p w14:paraId="10CF6972" w14:textId="77777777" w:rsidR="009E4375" w:rsidRDefault="00000000" w:rsidP="00651970">
      <w:pPr>
        <w:pBdr>
          <w:top w:val="nil"/>
          <w:left w:val="nil"/>
          <w:bottom w:val="nil"/>
          <w:right w:val="nil"/>
          <w:between w:val="nil"/>
        </w:pBdr>
        <w:spacing w:before="0" w:after="0"/>
      </w:pPr>
      <w:r>
        <w:rPr>
          <w:i/>
          <w:iCs/>
        </w:rPr>
        <w:t>Note</w:t>
      </w:r>
      <w:r>
        <w:t xml:space="preserve">. Reprinted image from “Defining and Applying the Concept of Quality of Life” by D. Felce, 1997, </w:t>
      </w:r>
      <w:r>
        <w:rPr>
          <w:i/>
          <w:iCs/>
        </w:rPr>
        <w:t>Journal of Intellectual Disability Research, 41</w:t>
      </w:r>
      <w:r>
        <w:t>(2), p.129 (</w:t>
      </w:r>
      <w:hyperlink r:id="rId19">
        <w:r w:rsidR="009E4375">
          <w:rPr>
            <w:color w:val="1155CC"/>
            <w:u w:val="single"/>
          </w:rPr>
          <w:t>https://doi.org/10.1111/j.1365-2788.1997.tb00689.x</w:t>
        </w:r>
      </w:hyperlink>
      <w:r>
        <w:t xml:space="preserve">). </w:t>
      </w:r>
    </w:p>
    <w:p w14:paraId="10CF6973" w14:textId="77777777" w:rsidR="009E4375" w:rsidRDefault="009E4375" w:rsidP="00651970">
      <w:pPr>
        <w:pBdr>
          <w:top w:val="nil"/>
          <w:left w:val="nil"/>
          <w:bottom w:val="nil"/>
          <w:right w:val="nil"/>
          <w:between w:val="nil"/>
        </w:pBdr>
        <w:spacing w:before="0" w:after="0"/>
      </w:pPr>
    </w:p>
    <w:p w14:paraId="10CF6975" w14:textId="5D145555" w:rsidR="009E4375" w:rsidRDefault="00000000">
      <w:pPr>
        <w:spacing w:before="0" w:after="0"/>
        <w:ind w:firstLine="720"/>
      </w:pPr>
      <w:r>
        <w:t xml:space="preserve">Cummins (1997) suggested that people's subjective assessments across various aspects of their lives should be aggregated according to the relative importance they attach to these aspects based on their subjective assessments. As a result of extending this idea to both objective and subjective assessments, the three-part model is shown in Figure 3d. There may also be a consideration of the individual's scale of values when determining the significance of objective life conditions. A three-factor model is proposed in which personal values, life conditions, and life satisfaction interact to determine </w:t>
      </w:r>
      <w:proofErr w:type="gramStart"/>
      <w:r>
        <w:t>the QOL</w:t>
      </w:r>
      <w:proofErr w:type="gramEnd"/>
      <w:r>
        <w:t xml:space="preserve"> (Fig. 3d). Whether a life domain is subjective or objectively </w:t>
      </w:r>
      <w:r>
        <w:lastRenderedPageBreak/>
        <w:t>assessed is only meaningful in the context of the individual's perception of its importance.</w:t>
      </w:r>
    </w:p>
    <w:p w14:paraId="11DC93A4" w14:textId="77777777" w:rsidR="00B5581C" w:rsidRDefault="00B5581C">
      <w:pPr>
        <w:spacing w:before="0" w:after="0"/>
        <w:ind w:firstLine="720"/>
      </w:pPr>
    </w:p>
    <w:p w14:paraId="10CF6977" w14:textId="77777777" w:rsidR="009E4375" w:rsidRDefault="00000000">
      <w:pPr>
        <w:pStyle w:val="Heading4"/>
      </w:pPr>
      <w:bookmarkStart w:id="25" w:name="_za5blwiqd7h7" w:colFirst="0" w:colLast="0"/>
      <w:bookmarkStart w:id="26" w:name="_Toc214490384"/>
      <w:bookmarkEnd w:id="25"/>
      <w:r>
        <w:t>Operationalization of the Construction of QOL</w:t>
      </w:r>
      <w:bookmarkEnd w:id="26"/>
      <w:r>
        <w:t xml:space="preserve"> </w:t>
      </w:r>
    </w:p>
    <w:p w14:paraId="10CF6978" w14:textId="77777777" w:rsidR="009E4375" w:rsidRDefault="00000000">
      <w:pPr>
        <w:spacing w:before="0" w:after="0"/>
        <w:ind w:firstLine="720"/>
      </w:pPr>
      <w:r>
        <w:t>The definition of QOL differs among researchers, but there is considerable agreement on relevant domains for assessment. Fifteen key literature sources have been reviewed that describe conceptual models or operationalizations of QOL (Schalock, 1996). During this review, there were two important considerations: (1) the complexity of life demands a multi-element, multi-focus assessment framework and (2) at a broad level of generalization.</w:t>
      </w:r>
    </w:p>
    <w:p w14:paraId="10CF6979" w14:textId="77777777" w:rsidR="009E4375" w:rsidRDefault="00000000">
      <w:pPr>
        <w:spacing w:before="0" w:after="0"/>
        <w:ind w:firstLine="720"/>
      </w:pPr>
      <w:r>
        <w:t>A six-heading categorization was developed based on the review of studies. Figure 5 illustrates the domains relevant to the QOL as determined by Andrews &amp; Withey (2012); Baker &amp; Intagliata (1982); Bigelow et al. (1991); Blunden (1988); Borthwick-Duffy et al. (1992); Brown &amp; Bayer (1992); Campbell et al. (1976); Cummins (1997); Flanagan (1978); Franklin et al., (1986); Heal &amp; Chadsey-Rusch (1985); O'Brien (1987); Parmenter (1988); Schalock et al. (1990); and, Stark and Goldsbury (1990). Most aspects mentioned in these sources can be grouped under six domain headings: (1) Physical well-being; (2) Material well-being; (3) Social well-being; (4) Productive well-being; (5) Emotional well-being; and (6) Civic well-being.</w:t>
      </w:r>
    </w:p>
    <w:p w14:paraId="40036DEB" w14:textId="77777777" w:rsidR="007B5E2C" w:rsidRDefault="007B5E2C" w:rsidP="007B5E2C">
      <w:pPr>
        <w:pBdr>
          <w:top w:val="nil"/>
          <w:left w:val="nil"/>
          <w:bottom w:val="nil"/>
          <w:right w:val="nil"/>
          <w:between w:val="nil"/>
        </w:pBdr>
        <w:spacing w:before="0" w:after="0"/>
        <w:ind w:firstLine="720"/>
      </w:pPr>
      <w:r>
        <w:rPr>
          <w:color w:val="000000"/>
        </w:rPr>
        <w:t>Physical well-being</w:t>
      </w:r>
      <w:r>
        <w:rPr>
          <w:b/>
          <w:bCs/>
          <w:color w:val="000000"/>
        </w:rPr>
        <w:t xml:space="preserve"> </w:t>
      </w:r>
      <w:r>
        <w:rPr>
          <w:color w:val="000000"/>
        </w:rPr>
        <w:t>is the primary sub-construct</w:t>
      </w:r>
      <w:r>
        <w:t xml:space="preserve"> </w:t>
      </w:r>
      <w:r>
        <w:rPr>
          <w:color w:val="000000"/>
        </w:rPr>
        <w:t xml:space="preserve">in </w:t>
      </w:r>
      <w:proofErr w:type="spellStart"/>
      <w:r>
        <w:rPr>
          <w:color w:val="000000"/>
        </w:rPr>
        <w:t>Bhmden's</w:t>
      </w:r>
      <w:proofErr w:type="spellEnd"/>
      <w:r>
        <w:rPr>
          <w:color w:val="000000"/>
        </w:rPr>
        <w:t xml:space="preserve"> classification (1988), which includes health, nutrition, fitness, mobility, and personal safety, as aspects of physical ability, fitness, and mobility can be defined as functional capacities relative to specific activities. The consideration of these aspects overlaps with the consideration of development and activity. According to Cella (1994), in the physical dimension, pain, nausea, and fatigue constitute perceived and observed bodily functions and disruptions. Symptoms associated with disease, treatment side effects, and general well-being are all considered physical well-being by the patient. </w:t>
      </w:r>
      <w:r>
        <w:t>Clinicians/observers need to distinguish</w:t>
      </w:r>
      <w:r>
        <w:rPr>
          <w:color w:val="000000"/>
        </w:rPr>
        <w:t xml:space="preserve"> between disease and treatment-induced physical disruptions when determining treatment options. For patients, this distinction may not be as crucial. People </w:t>
      </w:r>
      <w:r>
        <w:t>implicitly combining</w:t>
      </w:r>
      <w:r>
        <w:rPr>
          <w:color w:val="000000"/>
        </w:rPr>
        <w:t xml:space="preserve"> these experiences </w:t>
      </w:r>
      <w:r>
        <w:t>with</w:t>
      </w:r>
      <w:r>
        <w:rPr>
          <w:color w:val="000000"/>
        </w:rPr>
        <w:t xml:space="preserve"> patients may </w:t>
      </w:r>
      <w:r>
        <w:rPr>
          <w:color w:val="000000"/>
        </w:rPr>
        <w:lastRenderedPageBreak/>
        <w:t xml:space="preserve">misinterpret symptoms as side effects or vice versa. Additionally, safety is an aspect of emotional well-being, as Schalock (1996) has classified </w:t>
      </w:r>
      <w:proofErr w:type="gramStart"/>
      <w:r>
        <w:rPr>
          <w:color w:val="000000"/>
        </w:rPr>
        <w:t>it,</w:t>
      </w:r>
      <w:proofErr w:type="gramEnd"/>
      <w:r>
        <w:rPr>
          <w:color w:val="000000"/>
        </w:rPr>
        <w:t xml:space="preserve"> </w:t>
      </w:r>
      <w:proofErr w:type="gramStart"/>
      <w:r>
        <w:rPr>
          <w:color w:val="000000"/>
        </w:rPr>
        <w:t>or</w:t>
      </w:r>
      <w:proofErr w:type="gramEnd"/>
      <w:r>
        <w:rPr>
          <w:color w:val="000000"/>
        </w:rPr>
        <w:t xml:space="preserve"> a civic right.</w:t>
      </w:r>
    </w:p>
    <w:p w14:paraId="10CF697A" w14:textId="77777777" w:rsidR="009E4375" w:rsidRDefault="009E4375">
      <w:pPr>
        <w:spacing w:before="0" w:after="0"/>
      </w:pPr>
    </w:p>
    <w:p w14:paraId="10CF697B" w14:textId="77777777" w:rsidR="009E4375" w:rsidRDefault="009E4375">
      <w:pPr>
        <w:spacing w:before="0" w:after="0"/>
      </w:pPr>
    </w:p>
    <w:p w14:paraId="10CF697C" w14:textId="77777777" w:rsidR="009E4375" w:rsidRDefault="00000000" w:rsidP="00651970">
      <w:pPr>
        <w:spacing w:before="0" w:after="0"/>
        <w:rPr>
          <w:b/>
          <w:bCs/>
        </w:rPr>
      </w:pPr>
      <w:r>
        <w:rPr>
          <w:b/>
          <w:bCs/>
        </w:rPr>
        <w:t>Figure 5</w:t>
      </w:r>
    </w:p>
    <w:p w14:paraId="10CF697D" w14:textId="623B4557" w:rsidR="009E4375" w:rsidRDefault="00651970" w:rsidP="00651970">
      <w:pPr>
        <w:spacing w:before="0" w:after="0"/>
        <w:rPr>
          <w:i/>
          <w:iCs/>
        </w:rPr>
      </w:pPr>
      <w:r>
        <w:rPr>
          <w:i/>
          <w:iCs/>
          <w:noProof/>
        </w:rPr>
        <w:drawing>
          <wp:inline distT="0" distB="0" distL="0" distR="0" wp14:anchorId="16E011BF" wp14:editId="2DE12AF7">
            <wp:extent cx="5943600" cy="3928110"/>
            <wp:effectExtent l="0" t="0" r="0" b="0"/>
            <wp:docPr id="8" name="image7.png" descr="A diagram of different types of well being&#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diagram of different types of well being&#10;&#10;Description automatically generated"/>
                    <pic:cNvPicPr preferRelativeResize="0"/>
                  </pic:nvPicPr>
                  <pic:blipFill>
                    <a:blip r:embed="rId20"/>
                    <a:srcRect b="3644"/>
                    <a:stretch>
                      <a:fillRect/>
                    </a:stretch>
                  </pic:blipFill>
                  <pic:spPr>
                    <a:xfrm>
                      <a:off x="0" y="0"/>
                      <a:ext cx="5943600" cy="3928110"/>
                    </a:xfrm>
                    <a:prstGeom prst="rect">
                      <a:avLst/>
                    </a:prstGeom>
                    <a:ln/>
                  </pic:spPr>
                </pic:pic>
              </a:graphicData>
            </a:graphic>
          </wp:inline>
        </w:drawing>
      </w:r>
      <w:r>
        <w:rPr>
          <w:i/>
          <w:iCs/>
        </w:rPr>
        <w:t xml:space="preserve">Quality of Life Domains </w:t>
      </w:r>
    </w:p>
    <w:p w14:paraId="10CF697E" w14:textId="77777777" w:rsidR="009E4375" w:rsidRDefault="00000000" w:rsidP="00651970">
      <w:pPr>
        <w:spacing w:before="0" w:after="0"/>
        <w:rPr>
          <w:color w:val="000000"/>
        </w:rPr>
      </w:pPr>
      <w:r>
        <w:rPr>
          <w:i/>
          <w:iCs/>
        </w:rPr>
        <w:t xml:space="preserve">Note. </w:t>
      </w:r>
      <w:r>
        <w:t xml:space="preserve">Reprinted image from “Defining and Applying the Concept of Quality of Life” by D. Felce, 1997, </w:t>
      </w:r>
      <w:r>
        <w:rPr>
          <w:i/>
          <w:iCs/>
        </w:rPr>
        <w:t>Journal of Intellectual Disability Research, 41</w:t>
      </w:r>
      <w:r>
        <w:t>(2), p.130 (</w:t>
      </w:r>
      <w:hyperlink r:id="rId21">
        <w:r w:rsidR="009E4375">
          <w:rPr>
            <w:color w:val="1155CC"/>
            <w:u w:val="single"/>
          </w:rPr>
          <w:t>https://doi.org/10.1111/j.1365-2788.1997.tb00689.x</w:t>
        </w:r>
      </w:hyperlink>
      <w:r>
        <w:t>).</w:t>
      </w:r>
      <w:r>
        <w:rPr>
          <w:i/>
          <w:iCs/>
        </w:rPr>
        <w:t xml:space="preserve"> </w:t>
      </w:r>
    </w:p>
    <w:p w14:paraId="10CF697F" w14:textId="77777777" w:rsidR="009E4375" w:rsidRDefault="009E4375" w:rsidP="00651970">
      <w:pPr>
        <w:pBdr>
          <w:top w:val="nil"/>
          <w:left w:val="nil"/>
          <w:bottom w:val="nil"/>
          <w:right w:val="nil"/>
          <w:between w:val="nil"/>
        </w:pBdr>
        <w:spacing w:before="0" w:after="0"/>
        <w:ind w:firstLine="720"/>
      </w:pPr>
    </w:p>
    <w:p w14:paraId="10CF6981" w14:textId="77777777" w:rsidR="009E4375" w:rsidRDefault="00000000">
      <w:pPr>
        <w:pBdr>
          <w:top w:val="nil"/>
          <w:left w:val="nil"/>
          <w:bottom w:val="nil"/>
          <w:right w:val="nil"/>
          <w:between w:val="nil"/>
        </w:pBdr>
        <w:spacing w:before="0" w:after="0"/>
        <w:ind w:firstLine="720"/>
        <w:rPr>
          <w:color w:val="000000"/>
        </w:rPr>
      </w:pPr>
      <w:r>
        <w:rPr>
          <w:color w:val="000000"/>
        </w:rPr>
        <w:t xml:space="preserve">Material well-being was </w:t>
      </w:r>
      <w:r>
        <w:t>operationalized</w:t>
      </w:r>
      <w:r>
        <w:rPr>
          <w:color w:val="000000"/>
        </w:rPr>
        <w:t xml:space="preserve"> by Blunden (1988). Wealth or ownership, income, various aspects of the living environment, transportation, security, and tenure are all included in material well-being. The quality of one's housing, furnishings, equipment, food, possessions, and the neighborhood's character all contribute to the quality of one's accommodation. Transportation is a factor that influences a person's </w:t>
      </w:r>
      <w:r>
        <w:rPr>
          <w:color w:val="000000"/>
        </w:rPr>
        <w:lastRenderedPageBreak/>
        <w:t xml:space="preserve">ability to maintain or extend their participation in social, work, educational, civic, and leisure pursuits, which </w:t>
      </w:r>
      <w:proofErr w:type="gramStart"/>
      <w:r>
        <w:rPr>
          <w:color w:val="000000"/>
        </w:rPr>
        <w:t>underpins</w:t>
      </w:r>
      <w:proofErr w:type="gramEnd"/>
      <w:r>
        <w:rPr>
          <w:color w:val="000000"/>
        </w:rPr>
        <w:t xml:space="preserve"> many other aspects of their well-being.</w:t>
      </w:r>
    </w:p>
    <w:p w14:paraId="10CF6982" w14:textId="77777777" w:rsidR="009E4375" w:rsidRDefault="00000000">
      <w:pPr>
        <w:pBdr>
          <w:top w:val="nil"/>
          <w:left w:val="nil"/>
          <w:bottom w:val="nil"/>
          <w:right w:val="nil"/>
          <w:between w:val="nil"/>
        </w:pBdr>
        <w:spacing w:before="0" w:after="0"/>
        <w:ind w:firstLine="720"/>
        <w:rPr>
          <w:color w:val="000000"/>
          <w:highlight w:val="cyan"/>
        </w:rPr>
      </w:pPr>
      <w:r>
        <w:rPr>
          <w:color w:val="000000"/>
        </w:rPr>
        <w:t xml:space="preserve">Social well-being includes two major dimensions, according to Schalock’s (1996) classification: (1) the depth </w:t>
      </w:r>
      <w:r>
        <w:t>and quality of interpersonal</w:t>
      </w:r>
      <w:r>
        <w:rPr>
          <w:color w:val="000000"/>
        </w:rPr>
        <w:t xml:space="preserve"> and </w:t>
      </w:r>
      <w:r>
        <w:t>mutual</w:t>
      </w:r>
      <w:r>
        <w:rPr>
          <w:color w:val="000000"/>
        </w:rPr>
        <w:t xml:space="preserve"> relationships within the family, with relatives and friends, and with </w:t>
      </w:r>
      <w:r>
        <w:t>acquaintances, and</w:t>
      </w:r>
      <w:r>
        <w:rPr>
          <w:color w:val="000000"/>
        </w:rPr>
        <w:t xml:space="preserve"> (2) the level of community acceptance or support given by the community in relation to the activities undertaken. Both dimensions </w:t>
      </w:r>
      <w:r>
        <w:t>can be classified as social status or social roles.</w:t>
      </w:r>
    </w:p>
    <w:p w14:paraId="10CF6983" w14:textId="77777777" w:rsidR="009E4375" w:rsidRDefault="00000000">
      <w:pPr>
        <w:pBdr>
          <w:top w:val="nil"/>
          <w:left w:val="nil"/>
          <w:bottom w:val="nil"/>
          <w:right w:val="nil"/>
          <w:between w:val="nil"/>
        </w:pBdr>
        <w:spacing w:before="0" w:after="0"/>
        <w:ind w:firstLine="720"/>
        <w:rPr>
          <w:color w:val="000000"/>
        </w:rPr>
      </w:pPr>
      <w:r>
        <w:rPr>
          <w:color w:val="000000"/>
        </w:rPr>
        <w:t>Productive well-being encompasses three interlinked areas: (1) personal development, which involves learning skills or personal competence or independence; (2) self-determination, which involves autonomy, choices, and control; and (3) constructive activity, which involves the ability to utilize one’s time constructively according to one’s tenets. There are many ways in which individuals can express themselves, including through pursuits at home, at work, at leisure, and in educational settings.</w:t>
      </w:r>
    </w:p>
    <w:p w14:paraId="10CF6984" w14:textId="77777777" w:rsidR="009E4375" w:rsidRDefault="00000000">
      <w:pPr>
        <w:pBdr>
          <w:top w:val="nil"/>
          <w:left w:val="nil"/>
          <w:bottom w:val="nil"/>
          <w:right w:val="nil"/>
          <w:between w:val="nil"/>
        </w:pBdr>
        <w:spacing w:before="0" w:after="0"/>
        <w:ind w:firstLine="720"/>
        <w:rPr>
          <w:color w:val="000000"/>
        </w:rPr>
      </w:pPr>
      <w:r>
        <w:rPr>
          <w:color w:val="000000"/>
        </w:rPr>
        <w:t>Emotional well-being</w:t>
      </w:r>
      <w:r>
        <w:rPr>
          <w:b/>
          <w:bCs/>
          <w:color w:val="000000"/>
        </w:rPr>
        <w:t xml:space="preserve"> </w:t>
      </w:r>
      <w:r>
        <w:rPr>
          <w:color w:val="000000"/>
        </w:rPr>
        <w:t xml:space="preserve">includes happiness, being </w:t>
      </w:r>
      <w:r>
        <w:t>stress-free</w:t>
      </w:r>
      <w:r>
        <w:rPr>
          <w:color w:val="000000"/>
        </w:rPr>
        <w:t xml:space="preserve">, mental health, self-esteem, spirituality or religious beliefs, sexuality, and contentment. Accordingly, the stress level is determined by the conditions under which social and functional activities are conducted, and it may affect the degree of enjoyment one derives from them, thus contributing to or detracting from one's sense of well-being. </w:t>
      </w:r>
      <w:r>
        <w:t xml:space="preserve">Individuals' self-esteem and satisfaction, religious beliefs, and personal sexual orientation can influence their psychological or emotional well-being. </w:t>
      </w:r>
    </w:p>
    <w:p w14:paraId="10CF6985" w14:textId="77777777" w:rsidR="009E4375" w:rsidRDefault="00000000">
      <w:pPr>
        <w:pBdr>
          <w:top w:val="nil"/>
          <w:left w:val="nil"/>
          <w:bottom w:val="nil"/>
          <w:right w:val="nil"/>
          <w:between w:val="nil"/>
        </w:pBdr>
        <w:spacing w:before="0" w:after="0"/>
        <w:ind w:firstLine="720"/>
        <w:rPr>
          <w:color w:val="000000"/>
        </w:rPr>
      </w:pPr>
      <w:r>
        <w:rPr>
          <w:color w:val="000000"/>
        </w:rPr>
        <w:t xml:space="preserve">Civic well-being (Citizenship well-being) encompasses one’s right to privacy, the </w:t>
      </w:r>
      <w:r>
        <w:t>right</w:t>
      </w:r>
      <w:r>
        <w:rPr>
          <w:color w:val="000000"/>
        </w:rPr>
        <w:t xml:space="preserve"> to legal protection under the law, the right to vote, the democratic process, and civic responsibility. </w:t>
      </w:r>
      <w:r>
        <w:t>Schalock (1996) mentioned the core domain, but Felce and Ferry (1995) omitted it</w:t>
      </w:r>
      <w:r>
        <w:rPr>
          <w:color w:val="000000"/>
        </w:rPr>
        <w:t>.</w:t>
      </w:r>
    </w:p>
    <w:p w14:paraId="10CF6986" w14:textId="77777777" w:rsidR="009E4375" w:rsidRDefault="009E4375">
      <w:pPr>
        <w:pBdr>
          <w:top w:val="nil"/>
          <w:left w:val="nil"/>
          <w:bottom w:val="nil"/>
          <w:right w:val="nil"/>
          <w:between w:val="nil"/>
        </w:pBdr>
        <w:spacing w:before="0" w:after="0"/>
        <w:ind w:firstLine="720"/>
      </w:pPr>
    </w:p>
    <w:p w14:paraId="10CF6987" w14:textId="77777777" w:rsidR="009E4375" w:rsidRDefault="00000000">
      <w:pPr>
        <w:pStyle w:val="Heading4"/>
      </w:pPr>
      <w:bookmarkStart w:id="27" w:name="_Toc214490385"/>
      <w:r>
        <w:t>Quality of Life: A Multi-dimensional &amp; Multi-element Framework</w:t>
      </w:r>
      <w:bookmarkEnd w:id="27"/>
    </w:p>
    <w:p w14:paraId="10CF6988" w14:textId="77777777" w:rsidR="009E4375" w:rsidRDefault="00000000">
      <w:pPr>
        <w:spacing w:before="0" w:after="0"/>
        <w:ind w:firstLine="720"/>
      </w:pPr>
      <w:r>
        <w:t>Figure 6 illustrates a model of quality of life that combines the categorization of life domains with objective circumstances, subjective appraisal, and relative values (Felce, 1997). This model is an assessment of general well-being that includes objective and subjective measures of physical, social, economic, psychological, and civic well-</w:t>
      </w:r>
      <w:r>
        <w:lastRenderedPageBreak/>
        <w:t xml:space="preserve">being, weighed according to personal values.  All three major dimensions are shown to interact dynamically with each other and to </w:t>
      </w:r>
      <w:proofErr w:type="gramStart"/>
      <w:r>
        <w:t>be potentially interdependent at all times</w:t>
      </w:r>
      <w:proofErr w:type="gramEnd"/>
      <w:r>
        <w:t>. It is important to note that QOL is a far-reaching goal that requires the consideration of personal priorities and preferences to the extent that these can be established reliably and accurately.</w:t>
      </w:r>
    </w:p>
    <w:p w14:paraId="10CF6989" w14:textId="77777777" w:rsidR="009E4375" w:rsidRDefault="009E4375">
      <w:pPr>
        <w:spacing w:before="0" w:after="0"/>
        <w:ind w:firstLine="720"/>
      </w:pPr>
    </w:p>
    <w:p w14:paraId="10CF698A" w14:textId="77777777" w:rsidR="009E4375" w:rsidRDefault="00000000">
      <w:pPr>
        <w:pStyle w:val="Heading4"/>
      </w:pPr>
      <w:bookmarkStart w:id="28" w:name="_Toc214490386"/>
      <w:r>
        <w:t>QOL for a Model of Disability</w:t>
      </w:r>
      <w:bookmarkEnd w:id="28"/>
    </w:p>
    <w:p w14:paraId="10CF698B" w14:textId="77777777" w:rsidR="009E4375" w:rsidRDefault="00000000">
      <w:pPr>
        <w:spacing w:before="0" w:after="0"/>
        <w:ind w:firstLine="720"/>
        <w:rPr>
          <w:highlight w:val="yellow"/>
        </w:rPr>
      </w:pPr>
      <w:r>
        <w:t xml:space="preserve">There are growing areas of agreement as special interest QOL groups continue to refine their original statement sets with paradigm shifts to arrive at a more coherent framework of QOL (Schalock et al., 2022). </w:t>
      </w:r>
      <w:r>
        <w:rPr>
          <w:highlight w:val="white"/>
        </w:rPr>
        <w:t>The special interest QOL groups representing various disabilities included six viewpoints: (a) the international classification of functioning, disability, and health that emphasized participation and functionin</w:t>
      </w:r>
      <w:r>
        <w:t xml:space="preserve">g (World Health Organization, 2001); (b) international human and civil rights covenants, including the </w:t>
      </w:r>
      <w:r>
        <w:rPr>
          <w:i/>
          <w:iCs/>
        </w:rPr>
        <w:t>United Nations Convention on the Rights of Persons with Disability</w:t>
      </w:r>
      <w:r>
        <w:t xml:space="preserve"> (United Nations, 2006); (c) adv</w:t>
      </w:r>
      <w:r>
        <w:rPr>
          <w:highlight w:val="white"/>
        </w:rPr>
        <w:t>ocacy by family, self-advocacy, and disability rights groups for policies and practices that ensure inclusion, empowerment, and human and civil rights of people with intellectual and developmental disabilit</w:t>
      </w:r>
      <w:r>
        <w:t xml:space="preserve">ies (IDD) (Fleischer &amp; </w:t>
      </w:r>
      <w:proofErr w:type="spellStart"/>
      <w:r>
        <w:t>Zamas</w:t>
      </w:r>
      <w:proofErr w:type="spellEnd"/>
      <w:r>
        <w:t>, 2011); (d) public laws and system changes related to equity, inclusion, empowerment, community participation, and self-determination (Wehmeyer, 2014); (e) the integration of individualized supports and support systems into policies and practices at the organizational and system levels (</w:t>
      </w:r>
      <w:proofErr w:type="spellStart"/>
      <w:r>
        <w:t>Luckasson</w:t>
      </w:r>
      <w:proofErr w:type="spellEnd"/>
      <w:r>
        <w:t xml:space="preserve"> et al., 1992; Thompson et al., 2014; Wehmeyer et al., 2017); and lastly, (f) involvement of professional organizations such as the American Association on Intellectual and Developmental Disabilities (AAIDD) </w:t>
      </w:r>
    </w:p>
    <w:p w14:paraId="0EB5DDA1" w14:textId="59B46800" w:rsidR="00653D67" w:rsidRPr="008309CE" w:rsidRDefault="008309CE" w:rsidP="008309CE">
      <w:pPr>
        <w:spacing w:before="0" w:after="0"/>
        <w:ind w:firstLine="720"/>
        <w:rPr>
          <w:color w:val="1A1A1A"/>
        </w:rPr>
      </w:pPr>
      <w:r>
        <w:rPr>
          <w:color w:val="1A1A1A"/>
        </w:rPr>
        <w:t>There are three important characteristics of the new paradigm highlighted by these catalysts. First, its formulation and expression have progressed to incorporate evolutionary changes in the field. Second, it is derived from international policy and practice changes and, therefore, can be applied widely and universally. Third, it combines a set of values, assumptions, perceptions, and concepts that provide a framework for developing IDD policies and practices and evaluating their implementation.</w:t>
      </w:r>
    </w:p>
    <w:p w14:paraId="35C13203" w14:textId="77777777" w:rsidR="00653D67" w:rsidRDefault="00653D67">
      <w:pPr>
        <w:spacing w:before="0" w:after="0"/>
        <w:rPr>
          <w:highlight w:val="yellow"/>
        </w:rPr>
      </w:pPr>
    </w:p>
    <w:p w14:paraId="10CF698D" w14:textId="77777777" w:rsidR="009E4375" w:rsidRDefault="00000000">
      <w:pPr>
        <w:spacing w:before="0" w:after="0"/>
        <w:rPr>
          <w:b/>
          <w:bCs/>
        </w:rPr>
      </w:pPr>
      <w:r>
        <w:rPr>
          <w:b/>
          <w:bCs/>
        </w:rPr>
        <w:t>Figure 6</w:t>
      </w:r>
    </w:p>
    <w:p w14:paraId="6577B4A5" w14:textId="77777777" w:rsidR="00177991" w:rsidRDefault="00177991">
      <w:pPr>
        <w:spacing w:before="0" w:after="0"/>
        <w:rPr>
          <w:i/>
          <w:iCs/>
        </w:rPr>
      </w:pPr>
      <w:r>
        <w:rPr>
          <w:b/>
          <w:bCs/>
          <w:noProof/>
          <w:sz w:val="22"/>
          <w:szCs w:val="22"/>
        </w:rPr>
        <w:drawing>
          <wp:inline distT="114300" distB="114300" distL="114300" distR="114300" wp14:anchorId="320741C8" wp14:editId="3801D203">
            <wp:extent cx="4433888" cy="5596551"/>
            <wp:effectExtent l="0" t="0" r="0" b="0"/>
            <wp:docPr id="1" name="image5.png" descr="A diagram of wellbeing&#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5.png" descr="A diagram of wellbeing&#10;&#10;AI-generated content may be incorrect."/>
                    <pic:cNvPicPr preferRelativeResize="0"/>
                  </pic:nvPicPr>
                  <pic:blipFill>
                    <a:blip r:embed="rId22"/>
                    <a:srcRect/>
                    <a:stretch>
                      <a:fillRect/>
                    </a:stretch>
                  </pic:blipFill>
                  <pic:spPr>
                    <a:xfrm>
                      <a:off x="0" y="0"/>
                      <a:ext cx="4433888" cy="5596551"/>
                    </a:xfrm>
                    <a:prstGeom prst="rect">
                      <a:avLst/>
                    </a:prstGeom>
                    <a:ln/>
                  </pic:spPr>
                </pic:pic>
              </a:graphicData>
            </a:graphic>
          </wp:inline>
        </w:drawing>
      </w:r>
    </w:p>
    <w:p w14:paraId="10CF698F" w14:textId="1999BD0D" w:rsidR="009E4375" w:rsidRPr="00177991" w:rsidRDefault="00000000" w:rsidP="00177991">
      <w:pPr>
        <w:spacing w:before="0" w:after="0"/>
        <w:rPr>
          <w:i/>
          <w:iCs/>
        </w:rPr>
      </w:pPr>
      <w:r>
        <w:rPr>
          <w:i/>
          <w:iCs/>
        </w:rPr>
        <w:t xml:space="preserve">An Overall Model of Quality of Life </w:t>
      </w:r>
    </w:p>
    <w:p w14:paraId="51CA3BAA" w14:textId="6110DDE9" w:rsidR="00980FCF" w:rsidRDefault="00000000" w:rsidP="00980FCF">
      <w:pPr>
        <w:spacing w:before="0" w:after="200"/>
      </w:pPr>
      <w:r>
        <w:rPr>
          <w:i/>
          <w:iCs/>
        </w:rPr>
        <w:t xml:space="preserve">Note. </w:t>
      </w:r>
      <w:r>
        <w:t xml:space="preserve">Reprinted image from “Defining and Applying the Concept of Quality of Life” by D. Felce, 1997,) </w:t>
      </w:r>
      <w:r>
        <w:rPr>
          <w:i/>
          <w:iCs/>
        </w:rPr>
        <w:t>Journal of Intellectual Disability Research, 41</w:t>
      </w:r>
      <w:r>
        <w:t>(2), p.131 (</w:t>
      </w:r>
      <w:hyperlink r:id="rId23">
        <w:r w:rsidR="009E4375">
          <w:rPr>
            <w:color w:val="1155CC"/>
            <w:u w:val="single"/>
          </w:rPr>
          <w:t>https://doi.org/10.1111/j.1365-2788.1997.tb00689.x</w:t>
        </w:r>
      </w:hyperlink>
      <w:r>
        <w:t>).</w:t>
      </w:r>
      <w:bookmarkStart w:id="29" w:name="_roirx3gevhlr" w:colFirst="0" w:colLast="0"/>
      <w:bookmarkEnd w:id="29"/>
    </w:p>
    <w:p w14:paraId="23A6C9CB" w14:textId="77777777" w:rsidR="00E93C2F" w:rsidRDefault="00E93C2F" w:rsidP="00E93C2F">
      <w:pPr>
        <w:spacing w:before="0" w:after="0"/>
      </w:pPr>
    </w:p>
    <w:p w14:paraId="10CF6995" w14:textId="77777777" w:rsidR="009E4375" w:rsidRDefault="00000000">
      <w:pPr>
        <w:spacing w:before="0" w:after="0"/>
        <w:ind w:firstLine="720"/>
      </w:pPr>
      <w:r>
        <w:t xml:space="preserve">Four QOL conceptualization principles are incorporated into the latest interaction. The </w:t>
      </w:r>
      <w:proofErr w:type="gramStart"/>
      <w:r>
        <w:t>construct</w:t>
      </w:r>
      <w:proofErr w:type="gramEnd"/>
      <w:r>
        <w:t xml:space="preserve">: (1) is multidimensional and influenced by both personal and </w:t>
      </w:r>
      <w:r>
        <w:lastRenderedPageBreak/>
        <w:t>environmental factors and their interactions; (2) has the same components for everyone; (3) contains subjective and objective components; and (4) is influenced by self-determination, resources, purpose, and belonging (Cummins, 2005).</w:t>
      </w:r>
    </w:p>
    <w:p w14:paraId="10CF6996" w14:textId="77777777" w:rsidR="009E4375" w:rsidRDefault="00000000">
      <w:pPr>
        <w:spacing w:before="0" w:after="0"/>
        <w:ind w:firstLine="720"/>
      </w:pPr>
      <w:r>
        <w:t xml:space="preserve">According to Cummins (2005), There are five essential characteristics of QOL concepts that can be found in the four principles. (1) QOL has two completely different forms - an objective domain and a subjective domain. An objective domain consists of physical quantities and frequencies that can be observed and measured within the public domain. Subjective domain refers to entities that exist only in the individual's private consciousness, and which can only be verified by frequent responses from the person who is involved. </w:t>
      </w:r>
    </w:p>
    <w:p w14:paraId="10CF6997" w14:textId="77777777" w:rsidR="009E4375" w:rsidRDefault="00000000">
      <w:pPr>
        <w:spacing w:before="0" w:after="0"/>
        <w:ind w:firstLine="720"/>
      </w:pPr>
      <w:r>
        <w:t xml:space="preserve">(2) QOL should not be mainly based on its objective or subjective domain. There is a weak relationship between the two, and both appear to be valid indicators of life quality. One consequence of the dichotomy is that any comprehensive estimate of life quality must comprise both subjective and objective measures (Brown et al., 1994; Cummins, 2005; International Wellbeing Group, 2024; </w:t>
      </w:r>
      <w:proofErr w:type="spellStart"/>
      <w:r>
        <w:t>Raplhaedl</w:t>
      </w:r>
      <w:proofErr w:type="spellEnd"/>
      <w:r>
        <w:t xml:space="preserve"> et al., 1996).</w:t>
      </w:r>
    </w:p>
    <w:p w14:paraId="10CF6998" w14:textId="77777777" w:rsidR="009E4375" w:rsidRDefault="00000000">
      <w:pPr>
        <w:spacing w:before="0" w:after="0"/>
        <w:ind w:firstLine="720"/>
      </w:pPr>
      <w:r>
        <w:t xml:space="preserve">(3) The basic composition of QOL is the same for all people, irrespective of culture, socio-economic status, or disability. Thus, it is feasible to develop generic QOL instruments which can be applied with validity to any group. Furthermore, one should approach the interpretation of scores from a non-generic QOL instrument with caution (Cummins &amp; Lau 2005). The instrument disregards the importance of quality of life and either sets the standards too low or assumes that the lack of pathology identifies as a high QOL (Cummins et al. 2004). </w:t>
      </w:r>
    </w:p>
    <w:p w14:paraId="10CF6999" w14:textId="77777777" w:rsidR="009E4375" w:rsidRDefault="00000000">
      <w:pPr>
        <w:spacing w:before="0" w:after="0"/>
        <w:ind w:firstLine="720"/>
      </w:pPr>
      <w:r>
        <w:t xml:space="preserve">(4) Life quality should not be described by needs since low needs do not necessarily correlate with QOL. (5) QOL should not refer to 'opportunity'. This is due to two factors. First, the individual may not perceive some opportunities positively such as job enhancement. Secondly, the opportunity for QOL enhancement is a causal variable instead of an end state.  </w:t>
      </w:r>
    </w:p>
    <w:p w14:paraId="10CF699A" w14:textId="5971891D" w:rsidR="009E4375" w:rsidRDefault="00000000">
      <w:pPr>
        <w:spacing w:before="0" w:after="0"/>
        <w:ind w:firstLine="720"/>
      </w:pPr>
      <w:r>
        <w:t xml:space="preserve">Raphael et al. (1996) conducted a study using a standard QOL questionnaire with people with disabilities. They explored the experiences of adults with developmental disabilities living in group homes to determine their definition of QOL. Through the interviews, researchers found that the individuals who rated low on several </w:t>
      </w:r>
      <w:r>
        <w:lastRenderedPageBreak/>
        <w:t xml:space="preserve">items from the standard QOL </w:t>
      </w:r>
      <w:proofErr w:type="gramStart"/>
      <w:r>
        <w:t>actually viewed</w:t>
      </w:r>
      <w:proofErr w:type="gramEnd"/>
      <w:r>
        <w:t xml:space="preserve"> them as high based on their experiences. They reported the people with developmental disabilities in this study’s QOL were related to opportunities for meaningful relationships, meaningful activities, and a sense of security that met their needs. The authors used this information to modify and improve the QOL questionnaire for people with disabilities. They</w:t>
      </w:r>
      <w:r>
        <w:rPr>
          <w:vertAlign w:val="superscript"/>
        </w:rPr>
        <w:t xml:space="preserve"> </w:t>
      </w:r>
      <w:r>
        <w:t>concluded that the modification of the QOL questionnaire was necessary for adults with developmental disabilities (Raphael et al., 1996).</w:t>
      </w:r>
    </w:p>
    <w:p w14:paraId="10CF699C" w14:textId="4A988F1B" w:rsidR="009E4375" w:rsidRDefault="00000000" w:rsidP="00D41DFE">
      <w:pPr>
        <w:spacing w:before="0" w:after="0"/>
        <w:ind w:firstLine="720"/>
      </w:pPr>
      <w:r>
        <w:t>In summary, Cummins (2005) recommended two approaches for researching QOL: finding indicator variables based on core QOL domains and specifying causal variables that are correlated to one another and the indicator variables.</w:t>
      </w:r>
      <w:bookmarkStart w:id="30" w:name="_3wslf3o8xtmc" w:colFirst="0" w:colLast="0"/>
      <w:bookmarkEnd w:id="30"/>
    </w:p>
    <w:p w14:paraId="544F3BC0" w14:textId="77777777" w:rsidR="00D41DFE" w:rsidRDefault="00D41DFE" w:rsidP="00D41DFE">
      <w:pPr>
        <w:spacing w:before="0" w:after="0"/>
        <w:ind w:firstLine="720"/>
      </w:pPr>
    </w:p>
    <w:p w14:paraId="10CF699D" w14:textId="77777777" w:rsidR="009E4375" w:rsidRDefault="00000000">
      <w:pPr>
        <w:pStyle w:val="Heading3"/>
      </w:pPr>
      <w:bookmarkStart w:id="31" w:name="_Toc214490387"/>
      <w:r>
        <w:t>Applying QOL to Deaf Communities Globally</w:t>
      </w:r>
      <w:bookmarkEnd w:id="31"/>
    </w:p>
    <w:p w14:paraId="10CF699E" w14:textId="77777777" w:rsidR="009E4375" w:rsidRDefault="00000000">
      <w:pPr>
        <w:spacing w:before="0" w:after="0"/>
        <w:ind w:firstLine="720"/>
      </w:pPr>
      <w:r>
        <w:t>In general, the concept of QOL refers to the individual’s level of well-being (Ferrans, 1990; Werngren-</w:t>
      </w:r>
      <w:proofErr w:type="spellStart"/>
      <w:r>
        <w:t>Elgstrom</w:t>
      </w:r>
      <w:proofErr w:type="spellEnd"/>
      <w:r>
        <w:t xml:space="preserve"> et al., 2003</w:t>
      </w:r>
      <w:proofErr w:type="gramStart"/>
      <w:r>
        <w:t>), and</w:t>
      </w:r>
      <w:proofErr w:type="gramEnd"/>
      <w:r>
        <w:t xml:space="preserve"> is frequently used to evaluate the effectiveness of programs (Grasso &amp; Canova, 2008; Nakaji, 2008). Well-being is represented by </w:t>
      </w:r>
      <w:proofErr w:type="gramStart"/>
      <w:r>
        <w:t>persons</w:t>
      </w:r>
      <w:proofErr w:type="gramEnd"/>
      <w:r>
        <w:t xml:space="preserve"> who are developing to be productive individuals that can make positive contributions to society (Marks &amp; Shah, 2014). Research on QOL can lead to improvements in individual well-being and contributions to societal change (Schalock &amp; Alonso, 2002). Researchers have used QOL measures to make sure people’s well-being are based on their heritage and culture; to promote change at the personal, programmatic, community, and national levels; and to improve people's personal control and opportunity (Schalock &amp; Alonso, 2002).</w:t>
      </w:r>
    </w:p>
    <w:p w14:paraId="10CF699F" w14:textId="77777777" w:rsidR="009E4375" w:rsidRDefault="00000000">
      <w:pPr>
        <w:spacing w:before="0" w:after="0"/>
        <w:ind w:firstLine="720"/>
      </w:pPr>
      <w:r>
        <w:t xml:space="preserve">Even though much attention has been paid to the development of </w:t>
      </w:r>
      <w:proofErr w:type="gramStart"/>
      <w:r>
        <w:t>quality of life</w:t>
      </w:r>
      <w:proofErr w:type="gramEnd"/>
      <w:r>
        <w:t xml:space="preserve"> research for marginalized groups and individuals, there is a dearth of research on QOL for the deaf community, which is particularly underserved. Most of the research on deafness has focused on QOL and cochlear implant outcomes in areas such as language development, health, and self-esteem (Loy et al., 2010; Preisler, 2005; Sparreboom et al., 2012). However, the number of individuals who have received cochlear implants is only a fraction of the deaf community. </w:t>
      </w:r>
    </w:p>
    <w:p w14:paraId="10CF69A0" w14:textId="77777777" w:rsidR="009E4375" w:rsidRDefault="00000000">
      <w:pPr>
        <w:spacing w:before="0" w:after="0"/>
        <w:ind w:firstLine="720"/>
      </w:pPr>
      <w:r>
        <w:t xml:space="preserve">McAbee et al. (2017) concluded that </w:t>
      </w:r>
      <w:proofErr w:type="gramStart"/>
      <w:r>
        <w:t>a number of</w:t>
      </w:r>
      <w:proofErr w:type="gramEnd"/>
      <w:r>
        <w:t xml:space="preserve"> factors contribute to the uniqueness of the deaf population, making QOL research necessary. The study of </w:t>
      </w:r>
      <w:r>
        <w:lastRenderedPageBreak/>
        <w:t>McAbee et al. (2017) summarized three assumptions. First, it is a field with a well-established and well-documented history and culture (Lane, 1992). Second, deaf people comprise the only group in society regarded as disabled while not viewing themselves as having a disability (Lane et al., 1996). Finally, historically, the nondisabled people made decisions on behalf of deaf people (Lane et al., 1996).</w:t>
      </w:r>
    </w:p>
    <w:p w14:paraId="10CF69A1" w14:textId="77777777" w:rsidR="009E4375" w:rsidRDefault="009E4375">
      <w:pPr>
        <w:spacing w:before="0" w:after="0"/>
      </w:pPr>
    </w:p>
    <w:p w14:paraId="10CF69A2" w14:textId="77777777" w:rsidR="009E4375" w:rsidRDefault="00000000">
      <w:pPr>
        <w:pStyle w:val="Heading4"/>
      </w:pPr>
      <w:bookmarkStart w:id="32" w:name="_Toc214490388"/>
      <w:r>
        <w:t>Assessing QOL in the Deaf Community</w:t>
      </w:r>
      <w:bookmarkEnd w:id="32"/>
      <w:r>
        <w:t xml:space="preserve"> </w:t>
      </w:r>
    </w:p>
    <w:p w14:paraId="10CF69A3" w14:textId="77777777" w:rsidR="009E4375" w:rsidRDefault="00000000">
      <w:pPr>
        <w:spacing w:before="0" w:after="0"/>
        <w:ind w:firstLine="720"/>
      </w:pPr>
      <w:r>
        <w:t xml:space="preserve">During the last decades, there has been a growing number of studies that examined the QOL of deaf and hard of hearing (DHH) children and adolescents, targeting primarily on children with cochlear implants (Aanondsen et al., 2021; Fellinger et al., 2010). In addition, studies with DHH children and adolescents </w:t>
      </w:r>
      <w:proofErr w:type="gramStart"/>
      <w:r>
        <w:t>has</w:t>
      </w:r>
      <w:proofErr w:type="gramEnd"/>
      <w:r>
        <w:t xml:space="preserve"> defined QOL differently, ranging from health-related QOL (HRQOL) to social well-being. The different definitions have led to a variety of measures, including qualitative reports from parents after their children received cochlear implantations. There are also different participants (i.e., parents, children, adolescents, and adults) who have various kinds of access to communication and peers. Demographic data that contribute to the significant differences in DHH children and adolescents’ QOL may include the age of participants, their preferred mode of communication, and levels of hearing loss (Aanondsen et al., 2021). To include deaf </w:t>
      </w:r>
      <w:proofErr w:type="gramStart"/>
      <w:r>
        <w:t>persons</w:t>
      </w:r>
      <w:proofErr w:type="gramEnd"/>
      <w:r>
        <w:t xml:space="preserve"> who use sign language as their preferred language, it is necessary to have reliable and valid QOL instruments available in sign language so that DHH persons can provide the most accurate reports (Aanondsen et al., 2021).</w:t>
      </w:r>
    </w:p>
    <w:p w14:paraId="10CF69A4" w14:textId="77777777" w:rsidR="009E4375" w:rsidRDefault="00000000">
      <w:pPr>
        <w:spacing w:before="0" w:after="0"/>
        <w:ind w:firstLine="720"/>
      </w:pPr>
      <w:r w:rsidRPr="00D43BCC">
        <w:rPr>
          <w:lang w:val="nb-NO"/>
        </w:rPr>
        <w:t xml:space="preserve">According to Fellinger et al. </w:t>
      </w:r>
      <w:r>
        <w:t xml:space="preserve">(2010), assessments are typically conducted using written questionnaires, which exclude individuals with poor reading abilities. Paper-pencil tests are inappropriate for prelingually deaf people because their average reading level is far below that of the general population. Written assessments should be presented in simple text at the level presented in a daily newspaper according to international data on the reading of the deaf (Holt, 1994). </w:t>
      </w:r>
      <w:proofErr w:type="gramStart"/>
      <w:r>
        <w:t>Or,</w:t>
      </w:r>
      <w:proofErr w:type="gramEnd"/>
      <w:r>
        <w:t xml:space="preserve"> psychological tests and assessments that can be presented in sign language do not automatically interfere with the ability to understand different concepts and terms (Fellinger et al., 2010).</w:t>
      </w:r>
    </w:p>
    <w:p w14:paraId="10CF69A5" w14:textId="77777777" w:rsidR="009E4375" w:rsidRDefault="00000000">
      <w:pPr>
        <w:spacing w:before="0" w:after="0"/>
        <w:ind w:firstLine="720"/>
      </w:pPr>
      <w:r>
        <w:t xml:space="preserve">Deaf people's mental health needs are best assessed by self-administration to get information, especially when QOL questionnaires are combined with measures of </w:t>
      </w:r>
      <w:r>
        <w:lastRenderedPageBreak/>
        <w:t>mental distress (Felling et al., 2010). Interactive video questionnaires can be developed for the deaf (Lipton et al., 1996, Steinberg et al., 1998). However, reliable data is available based on significant community samples with diverse competence in signed and written language.</w:t>
      </w:r>
    </w:p>
    <w:p w14:paraId="10CF69A6" w14:textId="77777777" w:rsidR="009E4375" w:rsidRDefault="009E4375">
      <w:pPr>
        <w:spacing w:before="0" w:after="0"/>
      </w:pPr>
    </w:p>
    <w:p w14:paraId="10CF69A7" w14:textId="77777777" w:rsidR="009E4375" w:rsidRDefault="00000000">
      <w:pPr>
        <w:pStyle w:val="Heading4"/>
      </w:pPr>
      <w:bookmarkStart w:id="33" w:name="_Toc214490389"/>
      <w:r>
        <w:t>Translation into National Written Languages and Sign Languages</w:t>
      </w:r>
      <w:bookmarkEnd w:id="33"/>
    </w:p>
    <w:p w14:paraId="10CF69A8" w14:textId="77777777" w:rsidR="009E4375" w:rsidRDefault="00000000">
      <w:pPr>
        <w:spacing w:before="0" w:after="0"/>
        <w:ind w:firstLine="720"/>
      </w:pPr>
      <w:r>
        <w:t>The systemic review that this researcher conducted indicated that some countries had adapted and translated the English version of QOL surveys into the printed national language. Most researchers translated the English QOL questionnaires into versions to be used in the countries where they conducted their research. English versions of QOL surveys have been translated into Arabic (</w:t>
      </w:r>
      <w:proofErr w:type="spellStart"/>
      <w:r>
        <w:t>AlNowaiser</w:t>
      </w:r>
      <w:proofErr w:type="spellEnd"/>
      <w:r>
        <w:t xml:space="preserve"> et al., 2023; Lotfy, 2020), Chinese in China (Cheng &amp; Zhang, 2017; Liu et al., 2016; Qi et al., 2020; Zhang et al., 2017; ), Italian in Italy (</w:t>
      </w:r>
      <w:proofErr w:type="spellStart"/>
      <w:r>
        <w:t>Gragnaniello</w:t>
      </w:r>
      <w:proofErr w:type="spellEnd"/>
      <w:r>
        <w:t xml:space="preserve"> et al., 2021), Persian in Iran (</w:t>
      </w:r>
      <w:proofErr w:type="spellStart"/>
      <w:r>
        <w:t>Ashori</w:t>
      </w:r>
      <w:proofErr w:type="spellEnd"/>
      <w:r>
        <w:t xml:space="preserve"> &amp; Rashidi, 2020; </w:t>
      </w:r>
      <w:proofErr w:type="spellStart"/>
      <w:r>
        <w:t>Borujeni</w:t>
      </w:r>
      <w:proofErr w:type="spellEnd"/>
      <w:r>
        <w:t xml:space="preserve"> et al., 201), Portuguese in Brazil (Duarte et al., 2021), Turkish in Türkiye (Budak et al., 2022), and Malay in Malaysia (Adibi et al., 2013; </w:t>
      </w:r>
      <w:proofErr w:type="spellStart"/>
      <w:r>
        <w:t>Rusyda</w:t>
      </w:r>
      <w:proofErr w:type="spellEnd"/>
      <w:r>
        <w:t xml:space="preserve"> et al., 2022; </w:t>
      </w:r>
      <w:proofErr w:type="spellStart"/>
      <w:r>
        <w:t>Umat</w:t>
      </w:r>
      <w:proofErr w:type="spellEnd"/>
      <w:r>
        <w:t xml:space="preserve"> et al., 2019).</w:t>
      </w:r>
    </w:p>
    <w:p w14:paraId="10CF69A9" w14:textId="77777777" w:rsidR="009E4375" w:rsidRDefault="00000000">
      <w:pPr>
        <w:spacing w:before="0" w:after="0"/>
        <w:ind w:firstLine="720"/>
      </w:pPr>
      <w:r>
        <w:t xml:space="preserve">In some countries, such as the United States (Gilman et al., 2004; </w:t>
      </w:r>
      <w:proofErr w:type="spellStart"/>
      <w:r>
        <w:t>Kushalnar</w:t>
      </w:r>
      <w:proofErr w:type="spellEnd"/>
      <w:r>
        <w:t xml:space="preserve"> et al., 2017; </w:t>
      </w:r>
      <w:proofErr w:type="spellStart"/>
      <w:r>
        <w:t>Kushalnagar</w:t>
      </w:r>
      <w:proofErr w:type="spellEnd"/>
      <w:r>
        <w:t xml:space="preserve"> et al., 2020; Patrick et al., 2011), Austria (Fellinger et al., 2005a; Fellinger et al., 2005b), United Kingdom (Rogers et al., 2018), Australia (Cornes &amp; Brown, 2012), Brazil (Duarte et al., 2021), and Italy (</w:t>
      </w:r>
      <w:proofErr w:type="spellStart"/>
      <w:r>
        <w:t>Gragnaniello</w:t>
      </w:r>
      <w:proofErr w:type="spellEnd"/>
      <w:r>
        <w:t xml:space="preserve"> et al., 2021), researchers validated a sign language video translation of QOL surveys before distribution to participants to obtain accurate data on the QOL of deaf individuals. In other cases, he QOL surveys in written Serbia (</w:t>
      </w:r>
      <w:proofErr w:type="spellStart"/>
      <w:r>
        <w:t>Arsic</w:t>
      </w:r>
      <w:proofErr w:type="spellEnd"/>
      <w:r>
        <w:t xml:space="preserve"> &amp; Djordjevic, 2017), and written Chinese (Qi et al., 2020) were administered to DHH participants with the assistance of sign language interpreters to ensure the DHH participants understood the questionnaires. </w:t>
      </w:r>
    </w:p>
    <w:p w14:paraId="10CF69AA" w14:textId="77777777" w:rsidR="009E4375" w:rsidRDefault="00000000">
      <w:pPr>
        <w:spacing w:before="0" w:after="0"/>
        <w:ind w:firstLine="720"/>
      </w:pPr>
      <w:r>
        <w:t xml:space="preserve">Nevertheless, two studies were found where the surveys were provided in their national language, albeit without the use of a signed video format or a sign language interpreter. These were conducted for deaf and hard of hearing children and adolescents in </w:t>
      </w:r>
      <w:proofErr w:type="spellStart"/>
      <w:r>
        <w:t>Turkiye</w:t>
      </w:r>
      <w:proofErr w:type="spellEnd"/>
      <w:r>
        <w:t xml:space="preserve"> (Budak et al., 2022), and Indonesia (Cahyani et al., 2022). Deaf participants in the study may be assumed and considered not to require any assistance </w:t>
      </w:r>
      <w:r>
        <w:lastRenderedPageBreak/>
        <w:t>with signed language since they can speak with or without their hearing devices, including hearing aids or cochlear implants.</w:t>
      </w:r>
    </w:p>
    <w:p w14:paraId="10CF69AB" w14:textId="77777777" w:rsidR="009E4375" w:rsidRDefault="009E4375">
      <w:pPr>
        <w:spacing w:before="0" w:after="0"/>
        <w:ind w:firstLine="720"/>
      </w:pPr>
    </w:p>
    <w:p w14:paraId="10CF69AC" w14:textId="77777777" w:rsidR="009E4375" w:rsidRDefault="00000000">
      <w:pPr>
        <w:pStyle w:val="Heading4"/>
      </w:pPr>
      <w:bookmarkStart w:id="34" w:name="_Toc214490390"/>
      <w:r>
        <w:t>QOL Instruments for Deaf Persons</w:t>
      </w:r>
      <w:bookmarkEnd w:id="34"/>
    </w:p>
    <w:p w14:paraId="10CF69AD" w14:textId="77777777" w:rsidR="009E4375" w:rsidRDefault="00000000">
      <w:pPr>
        <w:spacing w:before="0" w:after="0"/>
        <w:ind w:firstLine="720"/>
        <w:rPr>
          <w:color w:val="000000"/>
        </w:rPr>
      </w:pPr>
      <w:r>
        <w:t xml:space="preserve">Generic QOL instruments measure the perceptions people have of their overall health. They are widely used to compare the QOL of deaf people with hearing people about a variety of diseases and disabilities (Qi, et al, 2020). The generic QOL evaluation instruments are too general for investigating specific issues or </w:t>
      </w:r>
      <w:proofErr w:type="gramStart"/>
      <w:r>
        <w:t>a specific condition</w:t>
      </w:r>
      <w:proofErr w:type="gramEnd"/>
      <w:r>
        <w:t>. Nevertheless, some studies indicated that these instruments are sensitive enough due to the significant impact that hearing loss has on a child's life (</w:t>
      </w:r>
      <w:proofErr w:type="spellStart"/>
      <w:r>
        <w:t>Morettin</w:t>
      </w:r>
      <w:proofErr w:type="spellEnd"/>
      <w:r>
        <w:t xml:space="preserve"> et al., 2013).</w:t>
      </w:r>
    </w:p>
    <w:p w14:paraId="10CF69AE" w14:textId="77777777" w:rsidR="009E4375" w:rsidRDefault="00000000">
      <w:pPr>
        <w:spacing w:before="0" w:after="0"/>
        <w:ind w:firstLine="720"/>
      </w:pPr>
      <w:r>
        <w:t xml:space="preserve">Audiologists use disease-specific QOL instruments like the Communication Profile for the Hearing Impaired (CPHH), Hearing Environment and Reflections and QOL (HEAR-QL), and the International Outcomes Inventory-Hearing Aids (IOI-HA) (Kelly-Campbell &amp; Atcherson 2012). Disease-specific QOL instruments focus on the perceptions of hearing impairment and the effect of hearing loss on the respondents’ daily activities (Qi et al., 2020). </w:t>
      </w:r>
    </w:p>
    <w:p w14:paraId="10CF69AF" w14:textId="77777777" w:rsidR="009E4375" w:rsidRDefault="009E4375">
      <w:pPr>
        <w:spacing w:before="0" w:after="0"/>
        <w:ind w:firstLine="720"/>
      </w:pPr>
    </w:p>
    <w:p w14:paraId="10CF69B0" w14:textId="77777777" w:rsidR="009E4375" w:rsidRDefault="00000000">
      <w:pPr>
        <w:pStyle w:val="Heading5"/>
        <w:spacing w:before="0" w:after="0"/>
      </w:pPr>
      <w:bookmarkStart w:id="35" w:name="_Toc214490391"/>
      <w:r>
        <w:t>World Health Organization Quality of Life (WHO-QOL)</w:t>
      </w:r>
      <w:bookmarkEnd w:id="35"/>
    </w:p>
    <w:p w14:paraId="10CF69B1" w14:textId="77777777" w:rsidR="009E4375" w:rsidRDefault="00000000">
      <w:pPr>
        <w:spacing w:before="0" w:after="0"/>
        <w:ind w:firstLine="720"/>
      </w:pPr>
      <w:r>
        <w:t xml:space="preserve">An online assessment package for the assessment of deaf people’s QOL and mental health was undertaken. Fellinger and his team researched the QOL among the deaf community of Upper Austria in 2002/2003 (Fellinger et al., 2005a; Fellinger et al., 2005b; &amp; Fellinger et al., 2010). They used the Brief version of the WHO-QOL, a 12-item General Health Questionnaire (GHQ-12), and five subscales of the Brief Symptom Inventory (BSI). They translated the instruments into sign language, videotaped them, and integrated them into the computer program ANIMAQU for self-administered interviews with an interface designed to meet the specific needs of the deaf. Fellinger et al. (2005a) found that the reliability of the versions for deaf participants was lower than the written versions for the general population but still within acceptable limits, for both the WHO-QOL and the GHQ-12. The reliability of the BSI was even higher than that of the general population. Thus, with the use of carefully translated standardized instruments of WHO-QOL, it is possible to assess the QOL and mental distress </w:t>
      </w:r>
      <w:r>
        <w:lastRenderedPageBreak/>
        <w:t>effectively and reliably for deaf individuals whose preferred communication is sign language (Fellinger et al., 2005).</w:t>
      </w:r>
    </w:p>
    <w:p w14:paraId="10CF69B2" w14:textId="77777777" w:rsidR="009E4375" w:rsidRDefault="00000000">
      <w:pPr>
        <w:spacing w:before="0" w:after="0"/>
        <w:ind w:firstLine="720"/>
      </w:pPr>
      <w:r w:rsidRPr="00D43BCC">
        <w:rPr>
          <w:lang w:val="nb-NO"/>
        </w:rPr>
        <w:t xml:space="preserve">According to Fellinger et al. </w:t>
      </w:r>
      <w:r>
        <w:t>(2005a), deaf Europeans had a lower QOL than the general population and were more likely to develop mental illnesses. This may be a result of the emotional and social challenges deaf people encounter daily. In all areas measured, hard of hearing people had poorer social relationships than deaf people who are signing (Fellinger, 2007). As in this study, one factor related to QOL is the degree of satisfaction with the quality of hearing achieved through hearing aids.</w:t>
      </w:r>
    </w:p>
    <w:p w14:paraId="10CF69B3" w14:textId="77777777" w:rsidR="009E4375" w:rsidRDefault="00000000">
      <w:pPr>
        <w:spacing w:before="0" w:after="0"/>
        <w:ind w:firstLine="720"/>
      </w:pPr>
      <w:r>
        <w:t>Jani et al. (2018) utilized the WHO-QOL to examine existing knowledge and better understand the QOL of disabled and non-disabled youth in Malaysia. The WHO-QOL questionnaire consisted of 26 items encompassing physical, psychological, social, and environmental domains. In this study, one item related to social relationships was excluded due to its relation to sexual behavior, which was incompatible with the culture of students in Malaysian higher education institutions due to cross-cultural conflicts (Chen et al. 2006). The item on sex read, “Are you satisfied with your sex life?”. Accordingly, only 25 items were utilized to measure the QOL of the respondents in the study. Among students with disabilities, hearing-impaired students had the lowest mean total QOL score and the lowest score in the domain of social relationships.</w:t>
      </w:r>
    </w:p>
    <w:p w14:paraId="10CF69B4" w14:textId="77777777" w:rsidR="009E4375" w:rsidRDefault="00000000">
      <w:pPr>
        <w:spacing w:before="0" w:after="0"/>
        <w:ind w:firstLine="720"/>
      </w:pPr>
      <w:r>
        <w:t xml:space="preserve">According to </w:t>
      </w:r>
      <w:proofErr w:type="spellStart"/>
      <w:r>
        <w:t>Kushalnagar</w:t>
      </w:r>
      <w:proofErr w:type="spellEnd"/>
      <w:r>
        <w:t xml:space="preserve"> et al. (2014), generic QOL measures, such as the WHOQOL global health measure, are insufficient to capture the unique experiences of deaf adults, particularly those who become deaf early in life. People who have been deaf for most of their lives may share many similarities in their QOL, which can differ greatly from people who gradually lose their hearing function as adults. An individual who was born deaf, for example, may experience stressors at an early age </w:t>
      </w:r>
      <w:proofErr w:type="gramStart"/>
      <w:r>
        <w:t>as a result of</w:t>
      </w:r>
      <w:proofErr w:type="gramEnd"/>
      <w:r>
        <w:t xml:space="preserve"> struggling to understand family conversations or feeling left out. </w:t>
      </w:r>
    </w:p>
    <w:p w14:paraId="10CF69B5" w14:textId="77777777" w:rsidR="009E4375" w:rsidRDefault="009E4375">
      <w:pPr>
        <w:spacing w:before="0" w:after="0"/>
        <w:ind w:firstLine="720"/>
      </w:pPr>
    </w:p>
    <w:p w14:paraId="10CF69B6" w14:textId="77777777" w:rsidR="009E4375" w:rsidRDefault="00000000">
      <w:pPr>
        <w:pStyle w:val="Heading5"/>
        <w:spacing w:before="0" w:after="0"/>
      </w:pPr>
      <w:bookmarkStart w:id="36" w:name="_Toc214490392"/>
      <w:r>
        <w:t>Health-Related Quality of Life (</w:t>
      </w:r>
      <w:proofErr w:type="spellStart"/>
      <w:r>
        <w:t>HRQoL</w:t>
      </w:r>
      <w:proofErr w:type="spellEnd"/>
      <w:r>
        <w:t>)</w:t>
      </w:r>
      <w:bookmarkEnd w:id="36"/>
    </w:p>
    <w:p w14:paraId="10CF69B7" w14:textId="77777777" w:rsidR="009E4375" w:rsidRDefault="00000000">
      <w:pPr>
        <w:spacing w:before="0" w:after="0"/>
        <w:ind w:firstLine="720"/>
      </w:pPr>
      <w:r>
        <w:t>In the health-related quality of life (</w:t>
      </w:r>
      <w:proofErr w:type="spellStart"/>
      <w:r>
        <w:t>HRQoL</w:t>
      </w:r>
      <w:proofErr w:type="spellEnd"/>
      <w:r>
        <w:t xml:space="preserve">) survey, people are asked to evaluate their subjective perceptions of how their current health status, health care, and health-promoting activities affect their ability to achieve and maintain a level of overall functioning that enables them to pursue valued life goals as well as a feeling of general </w:t>
      </w:r>
      <w:r>
        <w:lastRenderedPageBreak/>
        <w:t xml:space="preserve">well-being. (Hinds, 2011). </w:t>
      </w:r>
      <w:proofErr w:type="spellStart"/>
      <w:r>
        <w:t>HRQoL</w:t>
      </w:r>
      <w:proofErr w:type="spellEnd"/>
      <w:r>
        <w:t xml:space="preserve"> survey measures can be used as general instruments and/or for specific diseases, particularly health issues that affect an individual’s QOL (Said, 2017) </w:t>
      </w:r>
      <w:proofErr w:type="gramStart"/>
      <w:r>
        <w:t>and  sense</w:t>
      </w:r>
      <w:proofErr w:type="gramEnd"/>
      <w:r>
        <w:t xml:space="preserve"> of overall well-being and function (Cella, 1995). </w:t>
      </w:r>
      <w:proofErr w:type="spellStart"/>
      <w:r>
        <w:t>HRQoL</w:t>
      </w:r>
      <w:proofErr w:type="spellEnd"/>
      <w:r>
        <w:t xml:space="preserve"> for DHH individuals was reported based on physical, emotional, and psychological functioning (Hawthorne et al., 2004; Huber, 2005; Karinen, 2001; Wake, 2004).</w:t>
      </w:r>
    </w:p>
    <w:p w14:paraId="10CF69B8" w14:textId="77777777" w:rsidR="009E4375" w:rsidRDefault="00000000">
      <w:pPr>
        <w:spacing w:before="0" w:after="0"/>
        <w:ind w:firstLine="720"/>
      </w:pPr>
      <w:r>
        <w:t xml:space="preserve">The general </w:t>
      </w:r>
      <w:proofErr w:type="spellStart"/>
      <w:r>
        <w:t>HRQoL</w:t>
      </w:r>
      <w:proofErr w:type="spellEnd"/>
      <w:r>
        <w:t xml:space="preserve"> questionnaire does not describe the QOL-specific health conditions and the validity for subgroups with special conditions, such as cancer patients or children with hearing loss. </w:t>
      </w:r>
      <w:proofErr w:type="spellStart"/>
      <w:r>
        <w:t>Gurková</w:t>
      </w:r>
      <w:proofErr w:type="spellEnd"/>
      <w:r>
        <w:t xml:space="preserve">, E. (2011) coined that the study should focus on </w:t>
      </w:r>
      <w:proofErr w:type="spellStart"/>
      <w:r>
        <w:t>HRQoL</w:t>
      </w:r>
      <w:proofErr w:type="spellEnd"/>
      <w:r>
        <w:t xml:space="preserve"> instruments and issues in </w:t>
      </w:r>
      <w:proofErr w:type="spellStart"/>
      <w:r>
        <w:t>HRQoL</w:t>
      </w:r>
      <w:proofErr w:type="spellEnd"/>
      <w:r>
        <w:t xml:space="preserve"> conceptualization - the relationship and distinction between "QOL" and "health-related QOL"; the distinction between "health" and "QOL"; the distinction between </w:t>
      </w:r>
      <w:proofErr w:type="spellStart"/>
      <w:r>
        <w:t>HRQoL</w:t>
      </w:r>
      <w:proofErr w:type="spellEnd"/>
      <w:r>
        <w:t xml:space="preserve"> indicators and predictors; or the distinction between the indicator and causal variables of QOL. Because </w:t>
      </w:r>
      <w:proofErr w:type="gramStart"/>
      <w:r>
        <w:t xml:space="preserve">the </w:t>
      </w:r>
      <w:proofErr w:type="spellStart"/>
      <w:r>
        <w:t>HRQoL</w:t>
      </w:r>
      <w:proofErr w:type="spellEnd"/>
      <w:proofErr w:type="gramEnd"/>
      <w:r>
        <w:t xml:space="preserve"> confounds functional outcomes such as hearing better with better quality of life, it likely does not adequately capture the experiences of DHH individuals who do not perceive their hearing condition as a disability (Patrick et al., 2011). While </w:t>
      </w:r>
      <w:proofErr w:type="gramStart"/>
      <w:r>
        <w:t xml:space="preserve">the </w:t>
      </w:r>
      <w:proofErr w:type="spellStart"/>
      <w:r>
        <w:t>HRQoL</w:t>
      </w:r>
      <w:proofErr w:type="spellEnd"/>
      <w:proofErr w:type="gramEnd"/>
      <w:r>
        <w:t xml:space="preserve"> includes hearing loss in hearing ranges and whether hearing loss was caused by sickness such as high fever, it may not be an ideal instrument for capturing the life experiences of DHH individuals. </w:t>
      </w:r>
    </w:p>
    <w:p w14:paraId="10CF69B9" w14:textId="77777777" w:rsidR="009E4375" w:rsidRDefault="00000000">
      <w:pPr>
        <w:spacing w:before="0" w:after="0"/>
        <w:ind w:firstLine="720"/>
      </w:pPr>
      <w:r>
        <w:t xml:space="preserve">In a study by </w:t>
      </w:r>
      <w:proofErr w:type="spellStart"/>
      <w:r>
        <w:t>Tsimpida</w:t>
      </w:r>
      <w:proofErr w:type="spellEnd"/>
      <w:r>
        <w:t xml:space="preserve"> et al. (2018), Greek DHH adults’ health were affected more than the general population for chronic conditions, such as the underdiagnosis and undertreatment of tobacco and alcohol dependency. With a lack of understanding health information, it may lead to a lack of treatment of other minor illnesses. There is no sign language information available in health for Deaf people, which may affect their abilities to make decisions about health in everyday life (</w:t>
      </w:r>
      <w:proofErr w:type="spellStart"/>
      <w:r>
        <w:t>Tsimpida</w:t>
      </w:r>
      <w:proofErr w:type="spellEnd"/>
      <w:r>
        <w:t xml:space="preserve"> et al., 2018). </w:t>
      </w:r>
      <w:proofErr w:type="spellStart"/>
      <w:r>
        <w:t>Kushalnagar</w:t>
      </w:r>
      <w:proofErr w:type="spellEnd"/>
      <w:r>
        <w:t xml:space="preserve"> et al. (2014) concluded that </w:t>
      </w:r>
      <w:proofErr w:type="spellStart"/>
      <w:r>
        <w:t>HRQoL</w:t>
      </w:r>
      <w:proofErr w:type="spellEnd"/>
      <w:r>
        <w:t xml:space="preserve"> could not capture certain factors. From deaf adults' self-perception, issues affected both generic and deaf-specific quality of life outcomes on three factors. They are health status (acceptance of self, coping with limitations), intrinsic (functional communication skills, navigating barriers, persistence/resilience) and extrinsic (acceptance by others, access to information, social participation, educating others).</w:t>
      </w:r>
    </w:p>
    <w:p w14:paraId="10CF69BA" w14:textId="77777777" w:rsidR="009E4375" w:rsidRDefault="00000000">
      <w:pPr>
        <w:spacing w:before="0" w:after="0"/>
        <w:ind w:firstLine="720"/>
      </w:pPr>
      <w:r>
        <w:lastRenderedPageBreak/>
        <w:t>KINDLR is a generic instrument for health-related quality of life (</w:t>
      </w:r>
      <w:proofErr w:type="spellStart"/>
      <w:r>
        <w:t>HRQoL</w:t>
      </w:r>
      <w:proofErr w:type="spellEnd"/>
      <w:r>
        <w:t xml:space="preserve">). KINDL is not an abbreviation for another </w:t>
      </w:r>
      <w:proofErr w:type="gramStart"/>
      <w:r>
        <w:t>name</w:t>
      </w:r>
      <w:proofErr w:type="gramEnd"/>
      <w:r>
        <w:t xml:space="preserve"> but a proper name derived from the German word for lighting a fire. Originally it was KINDL and over time they made a revision which resulted in KINDLR. KINDLR has a 24-item QOL questionnaire developed in Germany and validated for use with children and adolescents from 8 to 16 years of age (Ravens-</w:t>
      </w:r>
      <w:proofErr w:type="spellStart"/>
      <w:r>
        <w:t>Sieberer</w:t>
      </w:r>
      <w:proofErr w:type="spellEnd"/>
      <w:r>
        <w:t xml:space="preserve"> &amp; Bullinger, 1998). It comprises 6 scales: physiological and psychological well-being, self-esteem, family, friends, and functioning. Huber (2005) surveyed 65 Austrian children and adolescents with cochlear implants using the KINDLR, which was translated from German into Austrian German. Children with severe reading comprehension difficulties were excluded from the study after consulting their teachers via structured telephone interviews. DHH children did not have access to a sign language version of the </w:t>
      </w:r>
      <w:proofErr w:type="spellStart"/>
      <w:r>
        <w:t>HRQoL</w:t>
      </w:r>
      <w:proofErr w:type="spellEnd"/>
      <w:r>
        <w:t>.</w:t>
      </w:r>
    </w:p>
    <w:p w14:paraId="10CF69BB" w14:textId="77777777" w:rsidR="009E4375" w:rsidRDefault="00000000">
      <w:pPr>
        <w:spacing w:before="0" w:after="0"/>
        <w:ind w:firstLine="720"/>
      </w:pPr>
      <w:r>
        <w:t xml:space="preserve">Lin and Niparko (2006) reported that because there are no well-validated </w:t>
      </w:r>
      <w:proofErr w:type="spellStart"/>
      <w:r>
        <w:t>HRQoL</w:t>
      </w:r>
      <w:proofErr w:type="spellEnd"/>
      <w:r>
        <w:t xml:space="preserve"> instruments, researchers must use their judgment to interpret the </w:t>
      </w:r>
      <w:proofErr w:type="spellStart"/>
      <w:r>
        <w:t>HRQoL</w:t>
      </w:r>
      <w:proofErr w:type="spellEnd"/>
      <w:r>
        <w:t xml:space="preserve"> data as it relates to DHH children and youth. </w:t>
      </w:r>
    </w:p>
    <w:p w14:paraId="10CF69BC" w14:textId="77777777" w:rsidR="009E4375" w:rsidRDefault="009E4375">
      <w:pPr>
        <w:spacing w:before="0" w:after="0"/>
        <w:ind w:firstLine="720"/>
      </w:pPr>
    </w:p>
    <w:p w14:paraId="10CF69BD" w14:textId="77777777" w:rsidR="009E4375" w:rsidRDefault="00000000">
      <w:pPr>
        <w:pStyle w:val="Heading5"/>
        <w:spacing w:before="0" w:after="0"/>
      </w:pPr>
      <w:bookmarkStart w:id="37" w:name="_Toc214490393"/>
      <w:r>
        <w:t>Pediatric Quality of Life Inventory (</w:t>
      </w:r>
      <w:proofErr w:type="spellStart"/>
      <w:r>
        <w:t>PedsQL</w:t>
      </w:r>
      <w:proofErr w:type="spellEnd"/>
      <w:r>
        <w:t>)</w:t>
      </w:r>
      <w:bookmarkEnd w:id="37"/>
    </w:p>
    <w:p w14:paraId="10CF69BE" w14:textId="77777777" w:rsidR="009E4375" w:rsidRDefault="00000000">
      <w:pPr>
        <w:spacing w:before="0" w:after="0"/>
        <w:ind w:firstLine="720"/>
      </w:pPr>
      <w:r>
        <w:t>According to Varni et al. (2001), Pediatrics Quality of Life Inventory (</w:t>
      </w:r>
      <w:proofErr w:type="spellStart"/>
      <w:r>
        <w:t>PedsQL</w:t>
      </w:r>
      <w:proofErr w:type="spellEnd"/>
      <w:r>
        <w:t xml:space="preserve">) version 4.0 is one of the generic QOL questionnaires intended to evaluate children ages 8 to 18. </w:t>
      </w:r>
      <w:proofErr w:type="spellStart"/>
      <w:r>
        <w:t>PedsQL</w:t>
      </w:r>
      <w:proofErr w:type="spellEnd"/>
      <w:r>
        <w:t xml:space="preserve"> consists of 23 questions organized according to four scales and responses: Emotional functioning (8 items); Social functioning (5 items); School functioning (5 items); and Physical functioning (5 items). </w:t>
      </w:r>
      <w:proofErr w:type="spellStart"/>
      <w:r>
        <w:t>PedsQL</w:t>
      </w:r>
      <w:proofErr w:type="spellEnd"/>
      <w:r>
        <w:t xml:space="preserve"> was originally developed by James W. Varni in France. </w:t>
      </w:r>
      <w:proofErr w:type="spellStart"/>
      <w:r>
        <w:t>PedsQL</w:t>
      </w:r>
      <w:proofErr w:type="spellEnd"/>
      <w:r>
        <w:t xml:space="preserve"> items have reliability and validity as demonstrated by studies (Varni et al., 2001, 2006). </w:t>
      </w:r>
    </w:p>
    <w:p w14:paraId="10CF69BF" w14:textId="77777777" w:rsidR="009E4375" w:rsidRDefault="00000000">
      <w:pPr>
        <w:spacing w:before="0" w:after="0"/>
        <w:ind w:firstLine="720"/>
      </w:pPr>
      <w:proofErr w:type="spellStart"/>
      <w:r>
        <w:t>PedsQL</w:t>
      </w:r>
      <w:proofErr w:type="spellEnd"/>
      <w:r>
        <w:t xml:space="preserve"> is used with hearing children and adolescents in studying interventions related to QOL, but it is not a good match for those with hearing loss (Ronner et al., 2020).  </w:t>
      </w:r>
      <w:proofErr w:type="spellStart"/>
      <w:r>
        <w:t>Skrbic</w:t>
      </w:r>
      <w:proofErr w:type="spellEnd"/>
      <w:r>
        <w:t xml:space="preserve"> et al. (2013) investigated adolescent Serbians and found that their hearing loss had a negative impact on all areas of their QOL. They suggested that the stakeholders get together to discuss the answers that best reflect the adolescents with hearing loss. For the solution to this challenge, Judith Lieu’s team at Washington </w:t>
      </w:r>
      <w:r>
        <w:lastRenderedPageBreak/>
        <w:t xml:space="preserve">University developed the Hearing Environment and Reflection on Quality of Life (HEAR-QL) survey to evaluate hearing-specific QOL (Umansky et al. 2011; Varni, 2003). </w:t>
      </w:r>
    </w:p>
    <w:p w14:paraId="10CF69C0" w14:textId="77777777" w:rsidR="009E4375" w:rsidRDefault="009E4375">
      <w:pPr>
        <w:spacing w:before="0" w:after="0"/>
        <w:ind w:firstLine="720"/>
      </w:pPr>
    </w:p>
    <w:p w14:paraId="10CF69C1" w14:textId="77777777" w:rsidR="009E4375" w:rsidRDefault="00000000">
      <w:pPr>
        <w:pStyle w:val="Heading5"/>
        <w:spacing w:before="0" w:after="0"/>
      </w:pPr>
      <w:bookmarkStart w:id="38" w:name="_Toc214490394"/>
      <w:r>
        <w:t>The Hearing Environments and Reflection on Quality of Life (HEAR-QL)</w:t>
      </w:r>
      <w:bookmarkEnd w:id="38"/>
    </w:p>
    <w:p w14:paraId="10CF69C2" w14:textId="77777777" w:rsidR="009E4375" w:rsidRDefault="00000000">
      <w:pPr>
        <w:spacing w:before="0" w:after="0"/>
        <w:ind w:firstLine="720"/>
      </w:pPr>
      <w:r>
        <w:t xml:space="preserve">Prior to the HEAR-QL, there were a limited number of QOL assessment tools for children with specific chronic conditions, and none specifically designed for children with hearing loss (Lin &amp; Niparko, 2006). Umansky et al. (2011) mentioned that HEAR-QL fills the assessment gap and identifies QOL challenges for children with hearing loss. </w:t>
      </w:r>
      <w:proofErr w:type="gramStart"/>
      <w:r>
        <w:t>The HEAR</w:t>
      </w:r>
      <w:proofErr w:type="gramEnd"/>
      <w:r>
        <w:t>-QL was developed for children ages 7-12 years with hearing loss in response to this need (</w:t>
      </w:r>
      <w:proofErr w:type="spellStart"/>
      <w:r>
        <w:t>Steaufert</w:t>
      </w:r>
      <w:proofErr w:type="spellEnd"/>
      <w:r>
        <w:t xml:space="preserve">, 2010). The HEAR-QL questionnaire is a condition-specific QOL measure that is designed to evaluate these children's perceptions of their hearing level's social and emotional impact (Umansky et al., 2011). The HEAR-QL questionnaire provides clinicians with information to determine when an intervention should be attempted to improve a child’s overall well-being. </w:t>
      </w:r>
      <w:proofErr w:type="gramStart"/>
      <w:r>
        <w:t>The HEAR</w:t>
      </w:r>
      <w:proofErr w:type="gramEnd"/>
      <w:r>
        <w:t xml:space="preserve">-QL is a valid and reliable hearing-specific QOL questionnaire for children with hearing loss; it has greater sensitivity than the </w:t>
      </w:r>
      <w:proofErr w:type="spellStart"/>
      <w:r>
        <w:t>PedsQL</w:t>
      </w:r>
      <w:proofErr w:type="spellEnd"/>
      <w:r>
        <w:t xml:space="preserve"> (Umansky et al. 2011). The HEAR-QL could better distinguish between children with and without hearing loss, and it can help determine interventions for children than the </w:t>
      </w:r>
      <w:proofErr w:type="spellStart"/>
      <w:r>
        <w:t>PedsQL</w:t>
      </w:r>
      <w:proofErr w:type="spellEnd"/>
      <w:r>
        <w:t>.</w:t>
      </w:r>
    </w:p>
    <w:p w14:paraId="10CF69C3" w14:textId="77777777" w:rsidR="009E4375" w:rsidRDefault="00000000">
      <w:pPr>
        <w:spacing w:before="0" w:after="0"/>
        <w:ind w:firstLine="720"/>
      </w:pPr>
      <w:r>
        <w:t>The HEAR-QL questionnaire has been translated into a Persian version in Türkiye (previously known as Turkey) and was examined for validity and reliability for children and adolescents with hearing loss (Budak et al., 2022). The result of the study demonstrates that Turkish versions of the HEAR-QL questionnaire are sensitive, reliable, and valid measurement tools for evaluating the hearing-related QOL of children and adolescents aged between 8 and 18 years.</w:t>
      </w:r>
    </w:p>
    <w:p w14:paraId="10CF69C4" w14:textId="77777777" w:rsidR="009E4375" w:rsidRDefault="00000000">
      <w:pPr>
        <w:spacing w:before="0" w:after="0"/>
        <w:ind w:firstLine="720"/>
        <w:rPr>
          <w:i/>
          <w:iCs/>
        </w:rPr>
      </w:pPr>
      <w:r>
        <w:t xml:space="preserve">According to </w:t>
      </w:r>
      <w:proofErr w:type="spellStart"/>
      <w:r>
        <w:t>AlNowaiser</w:t>
      </w:r>
      <w:proofErr w:type="spellEnd"/>
      <w:r>
        <w:t xml:space="preserve"> et al. (2023), the team of researchers used forward and backward translation to translate the English version of the HEAR-QL questionnaire into an Arabic version for an Arabic-speaking population in the Arab region. The questionnaire was then administered to a sample of Arabic-speaking individuals to assess its reliability and validity. The results showed that the Arabic version of the HEAR-QL questionnaire was reliable and valid.</w:t>
      </w:r>
    </w:p>
    <w:p w14:paraId="10CF69C5" w14:textId="77777777" w:rsidR="009E4375" w:rsidRDefault="00000000">
      <w:pPr>
        <w:spacing w:before="0" w:after="0"/>
        <w:ind w:firstLine="720"/>
      </w:pPr>
      <w:r>
        <w:lastRenderedPageBreak/>
        <w:t xml:space="preserve">The HEAR-QL was developed specifically for children with hearing loss, focusing on response to hearing in a variety of environments and </w:t>
      </w:r>
      <w:proofErr w:type="gramStart"/>
      <w:r>
        <w:t>reflection</w:t>
      </w:r>
      <w:proofErr w:type="gramEnd"/>
      <w:r>
        <w:t xml:space="preserve"> on the hearing of the children (Umansky et al., 2011). However, it essentially assesses the hearing abilities of DHH </w:t>
      </w:r>
      <w:proofErr w:type="gramStart"/>
      <w:r>
        <w:t>persons</w:t>
      </w:r>
      <w:proofErr w:type="gramEnd"/>
      <w:r>
        <w:t xml:space="preserve"> who use hearing devices and speak, rather than those who use different signed communication. Audiological interventions such as cochlear implants and hearing aids may assist deaf adults in reducing hearing difficulties, however, modifiable lifestyle factors, such as self-acceptance and health advocacy, that interact with functional communication skills, can also significantly contribute to a healthy quality of life for deaf adults (</w:t>
      </w:r>
      <w:proofErr w:type="spellStart"/>
      <w:r>
        <w:t>Kushalagar</w:t>
      </w:r>
      <w:proofErr w:type="spellEnd"/>
      <w:r>
        <w:t xml:space="preserve"> et al., 2014).</w:t>
      </w:r>
    </w:p>
    <w:p w14:paraId="10CF69C6" w14:textId="77777777" w:rsidR="009E4375" w:rsidRDefault="009E4375">
      <w:pPr>
        <w:spacing w:before="0" w:after="0"/>
        <w:ind w:firstLine="720"/>
      </w:pPr>
    </w:p>
    <w:p w14:paraId="10CF69C7" w14:textId="77777777" w:rsidR="009E4375" w:rsidRDefault="00000000">
      <w:pPr>
        <w:pStyle w:val="Heading5"/>
        <w:spacing w:before="0" w:after="0"/>
      </w:pPr>
      <w:bookmarkStart w:id="39" w:name="_Toc214490395"/>
      <w:r>
        <w:t xml:space="preserve">The Inventory </w:t>
      </w:r>
      <w:proofErr w:type="gramStart"/>
      <w:r>
        <w:t>of Life</w:t>
      </w:r>
      <w:proofErr w:type="gramEnd"/>
      <w:r>
        <w:t xml:space="preserve"> Quality </w:t>
      </w:r>
      <w:proofErr w:type="gramStart"/>
      <w:r>
        <w:t>in</w:t>
      </w:r>
      <w:proofErr w:type="gramEnd"/>
      <w:r>
        <w:t xml:space="preserve"> Children and Adolescents (ILC)</w:t>
      </w:r>
      <w:bookmarkEnd w:id="39"/>
    </w:p>
    <w:p w14:paraId="10CF69C8" w14:textId="77777777" w:rsidR="009E4375" w:rsidRDefault="00000000">
      <w:pPr>
        <w:spacing w:before="0" w:after="0"/>
        <w:ind w:firstLine="720"/>
      </w:pPr>
      <w:r>
        <w:t xml:space="preserve">The Inventory of Life Quality of Children and Adolescents (ILC), developed by Fritz </w:t>
      </w:r>
      <w:proofErr w:type="spellStart"/>
      <w:r>
        <w:t>Mattejat</w:t>
      </w:r>
      <w:proofErr w:type="spellEnd"/>
      <w:r>
        <w:t xml:space="preserve"> and his team in German, is a multi-information assessment for QOL to measure health-related QOL in children and adolescents aged 6-21 years. It is a screening instrument developed for hearing students that consists of seven items: school performance, family functioning, peer relations, autonomy </w:t>
      </w:r>
      <w:proofErr w:type="gramStart"/>
      <w:r>
        <w:t>in play (</w:t>
      </w:r>
      <w:proofErr w:type="gramEnd"/>
      <w:r>
        <w:t>play/hobbies when alone), physical health, mental health, and a global wellbeing assessment. (Aanondsen et al., 2021; Aanondsen et al., 2023; Jozefiak et al., 2008). The child or adolescent themselves can complete the ILC by self-report. The ILC is a screening procedure that may not provide us with a complete picture of HRQOL because it provides a rough estimate of QOL (</w:t>
      </w:r>
      <w:proofErr w:type="spellStart"/>
      <w:r>
        <w:t>Hintermair</w:t>
      </w:r>
      <w:proofErr w:type="spellEnd"/>
      <w:r>
        <w:t>, 2011).</w:t>
      </w:r>
    </w:p>
    <w:p w14:paraId="10CF69C9" w14:textId="77777777" w:rsidR="009E4375" w:rsidRDefault="00000000">
      <w:pPr>
        <w:spacing w:before="0" w:after="0"/>
        <w:ind w:firstLine="720"/>
      </w:pPr>
      <w:r>
        <w:t xml:space="preserve">The ILC has only been used to study QOL in DHH in Germany, Austria, and Norway. ILC was translated into written versions for DHH </w:t>
      </w:r>
      <w:proofErr w:type="gramStart"/>
      <w:r>
        <w:t>mainstreamed</w:t>
      </w:r>
      <w:proofErr w:type="gramEnd"/>
      <w:r>
        <w:t xml:space="preserve"> children and adolescents who prefer spoken language (Aanondsen et al. 2021). The Norwegian version of the ILC has been translated into Norwegian Sign Language (ILC-NSL) and has shown good psychometric properties to gain more accurate reports from DHH children and adolescents (Aanondsen et al., 2021). It can be used for clinical and research purposes to assess the QOL of children and adolescents with various conditions, such as deafness, hearing loss, or mental health problems.</w:t>
      </w:r>
    </w:p>
    <w:p w14:paraId="10CF69CA" w14:textId="77777777" w:rsidR="009E4375" w:rsidRDefault="00000000">
      <w:pPr>
        <w:spacing w:before="0" w:after="0"/>
        <w:ind w:firstLine="720"/>
      </w:pPr>
      <w:proofErr w:type="spellStart"/>
      <w:r>
        <w:t>Hintermair</w:t>
      </w:r>
      <w:proofErr w:type="spellEnd"/>
      <w:r>
        <w:t xml:space="preserve"> (2011) used the ILC to compare the QOL of 212 hearing-impaired children in mainstream schools in Germany with that of hearing children. There was no </w:t>
      </w:r>
      <w:r>
        <w:lastRenderedPageBreak/>
        <w:t>significant difference found between the groups. However, it was found that there were significant relationships between QOL scores and communicative competence, intelligence, academic achievement, and participation (</w:t>
      </w:r>
      <w:proofErr w:type="spellStart"/>
      <w:r>
        <w:t>Hintermair</w:t>
      </w:r>
      <w:proofErr w:type="spellEnd"/>
      <w:r>
        <w:t>, 2011).</w:t>
      </w:r>
    </w:p>
    <w:p w14:paraId="10CF69CB" w14:textId="77777777" w:rsidR="009E4375" w:rsidRDefault="00000000">
      <w:pPr>
        <w:spacing w:before="0" w:after="0"/>
        <w:ind w:firstLine="720"/>
      </w:pPr>
      <w:r>
        <w:t xml:space="preserve">Once again, using the ILC, </w:t>
      </w:r>
      <w:proofErr w:type="spellStart"/>
      <w:r>
        <w:t>Hintermair</w:t>
      </w:r>
      <w:proofErr w:type="spellEnd"/>
      <w:r>
        <w:t xml:space="preserve"> (2011) examined the QOL of a multitude of German elementary students who were in conventional classrooms, and its results showed the DHH children had a significantly better quality of life compared to the hearing students, and they were satisfied with their schooling. The researcher found no differences between DHH and hearing groups in satisfaction with family relationships or social contact with peers. </w:t>
      </w:r>
      <w:proofErr w:type="spellStart"/>
      <w:r>
        <w:t>Hintermair</w:t>
      </w:r>
      <w:proofErr w:type="spellEnd"/>
      <w:r>
        <w:t xml:space="preserve"> (2011) assessed students' perceptions of the quality of their interaction with their teachers and peers and discovered that their satisfaction with school, social contact with peers, mental health, and overall QOL were highly correlated.</w:t>
      </w:r>
    </w:p>
    <w:p w14:paraId="10CF69CC" w14:textId="77777777" w:rsidR="009E4375" w:rsidRDefault="009E4375">
      <w:pPr>
        <w:spacing w:before="0" w:after="0"/>
        <w:ind w:firstLine="720"/>
      </w:pPr>
    </w:p>
    <w:p w14:paraId="10CF69CD" w14:textId="77777777" w:rsidR="009E4375" w:rsidRDefault="00000000">
      <w:pPr>
        <w:pStyle w:val="Heading5"/>
        <w:spacing w:before="0" w:after="0"/>
      </w:pPr>
      <w:bookmarkStart w:id="40" w:name="_Toc214490396"/>
      <w:r>
        <w:t>Youth Quality of Life for Deaf and Hard of Hearing (YQOL-DHH)</w:t>
      </w:r>
      <w:bookmarkEnd w:id="40"/>
    </w:p>
    <w:p w14:paraId="10CF69CE" w14:textId="77777777" w:rsidR="009E4375" w:rsidRDefault="00000000">
      <w:pPr>
        <w:spacing w:before="0" w:after="0"/>
        <w:ind w:firstLine="720"/>
      </w:pPr>
      <w:r>
        <w:t xml:space="preserve">As has been described, QOL instruments specifically designed for children who are DHH and have access to sound have items that refer to a child being able to communicate by speaking from a distance or by using the telephone (Patrick et al., 2011). Then, a QOL instrument was developed for DHH students, called the Youth Quality of Life for Deaf and Hard of Hearing (YQOL-DHH), which differs from other DHH-specific QOL instruments in that it has developed to assess DHH youth’s perceived QOL, including aspects such as communication, participation, and regard for oneself, regardless of their mode of communication including sign language or speech (Patrick et al., 2011; Schick et al., 2013). </w:t>
      </w:r>
    </w:p>
    <w:p w14:paraId="10CF69CF" w14:textId="77777777" w:rsidR="009E4375" w:rsidRDefault="00000000">
      <w:pPr>
        <w:spacing w:before="0" w:after="0"/>
        <w:ind w:firstLine="720"/>
      </w:pPr>
      <w:r>
        <w:t xml:space="preserve">The </w:t>
      </w:r>
      <w:proofErr w:type="spellStart"/>
      <w:r>
        <w:t>YQOl</w:t>
      </w:r>
      <w:proofErr w:type="spellEnd"/>
      <w:r>
        <w:t>-DHH is unique because the instrument was developed through gathering data from adolescents, parents, and adults who were DHH or from specialists who work with DHH such as healthcare professionals. The YQOL-DHH is relevant and applicable to youth who communicate with spoken or signed language, including those who use either American Sign Language or English-like signing as their primary mode of communication. YQOL-DHH emphasizes the quality of social relationships, satisfaction with friendships, interactions with family, and other aspects, regardless of whether they communicate in speaking or signed language (Patrick et al., 2011). YQOL-</w:t>
      </w:r>
      <w:r>
        <w:lastRenderedPageBreak/>
        <w:t xml:space="preserve">DHH demonstrated good reliability and validity for assessing DHH adolescents ages 11-18 (Patrick et al., 2011). It allows the comparison of DHH students across school placements and includes students with a range of hearing loss. Directly assessing how DHH youth perceive their communication with others, such as parent-youth communication, is essential for understanding their needs. </w:t>
      </w:r>
    </w:p>
    <w:p w14:paraId="10CF69D0" w14:textId="77777777" w:rsidR="009E4375" w:rsidRDefault="00000000">
      <w:pPr>
        <w:spacing w:before="0" w:after="0"/>
        <w:ind w:firstLine="720"/>
        <w:rPr>
          <w:highlight w:val="yellow"/>
        </w:rPr>
      </w:pPr>
      <w:r>
        <w:t xml:space="preserve">A group of researchers developed, validated cross-sectionally, and published the YQOL-DHH module (Meyer et al., 2013; Patrick et al., 2011). YQOL-DHH module was developed based on the perceptions of DHH youth with three domains including self-acceptance/ advocacy, participation, and perceived stigma. DHH youth reflected on who they are and how </w:t>
      </w:r>
      <w:proofErr w:type="gramStart"/>
      <w:r>
        <w:t>these domains are important</w:t>
      </w:r>
      <w:proofErr w:type="gramEnd"/>
      <w:r>
        <w:t xml:space="preserve"> in their lives. The YQOL-DHH allows for a detailed analysis of how home communication, educational practices, and educational placement affect a youth's perception of their well-being (Schick et al., 2013).</w:t>
      </w:r>
    </w:p>
    <w:p w14:paraId="10CF69D1" w14:textId="77777777" w:rsidR="009E4375" w:rsidRDefault="00000000">
      <w:pPr>
        <w:spacing w:before="0" w:after="0"/>
        <w:ind w:firstLine="720"/>
      </w:pPr>
      <w:r>
        <w:t xml:space="preserve">The YQOL-DHH has been used in 16 various research studies to evaluate the QOL of DDH children and adolescents. Other countries outside of the United States of America that have used the YQOL-DHH </w:t>
      </w:r>
      <w:proofErr w:type="gramStart"/>
      <w:r>
        <w:t>include:</w:t>
      </w:r>
      <w:proofErr w:type="gramEnd"/>
      <w:r>
        <w:t xml:space="preserve"> China (Zhang et al., 2017), Indonesia (Setiawan et al., 2019), Iran (</w:t>
      </w:r>
      <w:proofErr w:type="spellStart"/>
      <w:r>
        <w:t>Ashori</w:t>
      </w:r>
      <w:proofErr w:type="spellEnd"/>
      <w:r>
        <w:t xml:space="preserve"> &amp; Rashidi, 2020; </w:t>
      </w:r>
      <w:proofErr w:type="spellStart"/>
      <w:r>
        <w:t>Ashori</w:t>
      </w:r>
      <w:proofErr w:type="spellEnd"/>
      <w:r>
        <w:t xml:space="preserve"> &amp; Jalil-</w:t>
      </w:r>
      <w:proofErr w:type="spellStart"/>
      <w:r>
        <w:t>Abkenar</w:t>
      </w:r>
      <w:proofErr w:type="spellEnd"/>
      <w:r>
        <w:t xml:space="preserve">, 2021; </w:t>
      </w:r>
      <w:proofErr w:type="spellStart"/>
      <w:r>
        <w:t>Siadatian</w:t>
      </w:r>
      <w:proofErr w:type="spellEnd"/>
      <w:r>
        <w:t>, 2022) Serbia (Todorović, 2021) and Saudi Arabia (</w:t>
      </w:r>
      <w:proofErr w:type="spellStart"/>
      <w:r>
        <w:t>Alsabei</w:t>
      </w:r>
      <w:proofErr w:type="spellEnd"/>
      <w:r>
        <w:t>, 2020). These studies demonstrate that YQOL-DHH is an effective tool for assessing the QOL of deaf children and adolescents in different countries. Further, the YQOL-DHH is a standardized tool that allows researchers to compare the QOL of deaf children and adolescents worldwide.</w:t>
      </w:r>
    </w:p>
    <w:p w14:paraId="10CF69D2" w14:textId="77777777" w:rsidR="009E4375" w:rsidRDefault="00000000">
      <w:pPr>
        <w:spacing w:before="0" w:after="0"/>
        <w:ind w:firstLine="720"/>
      </w:pPr>
      <w:r>
        <w:t xml:space="preserve">The YQOL-DHH has been proven to be a reliable and valid tool in various countries and has been used successfully to measure the QOL for deaf children and adolescents. The YQOL-DHH is available in English and ASL versions in the United States of America (USA). The instrument was provided in sign language because studies such </w:t>
      </w:r>
      <w:proofErr w:type="gramStart"/>
      <w:r>
        <w:t>as  Harris</w:t>
      </w:r>
      <w:proofErr w:type="gramEnd"/>
      <w:r>
        <w:t xml:space="preserve"> et al. (2017) and </w:t>
      </w:r>
      <w:proofErr w:type="spellStart"/>
      <w:r>
        <w:t>Marschark</w:t>
      </w:r>
      <w:proofErr w:type="spellEnd"/>
      <w:r>
        <w:t xml:space="preserve"> et al. (2007, 2009) indicated that deaf children and adolescents preferred ASL as their first language instead of written language because they struggled with reading. The YQOL-DHH survey has been translated into other written languages and sign languages to administer the survey to deaf children and adolescents outside the USA. These languages have included Italian and Italian Sign Language (</w:t>
      </w:r>
      <w:proofErr w:type="spellStart"/>
      <w:r>
        <w:t>Gragnaniello</w:t>
      </w:r>
      <w:proofErr w:type="spellEnd"/>
      <w:r>
        <w:t xml:space="preserve">, 2021) and Arabic and Saudi Arabian Sign </w:t>
      </w:r>
      <w:r>
        <w:lastRenderedPageBreak/>
        <w:t>Language (</w:t>
      </w:r>
      <w:proofErr w:type="spellStart"/>
      <w:r>
        <w:t>Alsabei</w:t>
      </w:r>
      <w:proofErr w:type="spellEnd"/>
      <w:r>
        <w:t>, 2020). However, translation of the tool into signed language is not available in all countries, which limits its use. This is the case in China, where the YQOL-DHH translation to Chinese has good reliability and validity and can be used to measure the QOL of deaf youth in China; however, there is not an available signed language version of the tool (Zheng et al. 2017). In Iran, the YQOL-DHH has been translated into Persian and shows validity and reliability for evaluating the QOL in DHH children and adolescents (</w:t>
      </w:r>
      <w:proofErr w:type="spellStart"/>
      <w:r>
        <w:t>Ashori</w:t>
      </w:r>
      <w:proofErr w:type="spellEnd"/>
      <w:r>
        <w:t xml:space="preserve"> &amp; Rashidi, 2020). Again, no equivalent signed version is available. </w:t>
      </w:r>
    </w:p>
    <w:p w14:paraId="10CF69D3" w14:textId="77777777" w:rsidR="009E4375" w:rsidRDefault="00000000">
      <w:pPr>
        <w:spacing w:before="0" w:after="0"/>
        <w:ind w:firstLine="720"/>
      </w:pPr>
      <w:r>
        <w:t xml:space="preserve">According to </w:t>
      </w:r>
      <w:proofErr w:type="spellStart"/>
      <w:r>
        <w:t>Kushalnagar</w:t>
      </w:r>
      <w:proofErr w:type="spellEnd"/>
      <w:r>
        <w:t xml:space="preserve"> et al. (2011), adolescents between the ages of 11 and 18 report a higher QOL when they report understanding </w:t>
      </w:r>
      <w:proofErr w:type="gramStart"/>
      <w:r>
        <w:t>the majority of</w:t>
      </w:r>
      <w:proofErr w:type="gramEnd"/>
      <w:r>
        <w:t xml:space="preserve"> their parents’ expressive communication, regardless of the type of communication they prefer or their level of hearing loss. However, adolescents who </w:t>
      </w:r>
      <w:proofErr w:type="gramStart"/>
      <w:r>
        <w:t>preferred only</w:t>
      </w:r>
      <w:proofErr w:type="gramEnd"/>
      <w:r>
        <w:t xml:space="preserve"> speech experienced more stigma than adolescents who used both sign language and speech (</w:t>
      </w:r>
      <w:proofErr w:type="spellStart"/>
      <w:r>
        <w:t>Kushalnagar</w:t>
      </w:r>
      <w:proofErr w:type="spellEnd"/>
      <w:r>
        <w:t xml:space="preserve"> et al., 2011). The study found that youth's perception of their level of communication is related to their QOL, which is an important contribution to this study.</w:t>
      </w:r>
    </w:p>
    <w:p w14:paraId="10CF69D4" w14:textId="77777777" w:rsidR="009E4375" w:rsidRDefault="00000000">
      <w:pPr>
        <w:spacing w:before="0" w:after="0"/>
        <w:ind w:firstLine="720"/>
      </w:pPr>
      <w:r>
        <w:t xml:space="preserve">A study conducted by </w:t>
      </w:r>
      <w:proofErr w:type="spellStart"/>
      <w:r>
        <w:t>Alsabei</w:t>
      </w:r>
      <w:proofErr w:type="spellEnd"/>
      <w:r>
        <w:t xml:space="preserve"> (2020) examined the QOL of DHH adults with various educational backgrounds, specifically those whose education degrees enhanced QOL in Saudi Arabia. This study was undertaken </w:t>
      </w:r>
      <w:proofErr w:type="gramStart"/>
      <w:r>
        <w:t>as a result of</w:t>
      </w:r>
      <w:proofErr w:type="gramEnd"/>
      <w:r>
        <w:t xml:space="preserve"> a movement to provide college programs for DHH individuals. The study found that factors such as higher educational degrees, modes of communication, hearing status, and school placements were not statistically significant to QOL. In contrast, participants who were financially self-sufficient reported a higher QOL. According to prior research, a person’s job in Saudi Arabia, regardless of their educational degree, significantly influences their QOL. Interestingly, women reported higher QOL than men, which may be explained by the honor and respect women have in society. </w:t>
      </w:r>
      <w:proofErr w:type="spellStart"/>
      <w:r>
        <w:t>Alsabei’s</w:t>
      </w:r>
      <w:proofErr w:type="spellEnd"/>
      <w:r>
        <w:t xml:space="preserve"> study </w:t>
      </w:r>
      <w:proofErr w:type="gramStart"/>
      <w:r>
        <w:t>applied</w:t>
      </w:r>
      <w:proofErr w:type="gramEnd"/>
      <w:r>
        <w:t xml:space="preserve"> the YQOL-DHH survey, which was designed for deaf participants aged 11 to 18 years, with older participants over the age of 18. The pilot study showed that the results were reliable for older adults. According to </w:t>
      </w:r>
      <w:proofErr w:type="spellStart"/>
      <w:r>
        <w:t>Marschark</w:t>
      </w:r>
      <w:proofErr w:type="spellEnd"/>
      <w:r>
        <w:t xml:space="preserve"> et al. (2018), the survey was also used for deaf students who were all first-year college students aged 17.7 to 23.5 years with a mean age of 19 years (SD = 1.20) in examining psychosocial functioning and language abilities among deaf adolescents with and without cochlear implants.</w:t>
      </w:r>
    </w:p>
    <w:p w14:paraId="10CF69D5" w14:textId="77777777" w:rsidR="009E4375" w:rsidRDefault="009E4375">
      <w:pPr>
        <w:spacing w:before="0" w:after="0"/>
        <w:ind w:firstLine="720"/>
      </w:pPr>
    </w:p>
    <w:p w14:paraId="10CF69D6" w14:textId="77777777" w:rsidR="009E4375" w:rsidRDefault="00000000">
      <w:pPr>
        <w:pStyle w:val="Heading3"/>
      </w:pPr>
      <w:bookmarkStart w:id="41" w:name="_Toc214490397"/>
      <w:r>
        <w:t>Opportunities and Barriers to the QOL for Deaf Malaysians</w:t>
      </w:r>
      <w:bookmarkEnd w:id="41"/>
    </w:p>
    <w:p w14:paraId="10CF69D7" w14:textId="77777777" w:rsidR="009E4375" w:rsidRDefault="00000000">
      <w:pPr>
        <w:spacing w:before="0" w:after="0"/>
        <w:ind w:firstLine="720"/>
      </w:pPr>
      <w:r>
        <w:t>In Malaysia, there are opportunities for people with disabilities, particularly DHH people, to improve their QOL. The Malaysian Government has adopted disability equality international policy guidelines, including the Standard Rules on Equalization of Opportunities for Persons with Disabilities in 1993 and the United Nations Convention on the Rights of Persons with Disabilities in 2008. The government policy for people with disabilities is essential to providing better services and opportunities for them, such as education, transportation, technology, employment, health, welfare, and housing. This policy should also include measures to protect the human rights of people with disabilities, such as access to healthcare, access to justice, and freedom from discrimination. Additionally, the government should provide support to help people with disabilities reach their full potential.</w:t>
      </w:r>
    </w:p>
    <w:p w14:paraId="10CF69D8" w14:textId="77777777" w:rsidR="009E4375" w:rsidRDefault="00000000">
      <w:pPr>
        <w:spacing w:before="0" w:after="0"/>
        <w:ind w:firstLine="720"/>
      </w:pPr>
      <w:r>
        <w:t xml:space="preserve">The Government of Malaysia became a signatory to the United Nations Convention on the Rights of Persons with Disabilities (UN CRPD) on April 7, 2008, and ratified the treaty on July 19, 2010. Malaysia developed a law to protect the rights of people with disabilities prior to the UN CRPD ratification by collaborating with various stakeholders, including the Malaysian Bar and non-governmental organizations (NGOs) representing individuals with disabilities. As an advisor to the Government of Malaysia, the Human Rights Commission of Malaysia (Suruhanjaya Hak Asas </w:t>
      </w:r>
      <w:proofErr w:type="spellStart"/>
      <w:r>
        <w:t>Manusia</w:t>
      </w:r>
      <w:proofErr w:type="spellEnd"/>
      <w:r>
        <w:t xml:space="preserve"> Malaysia: SUHAKMA) provides adviser and material references to the government. </w:t>
      </w:r>
    </w:p>
    <w:p w14:paraId="10CF69D9" w14:textId="77777777" w:rsidR="009E4375" w:rsidRDefault="009E4375">
      <w:pPr>
        <w:spacing w:before="0" w:after="0"/>
        <w:ind w:firstLine="720"/>
      </w:pPr>
    </w:p>
    <w:p w14:paraId="10CF69DA" w14:textId="77777777" w:rsidR="009E4375" w:rsidRDefault="00000000">
      <w:pPr>
        <w:pStyle w:val="Heading4"/>
      </w:pPr>
      <w:bookmarkStart w:id="42" w:name="_Toc214490398"/>
      <w:r>
        <w:t>Policies and Legislation</w:t>
      </w:r>
      <w:bookmarkEnd w:id="42"/>
    </w:p>
    <w:p w14:paraId="10CF69DB" w14:textId="77777777" w:rsidR="009E4375" w:rsidRDefault="00000000">
      <w:pPr>
        <w:spacing w:before="0" w:after="0"/>
        <w:ind w:firstLine="720"/>
      </w:pPr>
      <w:r>
        <w:t xml:space="preserve">The World Federation of the Deaf (WFD) declared in 2016 that the key factors contributing to </w:t>
      </w:r>
      <w:proofErr w:type="gramStart"/>
      <w:r>
        <w:t>support</w:t>
      </w:r>
      <w:proofErr w:type="gramEnd"/>
      <w:r>
        <w:t xml:space="preserve"> the full education and human rights of deaf and hard of hearing children and adults is for them to be provided with both their nation’s native sign language and written languages (World Federation of the Deaf, 2016). In 1994, Malaysia signed the Salamanca Statement and Framework for Action on Special Needs Education, a declaration of the United Nations Educational, Scientific, and Cultural Organization (UNESCO, 1994). In the Salamanca Statement, educational policies should completely account for individual differences and situations. UNESCO (1994) </w:t>
      </w:r>
      <w:r>
        <w:lastRenderedPageBreak/>
        <w:t xml:space="preserve">recommends that sign language be recognized as the communication medium for the deaf, and that all deaf children have access to education in their national sign language. The Malaysian government was aware of the challenges and issues facing the deaf community, but it had not yet implemented the necessary policies to address them. The deaf community recognized the need for greater advocacy, and it proposed initiatives to increase public awareness and pressure the government to implement the necessary policies. </w:t>
      </w:r>
    </w:p>
    <w:p w14:paraId="10CF69DC" w14:textId="77777777" w:rsidR="009E4375" w:rsidRDefault="00000000">
      <w:pPr>
        <w:spacing w:before="0" w:after="0"/>
        <w:ind w:firstLine="720"/>
      </w:pPr>
      <w:r>
        <w:t xml:space="preserve">As a result of Malaysia’s commitment to international obligations stipulated under the UN CRPD (Tah, 2013; Tah &amp; Mokhtar, 2016), in 2008, Malaysia enacted the Persons with Disabilities Act 685 to protect the rights of people with disabilities. Although not yet studied, people with disabilities were provided with the opportunity to develop and enhance their QOL and well-being by enacting the Persons with Disabilities Act 2018. In addition, better accessibility to facilities such as services, buildings, public transportation, and public amenities is also promoted. Moreover, this statute encourages and supports appropriate measures for recognizing skills at work, creating employment opportunities for the disabled, particularly DHH people, ensuring that children with disabilities receive a proper level of education, training professionals in rehabilitation services, and a number of other functions directed by the Minister for the proper implementation of the Act (Aziz et al., 2023). </w:t>
      </w:r>
    </w:p>
    <w:p w14:paraId="10CF69DD" w14:textId="77777777" w:rsidR="009E4375" w:rsidRDefault="00000000">
      <w:pPr>
        <w:spacing w:before="0" w:after="0"/>
        <w:ind w:firstLine="720"/>
      </w:pPr>
      <w:r>
        <w:t xml:space="preserve">Under the Persons with Disabilities Act (2008), the Malaysian Government recognizes Bahasa </w:t>
      </w:r>
      <w:proofErr w:type="spellStart"/>
      <w:r>
        <w:t>Isyarat</w:t>
      </w:r>
      <w:proofErr w:type="spellEnd"/>
      <w:r>
        <w:t xml:space="preserve"> Malaysia (BIM) as the official language of the Deaf community. </w:t>
      </w:r>
      <w:proofErr w:type="gramStart"/>
      <w:r>
        <w:t>The BIM</w:t>
      </w:r>
      <w:proofErr w:type="gramEnd"/>
      <w:r>
        <w:t xml:space="preserve"> enjoys legal status as one of the languages in the country that could potentially have a positive impact on many aspects of the deaf community's life. Furthermore, the act defines the term 'communication' as referring to various means of communication, including BIM, accessible communications, and information technologies.</w:t>
      </w:r>
    </w:p>
    <w:p w14:paraId="10CF69DE" w14:textId="77777777" w:rsidR="009E4375" w:rsidRDefault="00000000">
      <w:pPr>
        <w:spacing w:before="0" w:after="0"/>
        <w:ind w:firstLine="720"/>
      </w:pPr>
      <w:r>
        <w:t xml:space="preserve">The government initially provided BIM interpreters on a 30-minute daily national news program on government-owned telecommunications to provide accessible information to the deaf community. Additionally, open captioning is available for TV channels </w:t>
      </w:r>
      <w:proofErr w:type="gramStart"/>
      <w:r>
        <w:t>and theater</w:t>
      </w:r>
      <w:proofErr w:type="gramEnd"/>
      <w:r>
        <w:t xml:space="preserve"> movies, both foreign and local, to facilitate access to information by the deaf community. Interpreting is also available via telecommunications during </w:t>
      </w:r>
      <w:r>
        <w:lastRenderedPageBreak/>
        <w:t xml:space="preserve">parliament debates. Some social media platforms also provide open captions. MFD and </w:t>
      </w:r>
      <w:proofErr w:type="spellStart"/>
      <w:r>
        <w:rPr>
          <w:i/>
          <w:iCs/>
        </w:rPr>
        <w:t>Persatuan</w:t>
      </w:r>
      <w:proofErr w:type="spellEnd"/>
      <w:r>
        <w:rPr>
          <w:i/>
          <w:iCs/>
        </w:rPr>
        <w:t xml:space="preserve"> Bahasa </w:t>
      </w:r>
      <w:proofErr w:type="spellStart"/>
      <w:r>
        <w:rPr>
          <w:i/>
          <w:iCs/>
        </w:rPr>
        <w:t>Isyarat</w:t>
      </w:r>
      <w:proofErr w:type="spellEnd"/>
      <w:r>
        <w:rPr>
          <w:i/>
          <w:iCs/>
        </w:rPr>
        <w:t xml:space="preserve"> Malaysia dan Pengajian </w:t>
      </w:r>
      <w:proofErr w:type="spellStart"/>
      <w:r>
        <w:rPr>
          <w:i/>
          <w:iCs/>
        </w:rPr>
        <w:t>Pekak</w:t>
      </w:r>
      <w:proofErr w:type="spellEnd"/>
      <w:r>
        <w:t xml:space="preserve"> (Malaysian Sign Language and Deaf Studies of Association) actively promote BIM on social media such as telegram, WhatsApp, and YouTube in the public. MFD collaborates with government agencies, universities, and the public to provide BIM courses and training for interpreters. In addition, deaf individuals are provided with BIM interpreters in public places to communicate more effectively. MFD advocates for the rights of deaf people in Malaysia and promotes awareness of their language and culture.</w:t>
      </w:r>
    </w:p>
    <w:p w14:paraId="10CF69DF" w14:textId="77777777" w:rsidR="009E4375" w:rsidRDefault="00000000">
      <w:pPr>
        <w:spacing w:before="0" w:after="0"/>
        <w:ind w:firstLine="720"/>
      </w:pPr>
      <w:r>
        <w:t>The Persons with Disabilities Act 2008, also known as the 'soft law,' was adopted voluntarily and is not legally binding, preventing people with disabilities from having full and equal recognition under federal law so they do not have the right to sue the government or another party for failing to provide services. It is still a grey area in Malaysia because there is no specific law that deals with special education for children with disabilities, even though they are promised the same rights as other children (Othman et al., 2022).</w:t>
      </w:r>
    </w:p>
    <w:p w14:paraId="10CF69E0" w14:textId="77777777" w:rsidR="009E4375" w:rsidRDefault="009E4375">
      <w:pPr>
        <w:spacing w:before="0" w:after="0"/>
        <w:ind w:firstLine="720"/>
      </w:pPr>
    </w:p>
    <w:p w14:paraId="10CF69E1" w14:textId="77777777" w:rsidR="009E4375" w:rsidRDefault="00000000">
      <w:pPr>
        <w:pStyle w:val="Heading4"/>
      </w:pPr>
      <w:bookmarkStart w:id="43" w:name="_Toc214490399"/>
      <w:r>
        <w:t>Welfare</w:t>
      </w:r>
      <w:bookmarkEnd w:id="43"/>
    </w:p>
    <w:p w14:paraId="10CF69E2" w14:textId="77777777" w:rsidR="009E4375" w:rsidRDefault="00000000">
      <w:pPr>
        <w:spacing w:before="0" w:after="0"/>
        <w:ind w:firstLine="720"/>
      </w:pPr>
      <w:r>
        <w:t xml:space="preserve">All people with disabilities (PWD) have guaranteed access to public </w:t>
      </w:r>
      <w:proofErr w:type="gramStart"/>
      <w:r>
        <w:t>accommodations</w:t>
      </w:r>
      <w:proofErr w:type="gramEnd"/>
      <w:r>
        <w:t xml:space="preserve">, healthcare, and recreation under the Act. Additionally, the Act required the establishment of a National Council for Persons with Disabilities to oversee legislative recommendations for people with disabilities to the Government and to provide employment opportunities for them. There is an official record of people with disabilities in each district that is managed by the council. A medical professional verifies PWD status at the Malaysian Department of Social Welfare, but it is voluntary. To be eligible for certain government services concerning people with disabilities, those who register as PWDs should be verified by a medical professional and have their status confirmed by the Malaysian Department of Social Welfare. Registering as PWD identification is an entirely voluntary decision. With the PWD identification, those eligible can prove eligibility for certain government services. The registration process includes receiving healthcare benefits, vocational and academic training in special schools and institutions, financial assistance, and job placement opportunities. Those, including deaf </w:t>
      </w:r>
      <w:r>
        <w:lastRenderedPageBreak/>
        <w:t>people who register with the Department of Social Welfare, get benefits and improve their QOL.</w:t>
      </w:r>
    </w:p>
    <w:p w14:paraId="10CF69E3" w14:textId="77777777" w:rsidR="009E4375" w:rsidRDefault="009E4375">
      <w:pPr>
        <w:spacing w:before="0" w:after="0"/>
        <w:ind w:firstLine="720"/>
      </w:pPr>
    </w:p>
    <w:p w14:paraId="10CF69E4" w14:textId="77777777" w:rsidR="009E4375" w:rsidRDefault="00000000">
      <w:pPr>
        <w:pStyle w:val="Heading4"/>
      </w:pPr>
      <w:bookmarkStart w:id="44" w:name="_Toc214490400"/>
      <w:r>
        <w:t>Education</w:t>
      </w:r>
      <w:bookmarkEnd w:id="44"/>
    </w:p>
    <w:p w14:paraId="10CF69E5" w14:textId="77777777" w:rsidR="009E4375" w:rsidRDefault="00000000">
      <w:pPr>
        <w:spacing w:before="0" w:after="0"/>
        <w:ind w:firstLine="720"/>
      </w:pPr>
      <w:r>
        <w:t xml:space="preserve">The Salamanca Statement was signed in 1994 by Malaysia, and the government implemented it in 1996, ensuring that inclusive education was provided to students with disabilities and/or special educational needs in primary and secondary schools, allowing them to temporarily or permanently integrate into mainstream classrooms (Ali, Mustapha, &amp; Jelas, 2006). In Malaysia, the United Nations Convention on the Rights of Persons with Disabilities (CRPD) was signed in 2008 and ratified in 2010 (United Nations, 2006). The Malaysian government also passed a bill, the Persons with Disabilities Act 2008, to prevent segregation of and the discrimination against people with disabilities (Government of Malaysia, 2008). According to Clark, Brown, &amp; </w:t>
      </w:r>
      <w:proofErr w:type="spellStart"/>
      <w:r>
        <w:t>Karrapaya</w:t>
      </w:r>
      <w:proofErr w:type="spellEnd"/>
      <w:r>
        <w:t xml:space="preserve"> (2012), these legislations had a limited impact because there were no punishments or fines for not following them. Rather, adherence was determined more by people’s charity. Many barriers continued for people with disabilities including overcrowded classes, unclear policies, a lack of resources, and inconsistent collaborations with expert specialists in which full inclusion remains very limited (Wah, 2010). In Malaysia, primary education has been made compulsory since 2003, and enrollment in public schools is free and open to all children, including those in hospitals, private schools, and homeschooling. Education (Amendment) Act 2002 that students are only required to complete school until Year Six (Grades 1-6). The parents may be fined up to RM 5,000 (US $1,064) or six months imprisonment if they fail to send their kids to school. Due to the law, parents are encouraged to send their children, particularly deaf children, to school. Unlike deaf adults who did not have access to formal education in their previous school before 2003, deaf students </w:t>
      </w:r>
      <w:proofErr w:type="gramStart"/>
      <w:r>
        <w:t>have the opportunity to</w:t>
      </w:r>
      <w:proofErr w:type="gramEnd"/>
      <w:r>
        <w:t xml:space="preserve"> learn formal education at school. </w:t>
      </w:r>
      <w:proofErr w:type="gramStart"/>
      <w:r>
        <w:t>deaf</w:t>
      </w:r>
      <w:proofErr w:type="gramEnd"/>
      <w:r>
        <w:t xml:space="preserve"> children can benefit from the mandatory provision of primary education.</w:t>
      </w:r>
    </w:p>
    <w:p w14:paraId="10CF69E6" w14:textId="77777777" w:rsidR="009E4375" w:rsidRDefault="00000000">
      <w:pPr>
        <w:spacing w:before="0" w:after="0"/>
        <w:ind w:firstLine="720"/>
      </w:pPr>
      <w:r>
        <w:t xml:space="preserve">There are many choices of provided programs that the parents of deaf children can choose: (1) special education schools, (2) the Special Education Integration Program - units attached to mainstream schools (Program Pendidikan Khas Integrasi: </w:t>
      </w:r>
      <w:r>
        <w:lastRenderedPageBreak/>
        <w:t xml:space="preserve">PPKI), and (3) the Inclusive Education Program - a government initiative that caters to students with disabilities in mainstream classrooms (Program Pendidikan </w:t>
      </w:r>
      <w:proofErr w:type="spellStart"/>
      <w:r>
        <w:t>Inklusif</w:t>
      </w:r>
      <w:proofErr w:type="spellEnd"/>
      <w:r>
        <w:t>: PPI).  Inclusive education is defined in the national policy as the “concept of placing Special Educational Needs (SEN) that students into mainstream classes to be educated alongside their peers, either with or without additional support and within the present school system” (Ministry of Education, 2004).</w:t>
      </w:r>
    </w:p>
    <w:p w14:paraId="10CF69E7" w14:textId="77777777" w:rsidR="009E4375" w:rsidRDefault="00000000">
      <w:pPr>
        <w:spacing w:before="0" w:after="0"/>
        <w:ind w:firstLine="720"/>
      </w:pPr>
      <w:r>
        <w:t>There are no formal policies to support the inclusion of deaf children aged 3-13 in mainstream classrooms (Khairuddin et al., 2020). In some mainstream schools, those who cannot speak are learning under the curriculum for students with learning disabilities. The mainstream schools in Malaysia may or may not provide sign language assistance, but speaking is an essential prerequisite for participating equally in examination-oriented mainstream schools (Khairuddin et al., 2018). Deaf children performing lower academically should not take the national examination because the national examination is very advanced and based on the national curriculum and standards that the hearing students have received. The deaf students did not get the opportunity for the same exposure (Jelas &amp; Ali, 2012).  Deaf students may experience barriers to communicating with others outside their community. They experience greater discrimination than those with physical disabilities (Jani et al., 2020b). Special teachers who are knowledgeable about BIM may or may not be available outside of the established special education services, such as PPKI and PPI, to support deaf children. </w:t>
      </w:r>
    </w:p>
    <w:p w14:paraId="10CF69E8" w14:textId="77777777" w:rsidR="009E4375" w:rsidRDefault="00000000">
      <w:pPr>
        <w:spacing w:before="0" w:after="0"/>
        <w:ind w:firstLine="720"/>
      </w:pPr>
      <w:r>
        <w:t>The academic attainment of deaf children with cochlear implants in Malaysia is lower than the national average (</w:t>
      </w:r>
      <w:proofErr w:type="spellStart"/>
      <w:r>
        <w:t>Mukair</w:t>
      </w:r>
      <w:proofErr w:type="spellEnd"/>
      <w:r>
        <w:t xml:space="preserve">, Ling, and </w:t>
      </w:r>
      <w:proofErr w:type="spellStart"/>
      <w:r>
        <w:t>Ghain</w:t>
      </w:r>
      <w:proofErr w:type="spellEnd"/>
      <w:r>
        <w:t xml:space="preserve">, 2007). In addition to delayed language and communication development, this results from inflexibility in pedagogy, curriculum, and formal assessment of the education system (Yasin et al., 2021). There is a significant difference between the academic attainment of deaf children, regardless of whether they are using hearing aids or cochlear implants. According to the research, deaf children do not perform as well as typical students in the United Kingdom, even though there are relatively developed support systems (Harris et al., 2017). Deaf children often cannot follow the fast-paced, examination-oriented curriculum. </w:t>
      </w:r>
      <w:proofErr w:type="gramStart"/>
      <w:r>
        <w:t>Thus</w:t>
      </w:r>
      <w:proofErr w:type="gramEnd"/>
      <w:r>
        <w:t xml:space="preserve"> they often have gaps in their learning or do not finish the curriculum, and their examination results are not satisfactory.</w:t>
      </w:r>
    </w:p>
    <w:p w14:paraId="10CF69E9" w14:textId="77777777" w:rsidR="009E4375" w:rsidRDefault="00000000">
      <w:pPr>
        <w:spacing w:before="0" w:after="0"/>
        <w:ind w:firstLine="720"/>
        <w:rPr>
          <w:highlight w:val="yellow"/>
        </w:rPr>
      </w:pPr>
      <w:r>
        <w:lastRenderedPageBreak/>
        <w:t xml:space="preserve">Although primary communication in school is oriented towards using signs, parents prefer to have their deaf children fitted with hearing assistive devices, including hearing aids and cochlear implants, to communicate orally with their deaf children. As a result, the communication practices in schools do not meet the recommendation of the World Federation of the Deaf (WFD) that "All deaf children have a right to </w:t>
      </w:r>
      <w:proofErr w:type="gramStart"/>
      <w:r>
        <w:t>a sign</w:t>
      </w:r>
      <w:proofErr w:type="gramEnd"/>
      <w:r>
        <w:t xml:space="preserve"> language." National sign language(s) are the only fully accessible language for deaf children from birth onwards.”</w:t>
      </w:r>
    </w:p>
    <w:p w14:paraId="10CF69EA" w14:textId="77777777" w:rsidR="009E4375" w:rsidRDefault="00000000">
      <w:pPr>
        <w:spacing w:before="0" w:after="0"/>
        <w:ind w:firstLine="720"/>
      </w:pPr>
      <w:r>
        <w:t xml:space="preserve">Deaf students have opportunities to further their education despite the requirement of academic attainment to pursue higher education. Community colleges, technical schools, and vocational training programs in the vocational school for special education and mainstream schools are available to provide vocational training programs, transition, and skills development with Malaysian Skills Certificate, </w:t>
      </w:r>
      <w:r>
        <w:rPr>
          <w:i/>
          <w:iCs/>
        </w:rPr>
        <w:t>Sijil Kemahiran Malaysia (SKM</w:t>
      </w:r>
      <w:r>
        <w:t xml:space="preserve">) to deaf students throughout Malaysia. SKM is accredited by the Department of Skills Development, a government agency under the Ministry of Human Resources. Polytechnical colleges also provide training programs for deaf students who have completed high school. These programs equip them with the necessary skills and knowledge to be successful in the workplace. They also provide opportunities to network with potential employers. With </w:t>
      </w:r>
      <w:proofErr w:type="gramStart"/>
      <w:r>
        <w:t>the certification</w:t>
      </w:r>
      <w:proofErr w:type="gramEnd"/>
      <w:r>
        <w:t xml:space="preserve"> and skills, deaf students can get good career opportunities after completing their high school education. A better education and occupation can improve the QOL for deaf students.</w:t>
      </w:r>
    </w:p>
    <w:p w14:paraId="10CF69EB" w14:textId="77777777" w:rsidR="009E4375" w:rsidRDefault="00000000">
      <w:pPr>
        <w:spacing w:before="0" w:after="0"/>
        <w:ind w:firstLine="720"/>
      </w:pPr>
      <w:r>
        <w:t>In Malaysia, hearing people often do not understand deaf culture and the challenges with written languages that deaf people face. Also, they see deaf people as grouped under the concept of “disabilities” (Lee et al., 2022). According to Wilson &amp; Winiarczyk (2014), three important factors that are helpful to support deaf Malaysians' needs during interviewing and facilitating focus groups are their challenges, priority lists, and resources.  Through focus group discussion, deaf Malaysians were able to describe the realities of their lives. Deaf Malaysians reflected on their situation and gave suggestions for improving their quality of life. Their suggestions were to have policies enforcing early childhood education, deaf education, and accessibility, because the lack of policies adversely affected their QOL. Therefore, they were active in advocating policy changes.</w:t>
      </w:r>
    </w:p>
    <w:p w14:paraId="10CF69EC" w14:textId="77777777" w:rsidR="009E4375" w:rsidRDefault="009E4375">
      <w:pPr>
        <w:spacing w:before="0" w:after="0"/>
        <w:ind w:firstLine="720"/>
      </w:pPr>
    </w:p>
    <w:p w14:paraId="10CF69ED" w14:textId="77777777" w:rsidR="009E4375" w:rsidRDefault="00000000">
      <w:pPr>
        <w:pStyle w:val="Heading4"/>
      </w:pPr>
      <w:bookmarkStart w:id="45" w:name="_Toc214490401"/>
      <w:r>
        <w:t>Employment</w:t>
      </w:r>
      <w:bookmarkEnd w:id="45"/>
    </w:p>
    <w:p w14:paraId="10CF69EE" w14:textId="77777777" w:rsidR="009E4375" w:rsidRDefault="00000000">
      <w:pPr>
        <w:spacing w:before="0" w:after="0"/>
        <w:ind w:firstLine="720"/>
      </w:pPr>
      <w:r>
        <w:t xml:space="preserve">In Malaysia since 1987, there is legislation supporting the rights of people with disabilities related to employment. The government has allocated 1% of the jobs available to people with disabilities, including deaf people. The Ministry of Human Resources and the Ministry of Social Welfare </w:t>
      </w:r>
      <w:proofErr w:type="gramStart"/>
      <w:r>
        <w:t>has</w:t>
      </w:r>
      <w:proofErr w:type="gramEnd"/>
      <w:r>
        <w:t xml:space="preserve"> worked toward this goal and has urged the private sector to allocate these jobs. As a result of the 1% quota policy, all government agencies are encouraged to open their doors to people with disabilities, but the quota has not yet been realized in either government </w:t>
      </w:r>
      <w:proofErr w:type="gramStart"/>
      <w:r>
        <w:t>and</w:t>
      </w:r>
      <w:proofErr w:type="gramEnd"/>
      <w:r>
        <w:t xml:space="preserve"> private sectors. Deaf people are still disadvantaged by the education requirement to have a Malaysian Certificate of Education, </w:t>
      </w:r>
      <w:r>
        <w:rPr>
          <w:i/>
          <w:iCs/>
        </w:rPr>
        <w:t>Sijil Pelajaran Malaysia</w:t>
      </w:r>
      <w:r>
        <w:t xml:space="preserve"> (</w:t>
      </w:r>
      <w:r>
        <w:rPr>
          <w:i/>
          <w:iCs/>
        </w:rPr>
        <w:t>SPM</w:t>
      </w:r>
      <w:r>
        <w:t>), to attain employment opportunities in the government sector. It is necessary for high school students to pass five compulsory subjects, including Malay and English Language, to obtain the</w:t>
      </w:r>
      <w:r>
        <w:rPr>
          <w:i/>
          <w:iCs/>
        </w:rPr>
        <w:t xml:space="preserve"> </w:t>
      </w:r>
      <w:r>
        <w:t xml:space="preserve">SPM. </w:t>
      </w:r>
      <w:proofErr w:type="gramStart"/>
      <w:r>
        <w:t>The majority of</w:t>
      </w:r>
      <w:proofErr w:type="gramEnd"/>
      <w:r>
        <w:t xml:space="preserve"> deaf people face difficulties getting </w:t>
      </w:r>
      <w:proofErr w:type="gramStart"/>
      <w:r>
        <w:t>the SPM</w:t>
      </w:r>
      <w:proofErr w:type="gramEnd"/>
      <w:r>
        <w:t xml:space="preserve"> due to difficulty mastering languages, which negatively impacts their QOL.</w:t>
      </w:r>
    </w:p>
    <w:p w14:paraId="10CF69EF" w14:textId="77777777" w:rsidR="009E4375" w:rsidRDefault="00000000">
      <w:pPr>
        <w:spacing w:before="0" w:after="0"/>
        <w:ind w:firstLine="720"/>
      </w:pPr>
      <w:r>
        <w:t>There are more opportunities for deaf people in the public sector than in the government sector, regardless of the degree of education required. In the 1980s, the first world’s KFC store was established in Malaysia, specially designed to provide deaf employees with the opportunity to manage the operations on their own with the assistance of one hearing employee. The Society for the Deaf had co-operated with KFC to employ 17 deaf employees at KFC (</w:t>
      </w:r>
      <w:proofErr w:type="spellStart"/>
      <w:r>
        <w:t>Jayasoorie</w:t>
      </w:r>
      <w:proofErr w:type="spellEnd"/>
      <w:r>
        <w:t xml:space="preserve"> et al.,1997). Deaf staff can use simple signs to communicate with hearing customs by pointing to menus with pictures and using simple signs in front of the cash register. Three KFCs employ deaf employees throughout Malaysia. Similarly to KFC, in </w:t>
      </w:r>
      <w:proofErr w:type="gramStart"/>
      <w:r>
        <w:t>2016  Starbucks</w:t>
      </w:r>
      <w:proofErr w:type="gramEnd"/>
      <w:r>
        <w:t xml:space="preserve"> Signing Store set up the first world’s Starbucks store in Malaysia, where deaf employees currently manage the operations independently. Three stores in Malaysia are specifically designed for deaf employees. They can become more financially independent and improve their QOL through employment opportunities in the food chain, industry, and service, such as driving a Grab cab and delivering food.</w:t>
      </w:r>
    </w:p>
    <w:p w14:paraId="10CF69F0" w14:textId="77777777" w:rsidR="009E4375" w:rsidRDefault="009E4375">
      <w:pPr>
        <w:spacing w:before="0" w:after="0"/>
        <w:ind w:firstLine="720"/>
      </w:pPr>
    </w:p>
    <w:p w14:paraId="10CF69F1" w14:textId="77777777" w:rsidR="009E4375" w:rsidRDefault="00000000">
      <w:pPr>
        <w:pStyle w:val="Heading3"/>
        <w:jc w:val="center"/>
      </w:pPr>
      <w:bookmarkStart w:id="46" w:name="_Toc214490402"/>
      <w:r>
        <w:lastRenderedPageBreak/>
        <w:t>Conclusion</w:t>
      </w:r>
      <w:bookmarkEnd w:id="46"/>
    </w:p>
    <w:p w14:paraId="10CF69F2" w14:textId="77777777" w:rsidR="009E4375" w:rsidRDefault="00000000">
      <w:pPr>
        <w:spacing w:before="0" w:after="0"/>
        <w:ind w:firstLine="720"/>
      </w:pPr>
      <w:r>
        <w:t>Numerous approaches are used to define QOL, including theory, concept, objective, subjective well-being, personal values, life satisfaction, and objective living conditions (</w:t>
      </w:r>
      <w:proofErr w:type="spellStart"/>
      <w:r>
        <w:t>Fece</w:t>
      </w:r>
      <w:proofErr w:type="spellEnd"/>
      <w:r>
        <w:t xml:space="preserve"> &amp; Perry., 1995; </w:t>
      </w:r>
      <w:proofErr w:type="spellStart"/>
      <w:r>
        <w:t>Fece</w:t>
      </w:r>
      <w:proofErr w:type="spellEnd"/>
      <w:r>
        <w:t>, 1997). Numeral quantitative and qualitative methodologies are employed in the QOL research literature, although most current research on QOL within DHH populations is quantitative. Quantitative research, such as surveys and questionnaires, provides an objective view of the topic on the QOL of DHH individuals. The research allows researchers to measure and compare different variables, such as various QOL measures, to determine their effects on multiple populations, which can help inform policy decisions. On the other hand, qualitative research can provide a more in-depth understanding of the individual’s experiences and feelings, which can help to inform and shape policy decisions and intervention strategies.</w:t>
      </w:r>
    </w:p>
    <w:p w14:paraId="10CF69F3" w14:textId="77777777" w:rsidR="009E4375" w:rsidRDefault="00000000">
      <w:pPr>
        <w:spacing w:before="0" w:after="0"/>
        <w:ind w:firstLine="720"/>
      </w:pPr>
      <w:r>
        <w:t xml:space="preserve">QOL instruments on DHH individuals, such as WHOQOL (Fellinger et al., 2005a), </w:t>
      </w:r>
      <w:proofErr w:type="spellStart"/>
      <w:r>
        <w:t>HRQoL</w:t>
      </w:r>
      <w:proofErr w:type="spellEnd"/>
      <w:r>
        <w:t xml:space="preserve"> (Huber, 2005), </w:t>
      </w:r>
      <w:proofErr w:type="spellStart"/>
      <w:r>
        <w:t>PedsQL</w:t>
      </w:r>
      <w:proofErr w:type="spellEnd"/>
      <w:r>
        <w:t xml:space="preserve"> (</w:t>
      </w:r>
      <w:proofErr w:type="spellStart"/>
      <w:r>
        <w:t>Arsic</w:t>
      </w:r>
      <w:proofErr w:type="spellEnd"/>
      <w:r>
        <w:t xml:space="preserve"> &amp; Djordjevic., 2017), HEAR-QL (Umansky et al., 2011), ILC (Himtermair, 2010), and YQOL-DHH (Skalicky et al., 2010; Patrick et al., 2011), play a crucial role in measuring and comparing variables related to QOL. Each instrument serves a specific purpose and has its own strengths and weaknesses, which should be considered when researching the QOL of DHH individuals. YQOL-DHH is the latest instrument of QOL designed to meet the needs of DHH individuals by delineating the relationships between health status, and intrinsic and extrinsic factors based specifically on the feedback and opinions of deaf adults about the issues that affect both their generic and deaf-specific QOL (</w:t>
      </w:r>
      <w:proofErr w:type="spellStart"/>
      <w:r>
        <w:t>Kushalnagar</w:t>
      </w:r>
      <w:proofErr w:type="spellEnd"/>
      <w:r>
        <w:t xml:space="preserve"> et al., 2015). The initial validation of the instrument showed good psychometric properties and was sensitive to adolescent concerns. It’s a significant step towards understanding and improving the QOL for deaf and hard-of-hearing youth.</w:t>
      </w:r>
    </w:p>
    <w:p w14:paraId="10CF69F4" w14:textId="77777777" w:rsidR="009E4375" w:rsidRDefault="00000000">
      <w:pPr>
        <w:spacing w:before="0" w:after="0"/>
        <w:ind w:firstLine="720"/>
      </w:pPr>
      <w:r>
        <w:t xml:space="preserve">This literature review has revealed that researchers currently focus on DHH children with cochlear implants about how their hearing loss affects their QOL (Brewis et al., 2020; Cejas et al., 2023; Crowson et al., 2017; Hofmann et al., 2020; Huber’ 2005; Looi et al., </w:t>
      </w:r>
      <w:proofErr w:type="gramStart"/>
      <w:r>
        <w:t xml:space="preserve">2016;  </w:t>
      </w:r>
      <w:proofErr w:type="spellStart"/>
      <w:r>
        <w:t>Marschark</w:t>
      </w:r>
      <w:proofErr w:type="spellEnd"/>
      <w:proofErr w:type="gramEnd"/>
      <w:r>
        <w:t xml:space="preserve"> et al. 2018; </w:t>
      </w:r>
      <w:proofErr w:type="spellStart"/>
      <w:r>
        <w:t>Umat</w:t>
      </w:r>
      <w:proofErr w:type="spellEnd"/>
      <w:r>
        <w:t xml:space="preserve"> et al., 2019) and how they are affected by it. In some </w:t>
      </w:r>
      <w:proofErr w:type="gramStart"/>
      <w:r>
        <w:t>studies</w:t>
      </w:r>
      <w:proofErr w:type="gramEnd"/>
      <w:r>
        <w:t xml:space="preserve"> related to QOL, there is a focus on specific educational settings </w:t>
      </w:r>
      <w:r>
        <w:lastRenderedPageBreak/>
        <w:t>and their comparisons (</w:t>
      </w:r>
      <w:proofErr w:type="spellStart"/>
      <w:r>
        <w:t>Arsic</w:t>
      </w:r>
      <w:proofErr w:type="spellEnd"/>
      <w:r>
        <w:t xml:space="preserve"> &amp; Djordjevic, 2017; Chen, 2020; Gilman et al., 2004; Qi et al., 2020; Schick et al., </w:t>
      </w:r>
      <w:proofErr w:type="gramStart"/>
      <w:r>
        <w:t>2013 )</w:t>
      </w:r>
      <w:proofErr w:type="gramEnd"/>
      <w:r>
        <w:t>. For example, studies focus on the differences in QOL between residential school students and those who were enrolled in inclusion programs for elementary, middle, and high school (van der Straaten et al., 2020). Other researchers have studied deaf participants’ self-esteem based on their communication at home and at school, whether using oral methods, Sim-Com, or signed language (</w:t>
      </w:r>
      <w:proofErr w:type="spellStart"/>
      <w:r>
        <w:t>Hintermair</w:t>
      </w:r>
      <w:proofErr w:type="spellEnd"/>
      <w:r>
        <w:t xml:space="preserve">, 2008; </w:t>
      </w:r>
      <w:proofErr w:type="spellStart"/>
      <w:r>
        <w:t>Kushalnagar</w:t>
      </w:r>
      <w:proofErr w:type="spellEnd"/>
      <w:r>
        <w:t xml:space="preserve"> et al., 2011). Such factors, particularly the use of signed language, have been known to affect the QOL outcome (</w:t>
      </w:r>
      <w:proofErr w:type="spellStart"/>
      <w:r>
        <w:t>Grutta</w:t>
      </w:r>
      <w:proofErr w:type="spellEnd"/>
      <w:r>
        <w:t xml:space="preserve"> et al., 2023; </w:t>
      </w:r>
      <w:proofErr w:type="spellStart"/>
      <w:r>
        <w:t>Holmstram</w:t>
      </w:r>
      <w:proofErr w:type="spellEnd"/>
      <w:r>
        <w:t>, 2022). Other studies of QOL have compared QOL constructs between students with and without disabilities (</w:t>
      </w:r>
      <w:proofErr w:type="spellStart"/>
      <w:r>
        <w:t>Hintermair</w:t>
      </w:r>
      <w:proofErr w:type="spellEnd"/>
      <w:r>
        <w:t>, 2011; Schlesinger, 2000). Some studies focus on the mental health in the QOL among DHH individuals (</w:t>
      </w:r>
      <w:proofErr w:type="spellStart"/>
      <w:r>
        <w:t>Aanodsen</w:t>
      </w:r>
      <w:proofErr w:type="spellEnd"/>
      <w:r>
        <w:t xml:space="preserve"> et al., 2018; </w:t>
      </w:r>
      <w:proofErr w:type="spellStart"/>
      <w:r>
        <w:t>Aanodsen</w:t>
      </w:r>
      <w:proofErr w:type="spellEnd"/>
      <w:r>
        <w:t xml:space="preserve"> et al., </w:t>
      </w:r>
      <w:proofErr w:type="gramStart"/>
      <w:r>
        <w:t xml:space="preserve">2023;  </w:t>
      </w:r>
      <w:proofErr w:type="spellStart"/>
      <w:r>
        <w:t>Ashori</w:t>
      </w:r>
      <w:proofErr w:type="spellEnd"/>
      <w:proofErr w:type="gramEnd"/>
      <w:r>
        <w:t xml:space="preserve"> &amp; </w:t>
      </w:r>
      <w:proofErr w:type="spellStart"/>
      <w:r>
        <w:t>Abkenar</w:t>
      </w:r>
      <w:proofErr w:type="spellEnd"/>
      <w:r>
        <w:t>, 2021; Fellinger, 2007).</w:t>
      </w:r>
    </w:p>
    <w:p w14:paraId="10CF69F5" w14:textId="77777777" w:rsidR="009E4375" w:rsidRDefault="00000000">
      <w:pPr>
        <w:spacing w:before="0" w:after="0"/>
        <w:ind w:firstLine="720"/>
      </w:pPr>
      <w:r>
        <w:t xml:space="preserve">This literature review provided me with the necessary information to conduct a study on the effects of mode communication on the QOL of DHH adults who have completed their schooling. However, there is a gap in the current literature on </w:t>
      </w:r>
      <w:proofErr w:type="gramStart"/>
      <w:r>
        <w:t>the QOL</w:t>
      </w:r>
      <w:proofErr w:type="gramEnd"/>
      <w:r>
        <w:t xml:space="preserve"> among DHH individuals </w:t>
      </w:r>
      <w:proofErr w:type="gramStart"/>
      <w:r>
        <w:t>as a result of</w:t>
      </w:r>
      <w:proofErr w:type="gramEnd"/>
      <w:r>
        <w:t xml:space="preserve"> this study. It has been found that most studies on DHH students concentrate on children and adolescents. Therefore, there is a need for research that focuses on </w:t>
      </w:r>
      <w:proofErr w:type="gramStart"/>
      <w:r>
        <w:t>the QOL</w:t>
      </w:r>
      <w:proofErr w:type="gramEnd"/>
      <w:r>
        <w:t xml:space="preserve"> for DHH adults. This would help lead to a better understanding of the challenges and successes of DHH individuals as adults.</w:t>
      </w:r>
    </w:p>
    <w:p w14:paraId="10CF69F6" w14:textId="77777777" w:rsidR="009E4375" w:rsidRDefault="00000000">
      <w:pPr>
        <w:pStyle w:val="Heading1"/>
        <w:jc w:val="left"/>
      </w:pPr>
      <w:r>
        <w:br w:type="page"/>
      </w:r>
    </w:p>
    <w:p w14:paraId="10CF69F7" w14:textId="77777777" w:rsidR="009E4375" w:rsidRDefault="00000000">
      <w:pPr>
        <w:pStyle w:val="Heading1"/>
      </w:pPr>
      <w:bookmarkStart w:id="47" w:name="_Toc214490403"/>
      <w:r>
        <w:lastRenderedPageBreak/>
        <w:t>CHAPTER III</w:t>
      </w:r>
      <w:bookmarkEnd w:id="47"/>
    </w:p>
    <w:p w14:paraId="10CF69F8" w14:textId="77777777" w:rsidR="009E4375" w:rsidRDefault="00000000">
      <w:pPr>
        <w:pStyle w:val="Heading2"/>
      </w:pPr>
      <w:bookmarkStart w:id="48" w:name="_Toc214490404"/>
      <w:r>
        <w:t>Methodology</w:t>
      </w:r>
      <w:bookmarkEnd w:id="48"/>
    </w:p>
    <w:p w14:paraId="10CF69F9" w14:textId="77777777" w:rsidR="009E4375" w:rsidRDefault="009E4375">
      <w:pPr>
        <w:spacing w:before="0" w:after="0"/>
      </w:pPr>
    </w:p>
    <w:p w14:paraId="10CF69FA" w14:textId="77777777" w:rsidR="009E4375" w:rsidRDefault="00000000">
      <w:pPr>
        <w:pStyle w:val="Heading3"/>
      </w:pPr>
      <w:bookmarkStart w:id="49" w:name="_Toc214490405"/>
      <w:r>
        <w:t>Introduction</w:t>
      </w:r>
      <w:bookmarkEnd w:id="49"/>
    </w:p>
    <w:p w14:paraId="10CF69FB" w14:textId="77777777" w:rsidR="009E4375" w:rsidRDefault="00000000">
      <w:pPr>
        <w:ind w:firstLine="720"/>
      </w:pPr>
      <w:r>
        <w:t xml:space="preserve">The study aims to investigate whether methods of communication (i.e., BIM, KTBM, Sim-Com) during the formative school years affect the QOL of deaf adults in Malaysia through subsequent positive or adverse life experiences after schooling. Data </w:t>
      </w:r>
      <w:proofErr w:type="gramStart"/>
      <w:r>
        <w:t>are</w:t>
      </w:r>
      <w:proofErr w:type="gramEnd"/>
      <w:r>
        <w:t xml:space="preserve"> collected via a questionnaire with three sections. Section 1 measures levels of satisfaction on the signed languages used by deaf Malaysians. Section 2 is the YQOL-DHH survey with minor modification. Section 3 is for the collection of demographic information. This survey, called the Adapted Quality of Life for Deaf and Hard of Hearing (AQOL-DHH) survey, is used to investigate three categories of research questions. </w:t>
      </w:r>
    </w:p>
    <w:p w14:paraId="10CF69FC" w14:textId="77777777" w:rsidR="009E4375" w:rsidRDefault="00000000">
      <w:pPr>
        <w:pStyle w:val="Heading4"/>
      </w:pPr>
      <w:bookmarkStart w:id="50" w:name="_Toc214490406"/>
      <w:r>
        <w:t>Research Questions</w:t>
      </w:r>
      <w:bookmarkEnd w:id="50"/>
    </w:p>
    <w:p w14:paraId="10CF69FD" w14:textId="77777777" w:rsidR="009E4375" w:rsidRDefault="00000000">
      <w:pPr>
        <w:numPr>
          <w:ilvl w:val="0"/>
          <w:numId w:val="14"/>
        </w:numPr>
        <w:spacing w:after="0"/>
      </w:pPr>
      <w:r>
        <w:t xml:space="preserve">Are there demographic variables that relate to higher or lesser QOL outcomes for deaf Malaysians? </w:t>
      </w:r>
    </w:p>
    <w:p w14:paraId="10CF69FE" w14:textId="77777777" w:rsidR="009E4375" w:rsidRDefault="00000000">
      <w:pPr>
        <w:numPr>
          <w:ilvl w:val="1"/>
          <w:numId w:val="24"/>
        </w:numPr>
        <w:spacing w:before="0" w:after="0"/>
        <w:ind w:left="1170" w:hanging="450"/>
      </w:pPr>
      <w:r>
        <w:t>Is there a difference in QOL and QOL domains (participation, self-acceptance/advocacy, and perceived stigma) among deaf adults based on the signed communication most often used?</w:t>
      </w:r>
    </w:p>
    <w:p w14:paraId="10CF69FF" w14:textId="77777777" w:rsidR="009E4375" w:rsidRDefault="00000000">
      <w:pPr>
        <w:numPr>
          <w:ilvl w:val="1"/>
          <w:numId w:val="24"/>
        </w:numPr>
        <w:spacing w:before="0" w:after="0"/>
        <w:ind w:left="1170" w:hanging="450"/>
      </w:pPr>
      <w:r>
        <w:t xml:space="preserve">Is there a difference in QOL among deaf adults based on gender? </w:t>
      </w:r>
    </w:p>
    <w:p w14:paraId="10CF6A00" w14:textId="77777777" w:rsidR="009E4375" w:rsidRDefault="00000000">
      <w:pPr>
        <w:numPr>
          <w:ilvl w:val="1"/>
          <w:numId w:val="24"/>
        </w:numPr>
        <w:spacing w:before="0" w:after="0"/>
        <w:ind w:left="1170" w:hanging="450"/>
      </w:pPr>
      <w:r>
        <w:t xml:space="preserve">Is there a difference in QOL among deaf adults based on race? </w:t>
      </w:r>
    </w:p>
    <w:p w14:paraId="10CF6A01" w14:textId="77777777" w:rsidR="009E4375" w:rsidRDefault="00000000">
      <w:pPr>
        <w:numPr>
          <w:ilvl w:val="1"/>
          <w:numId w:val="24"/>
        </w:numPr>
        <w:spacing w:before="0" w:after="0"/>
        <w:ind w:left="1170" w:hanging="450"/>
      </w:pPr>
      <w:r>
        <w:t xml:space="preserve">Is there a difference in QOL among deaf adults based on deaf or hard of hearing identity? </w:t>
      </w:r>
    </w:p>
    <w:p w14:paraId="10CF6A02" w14:textId="77777777" w:rsidR="009E4375" w:rsidRDefault="009E4375">
      <w:pPr>
        <w:spacing w:before="0" w:after="0"/>
      </w:pPr>
    </w:p>
    <w:p w14:paraId="10CF6A03" w14:textId="77777777" w:rsidR="009E4375" w:rsidRDefault="00000000">
      <w:pPr>
        <w:numPr>
          <w:ilvl w:val="0"/>
          <w:numId w:val="24"/>
        </w:numPr>
        <w:spacing w:before="0" w:after="0"/>
      </w:pPr>
      <w:r>
        <w:t>What is the relationship between deaf Malaysians’ satisfaction with the signed communication used during one’s formative school years and their QOL in adulthood?</w:t>
      </w:r>
    </w:p>
    <w:p w14:paraId="10CF6A04" w14:textId="77777777" w:rsidR="009E4375" w:rsidRDefault="00000000">
      <w:pPr>
        <w:numPr>
          <w:ilvl w:val="1"/>
          <w:numId w:val="24"/>
        </w:numPr>
        <w:spacing w:before="0" w:after="0"/>
      </w:pPr>
      <w:r>
        <w:t>What is the relationship between deaf Malaysians’ satisfaction with the signed communication used in the school during the formative school years and their QOL in adulthood?</w:t>
      </w:r>
    </w:p>
    <w:p w14:paraId="10CF6A05" w14:textId="77777777" w:rsidR="009E4375" w:rsidRDefault="00000000">
      <w:pPr>
        <w:numPr>
          <w:ilvl w:val="1"/>
          <w:numId w:val="24"/>
        </w:numPr>
        <w:spacing w:before="0" w:after="0"/>
      </w:pPr>
      <w:r>
        <w:lastRenderedPageBreak/>
        <w:t>What is the relationship between deaf Malaysians’ satisfaction with the signed communication used with their family members at home during their formative school years and their QOL in adulthood?</w:t>
      </w:r>
    </w:p>
    <w:p w14:paraId="10CF6A06" w14:textId="77777777" w:rsidR="009E4375" w:rsidRDefault="00000000">
      <w:pPr>
        <w:numPr>
          <w:ilvl w:val="1"/>
          <w:numId w:val="24"/>
        </w:numPr>
        <w:spacing w:before="0" w:after="0"/>
      </w:pPr>
      <w:r>
        <w:t>What is the relationship between deaf Malaysians’ satisfaction with the signed communication used with their friends in the dormitories during their formative school years and their QOL in adulthood?</w:t>
      </w:r>
    </w:p>
    <w:p w14:paraId="10CF6A07" w14:textId="77777777" w:rsidR="009E4375" w:rsidRDefault="009E4375">
      <w:pPr>
        <w:spacing w:before="0" w:after="0"/>
        <w:ind w:left="1440"/>
      </w:pPr>
    </w:p>
    <w:p w14:paraId="10CF6A08" w14:textId="77777777" w:rsidR="009E4375" w:rsidRDefault="00000000">
      <w:pPr>
        <w:numPr>
          <w:ilvl w:val="0"/>
          <w:numId w:val="24"/>
        </w:numPr>
        <w:spacing w:before="0" w:after="0"/>
      </w:pPr>
      <w:r>
        <w:t>Does the signed communication most often used during one’s previous school years impact deaf Malaysian’s QOL in adulthood?</w:t>
      </w:r>
    </w:p>
    <w:p w14:paraId="10CF6A09" w14:textId="77777777" w:rsidR="009E4375" w:rsidRDefault="00000000">
      <w:pPr>
        <w:numPr>
          <w:ilvl w:val="1"/>
          <w:numId w:val="24"/>
        </w:numPr>
        <w:spacing w:before="0" w:after="0"/>
      </w:pPr>
      <w:r>
        <w:t xml:space="preserve">Is there a difference in QOL for deaf Malaysians based on the type of signed communication they most often used in their previous schooling? </w:t>
      </w:r>
    </w:p>
    <w:p w14:paraId="10CF6A0A" w14:textId="77777777" w:rsidR="009E4375" w:rsidRDefault="00000000">
      <w:pPr>
        <w:numPr>
          <w:ilvl w:val="1"/>
          <w:numId w:val="24"/>
        </w:numPr>
        <w:spacing w:before="0" w:after="0"/>
      </w:pPr>
      <w:r>
        <w:t xml:space="preserve">Is there a difference in QOL for deaf Malaysians based on the type of signed communication they most often used with their family members at home during their formative school years? </w:t>
      </w:r>
    </w:p>
    <w:p w14:paraId="10CF6A0B" w14:textId="77777777" w:rsidR="009E4375" w:rsidRDefault="00000000">
      <w:pPr>
        <w:numPr>
          <w:ilvl w:val="1"/>
          <w:numId w:val="24"/>
        </w:numPr>
        <w:spacing w:before="0" w:after="200"/>
      </w:pPr>
      <w:r>
        <w:t xml:space="preserve">Is there a difference in QOL for deaf Malaysians based on the type of signed communication they most often used with their friends in the dormitories during their formative school years? </w:t>
      </w:r>
    </w:p>
    <w:p w14:paraId="10CF6A0C" w14:textId="77777777" w:rsidR="009E4375" w:rsidRDefault="00000000">
      <w:pPr>
        <w:pStyle w:val="Heading3"/>
      </w:pPr>
      <w:bookmarkStart w:id="51" w:name="_Toc214490407"/>
      <w:r>
        <w:t>Study Setting</w:t>
      </w:r>
      <w:bookmarkEnd w:id="51"/>
    </w:p>
    <w:p w14:paraId="10CF6A0D" w14:textId="77777777" w:rsidR="009E4375" w:rsidRDefault="00000000">
      <w:pPr>
        <w:spacing w:before="0" w:after="0"/>
        <w:ind w:firstLine="720"/>
      </w:pPr>
      <w:r>
        <w:t>The survey was distributed to participants through social media accounts of Deaf organizations and friends of the Deaf Community in Malaysia. The participants completed the survey on the Qualtrics survey platform (https://www.qualtrics.com) by clicking on the survey link on their phones or computers. The anticipated length of administration of the YQOL-DHH in Qualtrics is between 20-25 minutes. The Qualtrics platform not only creates and distributes surveys but also analyzes results and reveals valuable insights. Data can be collected, organized, and understood through this platform. Further, the tool provides participants with the ability to select a language other than English, such as Malay or sign language, once those translations are inserted.</w:t>
      </w:r>
    </w:p>
    <w:p w14:paraId="10CF6A0E" w14:textId="77777777" w:rsidR="009E4375" w:rsidRDefault="009E4375">
      <w:pPr>
        <w:spacing w:before="0" w:after="0"/>
        <w:ind w:firstLine="720"/>
      </w:pPr>
    </w:p>
    <w:p w14:paraId="10CF6A0F" w14:textId="77777777" w:rsidR="009E4375" w:rsidRDefault="00000000">
      <w:pPr>
        <w:pStyle w:val="Heading4"/>
      </w:pPr>
      <w:bookmarkStart w:id="52" w:name="_Toc214490408"/>
      <w:r>
        <w:lastRenderedPageBreak/>
        <w:t>Ethics and Pilot Study</w:t>
      </w:r>
      <w:bookmarkEnd w:id="52"/>
    </w:p>
    <w:p w14:paraId="10CF6A10" w14:textId="77777777" w:rsidR="009E4375" w:rsidRDefault="00000000">
      <w:pPr>
        <w:spacing w:before="0" w:after="0"/>
        <w:ind w:firstLine="720"/>
      </w:pPr>
      <w:r>
        <w:t xml:space="preserve">To conduct my research ethically, I adhered to various research standards during the data collection and analysis process and beyond. In compliance with ethical research standards, I received Institutional Review Board (IRB) approval for my pilot study, which involved administering the YQOL-DHH instrument to a small group of deaf Malaysian participants and then revising the survey based on their feedback. The original YQOL-DHH instrument was translated using forward-backward translation and adjusted to meet cross-cultural needs. Cognitive debriefing occurred to inform the revision of the survey which is being used in this dissertation research. Cognitive debriefing was used to identify respondents' difficulties in understanding the survey instructions, and whether intended concepts were understood through the language translations utilized (García, 2011; Patrik &amp; Edwards, 2013; Willis, 2004). According to the feedback from the pilot study, most of the signing videos were improved to assist the participants in understanding the survey better. Thus, the revised survey being used in this study has gone through a rigorous translation and validation process.  In the pilot study, all participants signed an informed consent. In the current dissertation research, ethics clearance similarly was sought before collecting data. </w:t>
      </w:r>
    </w:p>
    <w:p w14:paraId="10CF6A11" w14:textId="77777777" w:rsidR="009E4375" w:rsidRDefault="009E4375">
      <w:pPr>
        <w:spacing w:before="0" w:after="0"/>
        <w:ind w:firstLine="720"/>
      </w:pPr>
    </w:p>
    <w:p w14:paraId="10CF6A12" w14:textId="77777777" w:rsidR="009E4375" w:rsidRDefault="00000000">
      <w:pPr>
        <w:pStyle w:val="Heading3"/>
      </w:pPr>
      <w:bookmarkStart w:id="53" w:name="_Toc214490409"/>
      <w:r>
        <w:t>Sampling Procedure</w:t>
      </w:r>
      <w:bookmarkEnd w:id="53"/>
    </w:p>
    <w:p w14:paraId="10CF6A13" w14:textId="77777777" w:rsidR="009E4375" w:rsidRDefault="00000000">
      <w:pPr>
        <w:spacing w:before="0" w:after="0"/>
        <w:ind w:firstLine="720"/>
      </w:pPr>
      <w:r>
        <w:t xml:space="preserve">Convenience sampling was used in this study to recruit </w:t>
      </w:r>
      <w:proofErr w:type="gramStart"/>
      <w:r>
        <w:t>sufficient numbers of</w:t>
      </w:r>
      <w:proofErr w:type="gramEnd"/>
      <w:r>
        <w:t xml:space="preserve"> participants who use various communication methods (i.e., BIM, KTBM, Sim-Com). I requested the assistance of several groups and people to distribute the survey to the target participants. They included a group of deaf teachers, associations that serve deaf Malaysians, the Malaysia Federation of the Deaf (MFD), and its associations that represent each state in Malaysia. I had a group of deaf teachers assist me in distributing the survey to their former students. In addition, the survey was distributed through social media outlets such as Facebook Messenger, Telegram, and WhatsApp. WhatsApp is a popular instant messaging application that deaf Malaysians use to communicate, network, and recruit participants. Word of mouth communication from the above sources may also enlist additional participants who are deaf and use various </w:t>
      </w:r>
      <w:r>
        <w:lastRenderedPageBreak/>
        <w:t>communication methods. There are no incentives or payments offered to participants. Participation was voluntary and collected data remained confidential.</w:t>
      </w:r>
    </w:p>
    <w:p w14:paraId="10CF6A14" w14:textId="77777777" w:rsidR="009E4375" w:rsidRDefault="009E4375" w:rsidP="00242FDD">
      <w:pPr>
        <w:spacing w:before="0" w:after="0"/>
        <w:ind w:firstLine="720"/>
      </w:pPr>
    </w:p>
    <w:p w14:paraId="10CF6A15" w14:textId="77777777" w:rsidR="009E4375" w:rsidRDefault="00000000">
      <w:pPr>
        <w:pStyle w:val="Heading3"/>
      </w:pPr>
      <w:bookmarkStart w:id="54" w:name="_Toc214490410"/>
      <w:r>
        <w:t>Participants</w:t>
      </w:r>
      <w:bookmarkEnd w:id="54"/>
    </w:p>
    <w:p w14:paraId="10CF6A16" w14:textId="77777777" w:rsidR="009E4375" w:rsidRDefault="00000000">
      <w:pPr>
        <w:spacing w:before="0" w:after="0"/>
        <w:ind w:firstLine="720"/>
      </w:pPr>
      <w:r>
        <w:t>The current study focuses on participants who are deaf, including those who use hearing aids and/or cochlear implants. Deaf participants with other disabilities such as blindness or learning disabilities are excluded from this research. Participants identified themselves as deaf or hard of hearing. They were not asked to provide audiograms or any medical reports. Participants in this study chose the category that best matched their identities.</w:t>
      </w:r>
    </w:p>
    <w:p w14:paraId="10CF6A17" w14:textId="77777777" w:rsidR="009E4375" w:rsidRDefault="00000000">
      <w:pPr>
        <w:spacing w:before="0" w:after="0"/>
        <w:ind w:firstLine="720"/>
      </w:pPr>
      <w:r>
        <w:t>The population of interest includes deaf adults who have had experience with signed communication during their previous schooling or college and have graduated at least from high school, polytechnic, college, or university.</w:t>
      </w:r>
    </w:p>
    <w:p w14:paraId="10CF6A18" w14:textId="77777777" w:rsidR="009E4375" w:rsidRDefault="00000000">
      <w:pPr>
        <w:spacing w:before="0" w:after="0"/>
        <w:ind w:firstLine="720"/>
      </w:pPr>
      <w:r>
        <w:t>A power analysis with three groups (BIM, KTBM, Sim-Com) of 40 participants each was conducted using an alpha of .05 and a power of 0.80. Based on this analysis, the size of the effect the study would be able to detect is f=.287, which is a medium-sized effect equivalent to Cohen's d of 0.57 or an R-squared of .076.</w:t>
      </w:r>
    </w:p>
    <w:p w14:paraId="10CF6A19" w14:textId="77777777" w:rsidR="009E4375" w:rsidRDefault="009E4375">
      <w:pPr>
        <w:spacing w:before="0" w:after="0"/>
        <w:ind w:firstLine="720"/>
      </w:pPr>
    </w:p>
    <w:p w14:paraId="10CF6A1A" w14:textId="77777777" w:rsidR="009E4375" w:rsidRDefault="00000000">
      <w:pPr>
        <w:pStyle w:val="Heading4"/>
      </w:pPr>
      <w:bookmarkStart w:id="55" w:name="_Toc214490411"/>
      <w:r>
        <w:t>Instrument</w:t>
      </w:r>
      <w:bookmarkEnd w:id="55"/>
    </w:p>
    <w:p w14:paraId="10CF6A1B" w14:textId="77777777" w:rsidR="009E4375" w:rsidRDefault="00000000" w:rsidP="001305C4">
      <w:pPr>
        <w:spacing w:before="0" w:after="0"/>
        <w:ind w:firstLine="720"/>
      </w:pPr>
      <w:r>
        <w:t xml:space="preserve">Patrick and his team at Seattle Quality of Life Group invented and developed a Youth Quality of Life survey for deaf and hard of hearing students (YQOL-DHH; Patrick et al., 2011). The YQOL-DHH instrument is self-administered and shows good cross-sectional reliability and validity for information such as gender, age, education and race for Deaf and hard of hearing participants (Patrick et al., 2011). I have adapted the YQOL-DHH survey for this research. </w:t>
      </w:r>
    </w:p>
    <w:p w14:paraId="10CF6A1C" w14:textId="77777777" w:rsidR="009E4375" w:rsidRDefault="00000000" w:rsidP="001305C4">
      <w:pPr>
        <w:spacing w:before="0" w:after="0"/>
        <w:ind w:firstLine="720"/>
        <w:rPr>
          <w:highlight w:val="yellow"/>
        </w:rPr>
      </w:pPr>
      <w:r>
        <w:t xml:space="preserve">The YQOL-DHH was explicitly designed to measure QOL for children and adolescents who are deaf and hard of hearing (DHH) ages 11-18 (Patrick et al., 2011).  The instrument evaluates a DHH person on their QOL across three categories including participation, self-acceptance and advocacy, and perceived stigma. It contains 32 total perceptual items. The self-acceptance/advocacy domain contains fourteen items, the perceived stigma domain contains eight items, and the participation domain contains </w:t>
      </w:r>
      <w:r>
        <w:lastRenderedPageBreak/>
        <w:t xml:space="preserve">ten items. The items are presented on an 11-point Likert scale ranging from very unsatisfied (0) to very satisfied (10) for each item. </w:t>
      </w:r>
    </w:p>
    <w:p w14:paraId="384B4EFC" w14:textId="1949A1DE" w:rsidR="005D6687" w:rsidRDefault="00000000" w:rsidP="009E6F6A">
      <w:pPr>
        <w:spacing w:before="0" w:after="0"/>
        <w:ind w:firstLine="720"/>
      </w:pPr>
      <w:r>
        <w:t xml:space="preserve">The YQOL-DHH is a reliable QOL instrument for children and adolescents who are DHH aged between 11 and 18 years old. See Table 1 for Cronbach Alpha data as reported in a US study conducted with students of this age range (Patrick et al., 2011); reliability for items associated with each domain ranged from 0.84-0.86. Additionally, </w:t>
      </w:r>
      <w:proofErr w:type="spellStart"/>
      <w:r>
        <w:t>Alsabei</w:t>
      </w:r>
      <w:proofErr w:type="spellEnd"/>
      <w:r>
        <w:t xml:space="preserve"> (2020) and </w:t>
      </w:r>
      <w:proofErr w:type="spellStart"/>
      <w:r>
        <w:t>Marschark</w:t>
      </w:r>
      <w:proofErr w:type="spellEnd"/>
      <w:r>
        <w:t xml:space="preserve"> et al. (2018) have used the instrument to examine participants ranging in age from 18 to 60 years old. The study by </w:t>
      </w:r>
      <w:proofErr w:type="spellStart"/>
      <w:r>
        <w:t>Alsabei</w:t>
      </w:r>
      <w:proofErr w:type="spellEnd"/>
      <w:r>
        <w:t xml:space="preserve"> (2020) was conducted with adults in Saudi Arabia; the Cronbach Alpha of items by domain ranged from 0.82 to 0.92 </w:t>
      </w:r>
      <w:proofErr w:type="gramStart"/>
      <w:r>
        <w:t>and also</w:t>
      </w:r>
      <w:proofErr w:type="gramEnd"/>
      <w:r>
        <w:t xml:space="preserve"> </w:t>
      </w:r>
      <w:proofErr w:type="spellStart"/>
      <w:r>
        <w:t>Ashori</w:t>
      </w:r>
      <w:proofErr w:type="spellEnd"/>
      <w:r>
        <w:t xml:space="preserve"> &amp; Rashidi (2020) (see Table 1). Based on these data, the YQOL-DHH has good reliability for each construct when applied to children and adults alike. </w:t>
      </w:r>
    </w:p>
    <w:p w14:paraId="7EA661BF" w14:textId="77777777" w:rsidR="009E6F6A" w:rsidRDefault="009E6F6A" w:rsidP="009E6F6A">
      <w:pPr>
        <w:spacing w:before="0" w:after="0"/>
        <w:ind w:firstLine="720"/>
      </w:pPr>
    </w:p>
    <w:p w14:paraId="10CF6A1E" w14:textId="77777777" w:rsidR="009E4375" w:rsidRDefault="00000000" w:rsidP="00B66D0B">
      <w:pPr>
        <w:spacing w:before="0" w:after="0"/>
        <w:rPr>
          <w:b/>
          <w:bCs/>
        </w:rPr>
      </w:pPr>
      <w:r>
        <w:rPr>
          <w:b/>
          <w:bCs/>
        </w:rPr>
        <w:t xml:space="preserve">Table 1 </w:t>
      </w:r>
    </w:p>
    <w:p w14:paraId="10CF6A1F" w14:textId="77777777" w:rsidR="009E4375" w:rsidRDefault="00000000">
      <w:pPr>
        <w:spacing w:before="0" w:after="200"/>
        <w:rPr>
          <w:i/>
          <w:iCs/>
        </w:rPr>
      </w:pPr>
      <w:r>
        <w:rPr>
          <w:i/>
          <w:iCs/>
        </w:rPr>
        <w:t>Cronbach’s Alpha for the scales from studies using the YQOL-DHH</w:t>
      </w:r>
    </w:p>
    <w:tbl>
      <w:tblPr>
        <w:tblStyle w:val="a"/>
        <w:tblpPr w:leftFromText="180" w:rightFromText="180" w:topFromText="180" w:bottomFromText="180" w:vertAnchor="text" w:tblpX="-20"/>
        <w:tblW w:w="9750" w:type="dxa"/>
        <w:tblInd w:w="0" w:type="dxa"/>
        <w:tblLayout w:type="fixed"/>
        <w:tblLook w:val="0400" w:firstRow="0" w:lastRow="0" w:firstColumn="0" w:lastColumn="0" w:noHBand="0" w:noVBand="1"/>
      </w:tblPr>
      <w:tblGrid>
        <w:gridCol w:w="1350"/>
        <w:gridCol w:w="2295"/>
        <w:gridCol w:w="1575"/>
        <w:gridCol w:w="1590"/>
        <w:gridCol w:w="1365"/>
        <w:gridCol w:w="1575"/>
      </w:tblGrid>
      <w:tr w:rsidR="009E4375" w14:paraId="10CF6A26" w14:textId="77777777">
        <w:tc>
          <w:tcPr>
            <w:tcW w:w="364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0" w14:textId="77777777" w:rsidR="009E4375" w:rsidRDefault="00000000">
            <w:pPr>
              <w:spacing w:before="0" w:after="0" w:line="240" w:lineRule="auto"/>
              <w:jc w:val="center"/>
              <w:rPr>
                <w:rFonts w:ascii="Times New Roman" w:eastAsia="Times New Roman" w:hAnsi="Times New Roman" w:cs="Times New Roman"/>
                <w:b/>
                <w:bCs/>
              </w:rPr>
            </w:pPr>
            <w:r>
              <w:rPr>
                <w:b/>
                <w:bCs/>
              </w:rPr>
              <w:t>Study</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1" w14:textId="77777777" w:rsidR="009E4375" w:rsidRDefault="00000000">
            <w:pPr>
              <w:spacing w:before="0" w:after="0" w:line="240" w:lineRule="auto"/>
              <w:jc w:val="center"/>
              <w:rPr>
                <w:rFonts w:ascii="Times New Roman" w:eastAsia="Times New Roman" w:hAnsi="Times New Roman" w:cs="Times New Roman"/>
                <w:b/>
                <w:bCs/>
              </w:rPr>
            </w:pPr>
            <w:r>
              <w:rPr>
                <w:b/>
                <w:bCs/>
              </w:rPr>
              <w:t>Patrick et al. (2011) </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2" w14:textId="77777777" w:rsidR="009E4375" w:rsidRDefault="00000000">
            <w:pPr>
              <w:spacing w:before="0" w:after="0" w:line="240" w:lineRule="auto"/>
              <w:jc w:val="center"/>
              <w:rPr>
                <w:b/>
                <w:bCs/>
              </w:rPr>
            </w:pPr>
            <w:proofErr w:type="spellStart"/>
            <w:r>
              <w:rPr>
                <w:b/>
                <w:bCs/>
              </w:rPr>
              <w:t>Alsabei</w:t>
            </w:r>
            <w:proofErr w:type="spellEnd"/>
            <w:r>
              <w:rPr>
                <w:b/>
                <w:bCs/>
              </w:rPr>
              <w:t xml:space="preserve"> </w:t>
            </w:r>
          </w:p>
          <w:p w14:paraId="10CF6A23" w14:textId="77777777" w:rsidR="009E4375" w:rsidRDefault="00000000">
            <w:pPr>
              <w:spacing w:before="0" w:after="0" w:line="240" w:lineRule="auto"/>
              <w:jc w:val="center"/>
              <w:rPr>
                <w:rFonts w:ascii="Times New Roman" w:eastAsia="Times New Roman" w:hAnsi="Times New Roman" w:cs="Times New Roman"/>
                <w:b/>
                <w:bCs/>
              </w:rPr>
            </w:pPr>
            <w:r>
              <w:rPr>
                <w:b/>
                <w:bCs/>
              </w:rPr>
              <w:t>(2020)</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4" w14:textId="77777777" w:rsidR="009E4375" w:rsidRDefault="00000000">
            <w:pPr>
              <w:spacing w:before="0" w:after="0" w:line="240" w:lineRule="auto"/>
              <w:jc w:val="center"/>
              <w:rPr>
                <w:b/>
                <w:bCs/>
              </w:rPr>
            </w:pPr>
            <w:proofErr w:type="spellStart"/>
            <w:r>
              <w:rPr>
                <w:b/>
                <w:bCs/>
              </w:rPr>
              <w:t>Ashori</w:t>
            </w:r>
            <w:proofErr w:type="spellEnd"/>
            <w:r>
              <w:rPr>
                <w:b/>
                <w:bCs/>
              </w:rPr>
              <w:t xml:space="preserve"> &amp; Rashidi (2020)</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5" w14:textId="77777777" w:rsidR="009E4375" w:rsidRDefault="00000000">
            <w:pPr>
              <w:spacing w:before="0" w:after="0" w:line="240" w:lineRule="auto"/>
              <w:jc w:val="center"/>
              <w:rPr>
                <w:b/>
                <w:bCs/>
              </w:rPr>
            </w:pPr>
            <w:r>
              <w:rPr>
                <w:b/>
                <w:bCs/>
              </w:rPr>
              <w:t>This study</w:t>
            </w:r>
          </w:p>
        </w:tc>
      </w:tr>
      <w:tr w:rsidR="009E4375" w14:paraId="10CF6A2C" w14:textId="77777777">
        <w:trPr>
          <w:trHeight w:val="735"/>
        </w:trPr>
        <w:tc>
          <w:tcPr>
            <w:tcW w:w="364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7" w14:textId="77777777" w:rsidR="009E4375" w:rsidRDefault="00000000">
            <w:pPr>
              <w:spacing w:before="0" w:after="0" w:line="240" w:lineRule="auto"/>
              <w:jc w:val="center"/>
              <w:rPr>
                <w:rFonts w:ascii="Times New Roman" w:eastAsia="Times New Roman" w:hAnsi="Times New Roman" w:cs="Times New Roman"/>
                <w:b/>
                <w:bCs/>
              </w:rPr>
            </w:pPr>
            <w:r>
              <w:rPr>
                <w:b/>
                <w:bCs/>
              </w:rPr>
              <w:t>The country the study examined</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8" w14:textId="77777777" w:rsidR="009E4375" w:rsidRDefault="00000000">
            <w:pPr>
              <w:spacing w:before="0" w:after="0" w:line="240" w:lineRule="auto"/>
              <w:jc w:val="center"/>
              <w:rPr>
                <w:rFonts w:ascii="Times New Roman" w:eastAsia="Times New Roman" w:hAnsi="Times New Roman" w:cs="Times New Roman"/>
              </w:rPr>
            </w:pPr>
            <w:r>
              <w:t>United States of America</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9" w14:textId="77777777" w:rsidR="009E4375" w:rsidRDefault="00000000">
            <w:pPr>
              <w:spacing w:before="0" w:after="0" w:line="240" w:lineRule="auto"/>
              <w:jc w:val="center"/>
              <w:rPr>
                <w:rFonts w:ascii="Times New Roman" w:eastAsia="Times New Roman" w:hAnsi="Times New Roman" w:cs="Times New Roman"/>
              </w:rPr>
            </w:pPr>
            <w:r>
              <w:t>Saudi Arabia</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A" w14:textId="77777777" w:rsidR="009E4375" w:rsidRDefault="00000000">
            <w:pPr>
              <w:spacing w:before="0" w:after="0" w:line="240" w:lineRule="auto"/>
              <w:jc w:val="center"/>
            </w:pPr>
            <w:r>
              <w:t>Iran</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B" w14:textId="77777777" w:rsidR="009E4375" w:rsidRDefault="00000000">
            <w:pPr>
              <w:spacing w:before="0" w:after="0" w:line="240" w:lineRule="auto"/>
              <w:jc w:val="center"/>
            </w:pPr>
            <w:r>
              <w:t>Malaysia</w:t>
            </w:r>
          </w:p>
        </w:tc>
      </w:tr>
      <w:tr w:rsidR="009E4375" w14:paraId="10CF6A32" w14:textId="77777777">
        <w:trPr>
          <w:trHeight w:val="495"/>
        </w:trPr>
        <w:tc>
          <w:tcPr>
            <w:tcW w:w="3645"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D" w14:textId="77777777" w:rsidR="009E4375" w:rsidRDefault="00000000">
            <w:pPr>
              <w:spacing w:before="0" w:after="0" w:line="240" w:lineRule="auto"/>
              <w:jc w:val="center"/>
              <w:rPr>
                <w:rFonts w:ascii="Times New Roman" w:eastAsia="Times New Roman" w:hAnsi="Times New Roman" w:cs="Times New Roman"/>
                <w:b/>
                <w:bCs/>
              </w:rPr>
            </w:pPr>
            <w:r>
              <w:rPr>
                <w:b/>
                <w:bCs/>
              </w:rPr>
              <w:t>Age</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E" w14:textId="77777777" w:rsidR="009E4375" w:rsidRDefault="00000000">
            <w:pPr>
              <w:spacing w:before="0" w:after="0" w:line="240" w:lineRule="auto"/>
              <w:jc w:val="center"/>
              <w:rPr>
                <w:rFonts w:ascii="Times New Roman" w:eastAsia="Times New Roman" w:hAnsi="Times New Roman" w:cs="Times New Roman"/>
              </w:rPr>
            </w:pPr>
            <w:r>
              <w:t>11 - 18 years old</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2F" w14:textId="77777777" w:rsidR="009E4375" w:rsidRDefault="00000000">
            <w:pPr>
              <w:spacing w:before="0" w:after="0" w:line="240" w:lineRule="auto"/>
              <w:jc w:val="center"/>
              <w:rPr>
                <w:rFonts w:ascii="Times New Roman" w:eastAsia="Times New Roman" w:hAnsi="Times New Roman" w:cs="Times New Roman"/>
              </w:rPr>
            </w:pPr>
            <w:r>
              <w:t>18 - 60 years old</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0" w14:textId="77777777" w:rsidR="009E4375" w:rsidRDefault="00000000">
            <w:pPr>
              <w:spacing w:before="0" w:after="0" w:line="240" w:lineRule="auto"/>
              <w:jc w:val="center"/>
            </w:pPr>
            <w:r>
              <w:t>11 - 19 years old</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1" w14:textId="77777777" w:rsidR="009E4375" w:rsidRDefault="00000000">
            <w:pPr>
              <w:spacing w:before="0" w:after="0" w:line="240" w:lineRule="auto"/>
              <w:jc w:val="center"/>
            </w:pPr>
            <w:r>
              <w:t>18 - 60 years old</w:t>
            </w:r>
          </w:p>
        </w:tc>
      </w:tr>
      <w:tr w:rsidR="009E4375" w14:paraId="10CF6A39" w14:textId="77777777">
        <w:trPr>
          <w:trHeight w:val="671"/>
        </w:trPr>
        <w:tc>
          <w:tcPr>
            <w:tcW w:w="135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3" w14:textId="77777777" w:rsidR="009E4375" w:rsidRDefault="00000000">
            <w:pPr>
              <w:spacing w:before="0" w:after="0" w:line="240" w:lineRule="auto"/>
              <w:ind w:left="113" w:right="113"/>
              <w:jc w:val="center"/>
              <w:rPr>
                <w:rFonts w:ascii="Times New Roman" w:eastAsia="Times New Roman" w:hAnsi="Times New Roman" w:cs="Times New Roman"/>
                <w:b/>
                <w:bCs/>
              </w:rPr>
            </w:pPr>
            <w:r>
              <w:rPr>
                <w:b/>
                <w:bCs/>
              </w:rPr>
              <w:t>Domain</w:t>
            </w:r>
          </w:p>
        </w:tc>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4" w14:textId="77777777" w:rsidR="009E4375" w:rsidRDefault="00000000">
            <w:pPr>
              <w:spacing w:before="0" w:after="0" w:line="240" w:lineRule="auto"/>
              <w:rPr>
                <w:rFonts w:ascii="Times New Roman" w:eastAsia="Times New Roman" w:hAnsi="Times New Roman" w:cs="Times New Roman"/>
                <w:b/>
                <w:bCs/>
              </w:rPr>
            </w:pPr>
            <w:r>
              <w:rPr>
                <w:b/>
                <w:bCs/>
              </w:rPr>
              <w:t>Self-acceptance/ advocacy</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5" w14:textId="77777777" w:rsidR="009E4375" w:rsidRDefault="00000000">
            <w:pPr>
              <w:spacing w:before="0" w:after="0" w:line="240" w:lineRule="auto"/>
              <w:jc w:val="center"/>
              <w:rPr>
                <w:rFonts w:ascii="Times New Roman" w:eastAsia="Times New Roman" w:hAnsi="Times New Roman" w:cs="Times New Roman"/>
              </w:rPr>
            </w:pPr>
            <w:r>
              <w:t>0.84</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6" w14:textId="77777777" w:rsidR="009E4375" w:rsidRDefault="00000000">
            <w:pPr>
              <w:spacing w:before="0" w:after="0" w:line="240" w:lineRule="auto"/>
              <w:jc w:val="center"/>
              <w:rPr>
                <w:rFonts w:ascii="Times New Roman" w:eastAsia="Times New Roman" w:hAnsi="Times New Roman" w:cs="Times New Roman"/>
              </w:rPr>
            </w:pPr>
            <w:r>
              <w:t>0.92</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7" w14:textId="77777777" w:rsidR="009E4375" w:rsidRDefault="00000000">
            <w:pPr>
              <w:spacing w:before="0" w:after="0" w:line="240" w:lineRule="auto"/>
              <w:jc w:val="center"/>
            </w:pPr>
            <w:r>
              <w:t>0.84</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8" w14:textId="77777777" w:rsidR="009E4375" w:rsidRDefault="00000000">
            <w:pPr>
              <w:spacing w:before="0" w:after="0" w:line="240" w:lineRule="auto"/>
              <w:jc w:val="center"/>
            </w:pPr>
            <w:r>
              <w:t>0.87</w:t>
            </w:r>
          </w:p>
        </w:tc>
      </w:tr>
      <w:tr w:rsidR="009E4375" w14:paraId="10CF6A40" w14:textId="77777777">
        <w:trPr>
          <w:trHeight w:val="525"/>
        </w:trPr>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A" w14:textId="77777777" w:rsidR="009E4375" w:rsidRDefault="009E4375">
            <w:pPr>
              <w:widowControl w:val="0"/>
              <w:spacing w:after="0" w:line="276" w:lineRule="auto"/>
              <w:jc w:val="center"/>
              <w:rPr>
                <w:rFonts w:ascii="Times New Roman" w:eastAsia="Times New Roman" w:hAnsi="Times New Roman" w:cs="Times New Roman"/>
              </w:rPr>
            </w:pPr>
          </w:p>
        </w:tc>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B" w14:textId="77777777" w:rsidR="009E4375" w:rsidRDefault="00000000">
            <w:pPr>
              <w:spacing w:before="0" w:after="0" w:line="240" w:lineRule="auto"/>
              <w:rPr>
                <w:rFonts w:ascii="Times New Roman" w:eastAsia="Times New Roman" w:hAnsi="Times New Roman" w:cs="Times New Roman"/>
                <w:b/>
                <w:bCs/>
              </w:rPr>
            </w:pPr>
            <w:r>
              <w:rPr>
                <w:b/>
                <w:bCs/>
              </w:rPr>
              <w:t>Perceived stigma</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C" w14:textId="77777777" w:rsidR="009E4375" w:rsidRDefault="00000000">
            <w:pPr>
              <w:spacing w:before="0" w:after="0" w:line="240" w:lineRule="auto"/>
              <w:jc w:val="center"/>
              <w:rPr>
                <w:rFonts w:ascii="Times New Roman" w:eastAsia="Times New Roman" w:hAnsi="Times New Roman" w:cs="Times New Roman"/>
              </w:rPr>
            </w:pPr>
            <w:r>
              <w:t>0.85</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D" w14:textId="77777777" w:rsidR="009E4375" w:rsidRDefault="00000000">
            <w:pPr>
              <w:spacing w:before="0" w:after="0" w:line="240" w:lineRule="auto"/>
              <w:jc w:val="center"/>
              <w:rPr>
                <w:rFonts w:ascii="Times New Roman" w:eastAsia="Times New Roman" w:hAnsi="Times New Roman" w:cs="Times New Roman"/>
              </w:rPr>
            </w:pPr>
            <w:r>
              <w:t>0.82</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E" w14:textId="77777777" w:rsidR="009E4375" w:rsidRDefault="00000000">
            <w:pPr>
              <w:spacing w:before="0" w:after="0" w:line="240" w:lineRule="auto"/>
              <w:jc w:val="center"/>
            </w:pPr>
            <w:r>
              <w:t>0.81</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3F" w14:textId="77777777" w:rsidR="009E4375" w:rsidRDefault="00000000">
            <w:pPr>
              <w:spacing w:before="0" w:after="0" w:line="240" w:lineRule="auto"/>
              <w:jc w:val="center"/>
            </w:pPr>
            <w:r>
              <w:t>0.85</w:t>
            </w:r>
          </w:p>
        </w:tc>
      </w:tr>
      <w:tr w:rsidR="009E4375" w14:paraId="10CF6A47" w14:textId="77777777">
        <w:trPr>
          <w:trHeight w:val="480"/>
        </w:trPr>
        <w:tc>
          <w:tcPr>
            <w:tcW w:w="135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41" w14:textId="77777777" w:rsidR="009E4375" w:rsidRDefault="009E4375">
            <w:pPr>
              <w:widowControl w:val="0"/>
              <w:spacing w:after="0" w:line="276" w:lineRule="auto"/>
              <w:jc w:val="center"/>
              <w:rPr>
                <w:rFonts w:ascii="Times New Roman" w:eastAsia="Times New Roman" w:hAnsi="Times New Roman" w:cs="Times New Roman"/>
              </w:rPr>
            </w:pPr>
          </w:p>
        </w:tc>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0CF6A42" w14:textId="77777777" w:rsidR="009E4375" w:rsidRDefault="00000000">
            <w:pPr>
              <w:spacing w:before="0" w:after="0" w:line="240" w:lineRule="auto"/>
              <w:rPr>
                <w:rFonts w:ascii="Times New Roman" w:eastAsia="Times New Roman" w:hAnsi="Times New Roman" w:cs="Times New Roman"/>
                <w:b/>
                <w:bCs/>
              </w:rPr>
            </w:pPr>
            <w:r>
              <w:rPr>
                <w:b/>
                <w:bCs/>
              </w:rPr>
              <w:t>Participation</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CF6A43" w14:textId="77777777" w:rsidR="009E4375" w:rsidRDefault="00000000">
            <w:pPr>
              <w:spacing w:before="0" w:after="0" w:line="240" w:lineRule="auto"/>
              <w:jc w:val="center"/>
              <w:rPr>
                <w:rFonts w:ascii="Times New Roman" w:eastAsia="Times New Roman" w:hAnsi="Times New Roman" w:cs="Times New Roman"/>
              </w:rPr>
            </w:pPr>
            <w:r>
              <w:t>0.86</w:t>
            </w:r>
          </w:p>
        </w:tc>
        <w:tc>
          <w:tcPr>
            <w:tcW w:w="15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CF6A44" w14:textId="77777777" w:rsidR="009E4375" w:rsidRDefault="00000000">
            <w:pPr>
              <w:spacing w:before="0" w:after="0" w:line="240" w:lineRule="auto"/>
              <w:jc w:val="center"/>
              <w:rPr>
                <w:rFonts w:ascii="Times New Roman" w:eastAsia="Times New Roman" w:hAnsi="Times New Roman" w:cs="Times New Roman"/>
              </w:rPr>
            </w:pPr>
            <w:r>
              <w:t>0.88</w:t>
            </w: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CF6A45" w14:textId="77777777" w:rsidR="009E4375" w:rsidRDefault="00000000">
            <w:pPr>
              <w:spacing w:before="0" w:after="0" w:line="240" w:lineRule="auto"/>
              <w:jc w:val="center"/>
            </w:pPr>
            <w:r>
              <w:t>0.83</w:t>
            </w:r>
          </w:p>
        </w:tc>
        <w:tc>
          <w:tcPr>
            <w:tcW w:w="157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CF6A46" w14:textId="77777777" w:rsidR="009E4375" w:rsidRDefault="00000000">
            <w:pPr>
              <w:spacing w:before="0" w:after="0" w:line="240" w:lineRule="auto"/>
              <w:jc w:val="center"/>
            </w:pPr>
            <w:r>
              <w:t>0.87</w:t>
            </w:r>
          </w:p>
        </w:tc>
      </w:tr>
    </w:tbl>
    <w:p w14:paraId="10CF6A48" w14:textId="77777777" w:rsidR="009E4375" w:rsidRDefault="009E4375">
      <w:pPr>
        <w:spacing w:before="0" w:after="0"/>
      </w:pPr>
    </w:p>
    <w:p w14:paraId="10CF6A49" w14:textId="77777777" w:rsidR="009E4375" w:rsidRDefault="00000000">
      <w:pPr>
        <w:spacing w:before="0" w:after="0"/>
        <w:ind w:firstLine="720"/>
      </w:pPr>
      <w:r>
        <w:t xml:space="preserve">According to Schick et al. (2013), QOL questions often discuss a person’s self, social relationships, and relationship with their social environment, for example, “I feel </w:t>
      </w:r>
      <w:r>
        <w:lastRenderedPageBreak/>
        <w:t xml:space="preserve">good about myself” (self), “People my age </w:t>
      </w:r>
      <w:proofErr w:type="gramStart"/>
      <w:r>
        <w:t>treat</w:t>
      </w:r>
      <w:proofErr w:type="gramEnd"/>
      <w:r>
        <w:t xml:space="preserve"> me with respect” (social), or “I feel safe when I am at school” (environment). There are also subdomains for different groups, such as deaf and hard of hearing </w:t>
      </w:r>
      <w:proofErr w:type="gramStart"/>
      <w:r>
        <w:t>persons</w:t>
      </w:r>
      <w:proofErr w:type="gramEnd"/>
      <w:r>
        <w:t xml:space="preserve">, that gather specific information about their abilities to hear, their interactions with families and peers, and their psychosocial, emotional, and academic development (Gilman et al., 2004; </w:t>
      </w:r>
      <w:proofErr w:type="spellStart"/>
      <w:r>
        <w:t>Hintermair</w:t>
      </w:r>
      <w:proofErr w:type="spellEnd"/>
      <w:r>
        <w:t xml:space="preserve">, 2011; </w:t>
      </w:r>
      <w:proofErr w:type="spellStart"/>
      <w:r>
        <w:t>Kushalnagar</w:t>
      </w:r>
      <w:proofErr w:type="spellEnd"/>
      <w:r>
        <w:t xml:space="preserve"> et al., 2011; Lin &amp; Niparko, 2006). Two examples of questions for DHH in the YQOL-DHH are “As a person who is Deaf or hard of hearing, I feel accepted by students at my school” or “As a person who is Deaf or hard of hearing, I am satisfied with the ways I have to communicate.”</w:t>
      </w:r>
    </w:p>
    <w:p w14:paraId="10CF6A4A" w14:textId="77777777" w:rsidR="009E4375" w:rsidRDefault="009E4375">
      <w:pPr>
        <w:spacing w:before="0" w:after="0"/>
        <w:ind w:firstLine="720"/>
      </w:pPr>
    </w:p>
    <w:p w14:paraId="10CF6A4B" w14:textId="77777777" w:rsidR="009E4375" w:rsidRDefault="00000000">
      <w:pPr>
        <w:pStyle w:val="Heading4"/>
      </w:pPr>
      <w:bookmarkStart w:id="56" w:name="_Toc214490412"/>
      <w:r>
        <w:t>YQOL-DHH Survey Modification</w:t>
      </w:r>
      <w:bookmarkEnd w:id="56"/>
    </w:p>
    <w:p w14:paraId="10CF6A4C" w14:textId="77777777" w:rsidR="009E4375" w:rsidRDefault="00000000">
      <w:pPr>
        <w:spacing w:before="0" w:after="0"/>
        <w:ind w:firstLine="720"/>
      </w:pPr>
      <w:r>
        <w:t xml:space="preserve">Because the YQOL-DHH had not been administered previously in Malaysia, minor modifications were made to the questions to account for cross-cultural and current day differences. YQOL-DHH survey modification is found in Section 2 of AQOL-DHH survey. For example, one question in the YQOL-DHH survey was </w:t>
      </w:r>
      <w:r>
        <w:rPr>
          <w:color w:val="1F1F1F"/>
          <w:highlight w:val="white"/>
        </w:rPr>
        <w:t>“I feel I have enough technology, such as</w:t>
      </w:r>
      <w:r>
        <w:rPr>
          <w:color w:val="1F1F1F"/>
          <w:highlight w:val="white"/>
          <w:u w:val="single"/>
        </w:rPr>
        <w:t xml:space="preserve"> pagers,</w:t>
      </w:r>
      <w:r>
        <w:rPr>
          <w:color w:val="1F1F1F"/>
          <w:highlight w:val="white"/>
        </w:rPr>
        <w:t xml:space="preserve"> videophones, texting, and/or internet to communicate as a person who is deaf or hard of hearing”. The underlined text is my emphasis. The statement was mostly the same except I omitted "pagers" and replaced it with "WhatsApp, Instagram, and Facebook Messenger" which now read as "I feel I have enough technology, such as WhatsApp, Telegram, Instagram, FB Messenger, videophones, texting, and/or the internet, to communicate as a person who is deaf or hard of hearing." </w:t>
      </w:r>
    </w:p>
    <w:p w14:paraId="10CF6A4D" w14:textId="77777777" w:rsidR="009E4375" w:rsidRDefault="00000000">
      <w:pPr>
        <w:spacing w:before="0" w:after="0"/>
        <w:ind w:firstLine="720"/>
      </w:pPr>
      <w:r>
        <w:t xml:space="preserve">Then the instrument was translated into Malay and BIM. Administering reliable and valid QOL instruments in sign language facilitates the collection of accurate reports from DHH </w:t>
      </w:r>
      <w:proofErr w:type="gramStart"/>
      <w:r>
        <w:t>persons</w:t>
      </w:r>
      <w:proofErr w:type="gramEnd"/>
      <w:r>
        <w:t xml:space="preserve"> who use sign language as their preferred language.  After revisions and translations were completed, a pilot study was conducted between November and December 2022 with 10 deaf adult Malaysians to determine if the respondents’ understandings aligned with the intent of the translated questions, thereby giving content validity to the translated instrument. In Appendix A, there is a description of the translation process, the findings of the pilot study, and revisions made to the survey. </w:t>
      </w:r>
    </w:p>
    <w:p w14:paraId="10CF6A4E" w14:textId="77777777" w:rsidR="009E4375" w:rsidRDefault="009E4375">
      <w:pPr>
        <w:spacing w:before="0" w:after="0"/>
        <w:ind w:firstLine="720"/>
      </w:pPr>
    </w:p>
    <w:p w14:paraId="10CF6A4F" w14:textId="77777777" w:rsidR="009E4375" w:rsidRDefault="00000000">
      <w:pPr>
        <w:pStyle w:val="Heading4"/>
      </w:pPr>
      <w:bookmarkStart w:id="57" w:name="_Toc214490413"/>
      <w:r>
        <w:lastRenderedPageBreak/>
        <w:t>AQOL-DHH Survey Questions</w:t>
      </w:r>
      <w:bookmarkEnd w:id="57"/>
    </w:p>
    <w:p w14:paraId="10CF6A50" w14:textId="77777777" w:rsidR="009E4375" w:rsidRDefault="00000000">
      <w:pPr>
        <w:spacing w:before="0" w:after="0"/>
        <w:ind w:firstLine="720"/>
      </w:pPr>
      <w:r>
        <w:t>To collect data that would answer the research questions, the Adapted Quality of Life for Deaf and Hard of Hearing (AQOL-DHH) survey was developed. See full survey in Appendix B). The survey consists of three sections, each structured around three key variables I intended to analyze</w:t>
      </w:r>
      <w:proofErr w:type="gramStart"/>
      <w:r>
        <w:t>:  (</w:t>
      </w:r>
      <w:proofErr w:type="gramEnd"/>
      <w:r>
        <w:t>1) the level of satisfaction with the signed communication used during one’s previous school years that may impact quality of life, (2) the modified YQOL-DHH, and (3) demographic variables related to the range of QOL outcomes.</w:t>
      </w:r>
    </w:p>
    <w:p w14:paraId="10CF6A51" w14:textId="77777777" w:rsidR="009E4375" w:rsidRDefault="00000000">
      <w:pPr>
        <w:numPr>
          <w:ilvl w:val="0"/>
          <w:numId w:val="22"/>
        </w:numPr>
        <w:spacing w:after="0"/>
      </w:pPr>
      <w:r>
        <w:t xml:space="preserve">Section 1: There are 7 questions in this section that ask the respondent to identify the sign language they use in daily life currently and previously, their preference and frequency of using the signed language in their previous schooling, family and dormitory. Responses to these questions are provided on </w:t>
      </w:r>
      <w:proofErr w:type="gramStart"/>
      <w:r>
        <w:t>an</w:t>
      </w:r>
      <w:proofErr w:type="gramEnd"/>
      <w:r>
        <w:t xml:space="preserve"> 4-point Likert scale, from ‘very unsatisfied’ to ‘very satisfied’. These questions were adopted from language and modality usage of Colorado Individual Performance Profile (CIPP) student demographic information (Colorado Department of Education, 2002).</w:t>
      </w:r>
    </w:p>
    <w:p w14:paraId="10CF6A52" w14:textId="77777777" w:rsidR="009E4375" w:rsidRDefault="00000000">
      <w:pPr>
        <w:numPr>
          <w:ilvl w:val="0"/>
          <w:numId w:val="22"/>
        </w:numPr>
        <w:spacing w:before="0" w:after="0"/>
      </w:pPr>
      <w:r>
        <w:t>Section 2: There are 32 questions in this section that were derived and slightly modified from the YQOL-DHH Survey. Responses to these questions are provided on an 11-point Likert scale, from ‘not at all’ to ‘very much’.</w:t>
      </w:r>
    </w:p>
    <w:p w14:paraId="10CF6A53" w14:textId="77777777" w:rsidR="009E4375" w:rsidRDefault="00000000">
      <w:pPr>
        <w:numPr>
          <w:ilvl w:val="0"/>
          <w:numId w:val="22"/>
        </w:numPr>
        <w:spacing w:before="0" w:after="0"/>
      </w:pPr>
      <w:r>
        <w:t>Section 3: There are 13 questions in this section designed to collect demographic information, including age, sex, race, hearing status, type of hearing aid used, type of school, educational level, relationship with family, occupation, parents’ hearing status, and parents’ educational level.</w:t>
      </w:r>
    </w:p>
    <w:p w14:paraId="10CF6A54" w14:textId="77777777" w:rsidR="009E4375" w:rsidRDefault="009E4375">
      <w:pPr>
        <w:spacing w:before="0" w:after="0"/>
      </w:pPr>
    </w:p>
    <w:p w14:paraId="10CF6A55" w14:textId="77777777" w:rsidR="009E4375" w:rsidRDefault="00000000">
      <w:pPr>
        <w:pStyle w:val="Heading3"/>
      </w:pPr>
      <w:bookmarkStart w:id="58" w:name="_Toc214490414"/>
      <w:r>
        <w:t>Study Procedures</w:t>
      </w:r>
      <w:bookmarkEnd w:id="58"/>
    </w:p>
    <w:p w14:paraId="10CF6A56" w14:textId="77777777" w:rsidR="009E4375" w:rsidRDefault="00000000">
      <w:pPr>
        <w:spacing w:before="0" w:after="0"/>
      </w:pPr>
      <w:r>
        <w:t>The study procedures are outlined below.</w:t>
      </w:r>
    </w:p>
    <w:p w14:paraId="10CF6A57" w14:textId="77777777" w:rsidR="009E4375" w:rsidRDefault="00000000">
      <w:pPr>
        <w:numPr>
          <w:ilvl w:val="0"/>
          <w:numId w:val="9"/>
        </w:numPr>
        <w:spacing w:before="0" w:after="0"/>
      </w:pPr>
      <w:r>
        <w:t xml:space="preserve">The revised YQOL-DHH was translated into BIM in video format and Malay written language. (See Appendix B for translation process and pilot study.) </w:t>
      </w:r>
    </w:p>
    <w:p w14:paraId="10CF6A58" w14:textId="77777777" w:rsidR="009E4375" w:rsidRDefault="00000000">
      <w:pPr>
        <w:numPr>
          <w:ilvl w:val="0"/>
          <w:numId w:val="9"/>
        </w:numPr>
        <w:spacing w:before="0" w:after="0"/>
      </w:pPr>
      <w:r>
        <w:t xml:space="preserve">The revised and finalized survey containing questions on the participants' demographics, satisfaction with their signed communication, and QOL was created using </w:t>
      </w:r>
      <w:proofErr w:type="gramStart"/>
      <w:r>
        <w:t>the Qualtrics</w:t>
      </w:r>
      <w:proofErr w:type="gramEnd"/>
      <w:r>
        <w:t xml:space="preserve"> software. As a result of Qualtrics' ability to provide </w:t>
      </w:r>
      <w:r>
        <w:lastRenderedPageBreak/>
        <w:t>both print and video formats, the survey was made available in two formats: English and Malay or Malay and BIM.</w:t>
      </w:r>
    </w:p>
    <w:p w14:paraId="10CF6A59" w14:textId="77777777" w:rsidR="009E4375" w:rsidRDefault="00000000">
      <w:pPr>
        <w:numPr>
          <w:ilvl w:val="0"/>
          <w:numId w:val="9"/>
        </w:numPr>
        <w:spacing w:before="0" w:after="0"/>
      </w:pPr>
      <w:r>
        <w:t>The survey was distributed throughout Malaysia via messaging platforms such as WhatsApp, Facebook Messenger, and Telegram. Participants distributed the survey to their friends through messaging platforms or by word of mouth.</w:t>
      </w:r>
    </w:p>
    <w:p w14:paraId="10CF6A5A" w14:textId="77777777" w:rsidR="009E4375" w:rsidRDefault="00000000">
      <w:pPr>
        <w:numPr>
          <w:ilvl w:val="0"/>
          <w:numId w:val="9"/>
        </w:numPr>
        <w:spacing w:before="0" w:after="0"/>
      </w:pPr>
      <w:r>
        <w:t xml:space="preserve">The participants are requested to read and respond completely to the survey questionnaires. </w:t>
      </w:r>
    </w:p>
    <w:p w14:paraId="10CF6A5B" w14:textId="77777777" w:rsidR="009E4375" w:rsidRDefault="00000000">
      <w:pPr>
        <w:numPr>
          <w:ilvl w:val="0"/>
          <w:numId w:val="9"/>
        </w:numPr>
        <w:spacing w:before="0" w:after="0"/>
      </w:pPr>
      <w:r>
        <w:t xml:space="preserve">After collecting the data, they were cleaned, including removing missing data or errors, to improve their quality and reliability. The researcher analyzed the data using SPSS to obtain the results. </w:t>
      </w:r>
    </w:p>
    <w:p w14:paraId="10CF6A5C" w14:textId="77777777" w:rsidR="009E4375" w:rsidRDefault="009E4375">
      <w:pPr>
        <w:spacing w:before="0" w:after="0"/>
        <w:ind w:left="720"/>
      </w:pPr>
    </w:p>
    <w:p w14:paraId="10CF6A5D" w14:textId="77777777" w:rsidR="009E4375" w:rsidRDefault="00000000">
      <w:pPr>
        <w:pStyle w:val="Heading3"/>
      </w:pPr>
      <w:bookmarkStart w:id="59" w:name="_Toc214490415"/>
      <w:r>
        <w:t>Variables</w:t>
      </w:r>
      <w:bookmarkEnd w:id="59"/>
    </w:p>
    <w:p w14:paraId="10CF6A5E" w14:textId="77777777" w:rsidR="009E4375" w:rsidRDefault="00000000">
      <w:pPr>
        <w:spacing w:before="0" w:after="0"/>
        <w:ind w:firstLine="720"/>
      </w:pPr>
      <w:r>
        <w:t>The variables were derived from the Youth QOL instrument - Deaf and Hard of Hearing (YQOL-DHH) which measured three domains: participation, self-acceptance and advocacy, and perceived stigma. Participants were asked to rate each item on a scale of 0 to 10. The scores were converted to a scale of 0 to 100 points for each domain. The domain scores were a calculation of the mean across items. YQOL-DHH found the presence of high scores on the participation and the self-acceptance and advocacy domains indicate a high level of QOL while resistance to perceived stigma showed low QOL.  A total QOL score is also derived by averaging all items across the three QOL domains (after reversing the stigma-related items). Table 2 presents the names and descriptions of the variables in the study.</w:t>
      </w:r>
    </w:p>
    <w:p w14:paraId="10CF6A5F" w14:textId="77777777" w:rsidR="009E4375" w:rsidRDefault="009E4375">
      <w:pPr>
        <w:spacing w:before="0" w:after="0"/>
        <w:ind w:firstLine="720"/>
      </w:pPr>
    </w:p>
    <w:p w14:paraId="10CF6A60" w14:textId="77777777" w:rsidR="009E4375" w:rsidRDefault="00000000">
      <w:pPr>
        <w:pStyle w:val="Heading4"/>
      </w:pPr>
      <w:bookmarkStart w:id="60" w:name="_Toc214490416"/>
      <w:r>
        <w:t>Design</w:t>
      </w:r>
      <w:bookmarkEnd w:id="60"/>
    </w:p>
    <w:p w14:paraId="10CF6A61" w14:textId="77777777" w:rsidR="009E4375" w:rsidRDefault="00000000">
      <w:pPr>
        <w:spacing w:before="0" w:after="0"/>
        <w:ind w:firstLine="720"/>
      </w:pPr>
      <w:r>
        <w:t xml:space="preserve">In this study, a quantitative research approach has been employed to investigate the QOL of the Deaf population in Malaysia and validate the relationship between the dependent and independent variables (Creswell, 2022). Non-experimental research designs, specifically causal-comparative ones, have been used in this study. According to Gall et al. (2007), ex post facto research identifies differences in the dependent variable between groups of individuals in which the independent variable is present, absent, or present at various levels. Grouping variables in this research are education, </w:t>
      </w:r>
      <w:r>
        <w:lastRenderedPageBreak/>
        <w:t xml:space="preserve">various signed communications, gender, race, hearing status, communication with family, communication with previous teachers, communication with friends, </w:t>
      </w:r>
      <w:proofErr w:type="gramStart"/>
      <w:r>
        <w:t>and one’s</w:t>
      </w:r>
      <w:proofErr w:type="gramEnd"/>
      <w:r>
        <w:t xml:space="preserve"> satisfaction in their communication. QOL is considered the dependent variable. Changes over time have not been addressed through any intervention.</w:t>
      </w:r>
    </w:p>
    <w:p w14:paraId="10CF6A62" w14:textId="77777777" w:rsidR="009E4375" w:rsidRDefault="009E4375">
      <w:pPr>
        <w:spacing w:before="0" w:after="0"/>
        <w:ind w:firstLine="720"/>
      </w:pPr>
    </w:p>
    <w:p w14:paraId="02E31F29" w14:textId="77777777" w:rsidR="00864F5B" w:rsidRPr="004B082A" w:rsidRDefault="00000000" w:rsidP="00B66D0B">
      <w:pPr>
        <w:spacing w:before="0" w:after="0"/>
      </w:pPr>
      <w:r>
        <w:rPr>
          <w:b/>
          <w:bCs/>
        </w:rPr>
        <w:t>Table 2</w:t>
      </w:r>
      <w:r w:rsidR="00864F5B" w:rsidRPr="00864F5B">
        <w:rPr>
          <w:i/>
          <w:iCs/>
        </w:rPr>
        <w:t xml:space="preserve"> </w:t>
      </w:r>
    </w:p>
    <w:p w14:paraId="62630E8C" w14:textId="57BB8030" w:rsidR="009E6F6A" w:rsidRDefault="00864F5B" w:rsidP="00B66D0B">
      <w:pPr>
        <w:spacing w:before="0" w:after="0"/>
        <w:rPr>
          <w:i/>
          <w:iCs/>
        </w:rPr>
      </w:pPr>
      <w:r>
        <w:rPr>
          <w:i/>
          <w:iCs/>
        </w:rPr>
        <w:t xml:space="preserve">Variables of </w:t>
      </w:r>
      <w:proofErr w:type="gramStart"/>
      <w:r>
        <w:rPr>
          <w:i/>
          <w:iCs/>
        </w:rPr>
        <w:t>the study</w:t>
      </w:r>
      <w:proofErr w:type="gramEnd"/>
    </w:p>
    <w:tbl>
      <w:tblPr>
        <w:tblStyle w:val="a0"/>
        <w:tblpPr w:leftFromText="180" w:rightFromText="180" w:vertAnchor="text" w:horzAnchor="margin" w:tblpY="264"/>
        <w:tblW w:w="93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70"/>
        <w:gridCol w:w="6030"/>
      </w:tblGrid>
      <w:tr w:rsidR="00683D90" w14:paraId="71E47AF3" w14:textId="77777777" w:rsidTr="00DE2AA7">
        <w:trPr>
          <w:trHeight w:val="336"/>
        </w:trPr>
        <w:tc>
          <w:tcPr>
            <w:tcW w:w="3270" w:type="dxa"/>
            <w:tcBorders>
              <w:top w:val="single" w:sz="7" w:space="0" w:color="000000"/>
              <w:left w:val="single" w:sz="7" w:space="0" w:color="000000"/>
              <w:bottom w:val="single" w:sz="7" w:space="0" w:color="000000"/>
              <w:right w:val="single" w:sz="7" w:space="0" w:color="000000"/>
            </w:tcBorders>
          </w:tcPr>
          <w:p w14:paraId="6898B62A" w14:textId="77777777" w:rsidR="00683D90" w:rsidRDefault="00683D90" w:rsidP="00DE2AA7">
            <w:pPr>
              <w:keepNext/>
              <w:keepLines/>
              <w:spacing w:before="0" w:after="0" w:line="276" w:lineRule="auto"/>
              <w:ind w:left="90" w:right="105"/>
              <w:jc w:val="center"/>
              <w:rPr>
                <w:b/>
                <w:bCs/>
              </w:rPr>
            </w:pPr>
            <w:r>
              <w:rPr>
                <w:b/>
                <w:bCs/>
              </w:rPr>
              <w:t>Variables</w:t>
            </w:r>
          </w:p>
        </w:tc>
        <w:tc>
          <w:tcPr>
            <w:tcW w:w="6030" w:type="dxa"/>
            <w:tcBorders>
              <w:top w:val="single" w:sz="7" w:space="0" w:color="000000"/>
              <w:left w:val="single" w:sz="7" w:space="0" w:color="000000"/>
              <w:bottom w:val="single" w:sz="7" w:space="0" w:color="000000"/>
              <w:right w:val="single" w:sz="7" w:space="0" w:color="000000"/>
            </w:tcBorders>
          </w:tcPr>
          <w:p w14:paraId="45914A84" w14:textId="77777777" w:rsidR="00683D90" w:rsidRDefault="00683D90" w:rsidP="00DE2AA7">
            <w:pPr>
              <w:keepNext/>
              <w:keepLines/>
              <w:spacing w:before="0" w:after="0" w:line="276" w:lineRule="auto"/>
              <w:ind w:left="180" w:right="105"/>
              <w:jc w:val="center"/>
              <w:rPr>
                <w:b/>
                <w:bCs/>
              </w:rPr>
            </w:pPr>
            <w:r>
              <w:rPr>
                <w:b/>
                <w:bCs/>
              </w:rPr>
              <w:t>Description</w:t>
            </w:r>
          </w:p>
        </w:tc>
      </w:tr>
      <w:tr w:rsidR="00683D90" w14:paraId="35BE6EA4" w14:textId="77777777" w:rsidTr="001305C4">
        <w:trPr>
          <w:trHeight w:val="1233"/>
        </w:trPr>
        <w:tc>
          <w:tcPr>
            <w:tcW w:w="3270" w:type="dxa"/>
            <w:tcBorders>
              <w:top w:val="single" w:sz="7" w:space="0" w:color="000000"/>
              <w:left w:val="single" w:sz="7" w:space="0" w:color="000000"/>
              <w:bottom w:val="single" w:sz="7" w:space="0" w:color="000000"/>
              <w:right w:val="single" w:sz="7" w:space="0" w:color="000000"/>
            </w:tcBorders>
          </w:tcPr>
          <w:p w14:paraId="654DA3AD" w14:textId="77777777" w:rsidR="00683D90" w:rsidRDefault="00683D90" w:rsidP="00DE2AA7">
            <w:pPr>
              <w:keepNext/>
              <w:keepLines/>
              <w:spacing w:before="0" w:after="0"/>
              <w:ind w:left="90" w:right="105"/>
            </w:pPr>
            <w:r>
              <w:t xml:space="preserve">Mode of signed communication in the current daily life </w:t>
            </w:r>
          </w:p>
        </w:tc>
        <w:tc>
          <w:tcPr>
            <w:tcW w:w="6030" w:type="dxa"/>
            <w:tcBorders>
              <w:top w:val="single" w:sz="7" w:space="0" w:color="000000"/>
              <w:left w:val="single" w:sz="7" w:space="0" w:color="000000"/>
              <w:bottom w:val="single" w:sz="7" w:space="0" w:color="000000"/>
              <w:right w:val="single" w:sz="7" w:space="0" w:color="000000"/>
            </w:tcBorders>
          </w:tcPr>
          <w:p w14:paraId="6E8D1729" w14:textId="77777777" w:rsidR="00683D90" w:rsidRDefault="00683D90" w:rsidP="00DE2AA7">
            <w:pPr>
              <w:keepNext/>
              <w:keepLines/>
              <w:spacing w:before="0" w:after="0"/>
              <w:ind w:left="180" w:right="105"/>
            </w:pPr>
            <w:r>
              <w:t>The communication used most often by deaf adults - BIM, KTBM, Sim-Com (both speaking and signing), or another signed communication.</w:t>
            </w:r>
          </w:p>
        </w:tc>
      </w:tr>
      <w:tr w:rsidR="00683D90" w14:paraId="53AC18A0" w14:textId="77777777" w:rsidTr="001305C4">
        <w:trPr>
          <w:trHeight w:val="1035"/>
        </w:trPr>
        <w:tc>
          <w:tcPr>
            <w:tcW w:w="3270" w:type="dxa"/>
            <w:tcBorders>
              <w:top w:val="single" w:sz="7" w:space="0" w:color="000000"/>
              <w:left w:val="single" w:sz="7" w:space="0" w:color="000000"/>
              <w:bottom w:val="single" w:sz="7" w:space="0" w:color="000000"/>
              <w:right w:val="single" w:sz="7" w:space="0" w:color="000000"/>
            </w:tcBorders>
          </w:tcPr>
          <w:p w14:paraId="65A74F09" w14:textId="77777777" w:rsidR="00683D90" w:rsidRDefault="00683D90" w:rsidP="00DE2AA7">
            <w:pPr>
              <w:keepNext/>
              <w:keepLines/>
              <w:spacing w:before="0" w:after="0"/>
              <w:ind w:left="90" w:right="105"/>
            </w:pPr>
            <w:r>
              <w:t>Mode of signed communication with previous teachers</w:t>
            </w:r>
          </w:p>
        </w:tc>
        <w:tc>
          <w:tcPr>
            <w:tcW w:w="6030" w:type="dxa"/>
            <w:tcBorders>
              <w:top w:val="single" w:sz="7" w:space="0" w:color="000000"/>
              <w:left w:val="single" w:sz="7" w:space="0" w:color="000000"/>
              <w:bottom w:val="single" w:sz="7" w:space="0" w:color="000000"/>
              <w:right w:val="single" w:sz="7" w:space="0" w:color="000000"/>
            </w:tcBorders>
          </w:tcPr>
          <w:p w14:paraId="5E8FF4B8" w14:textId="77777777" w:rsidR="00683D90" w:rsidRDefault="00683D90" w:rsidP="00DE2AA7">
            <w:pPr>
              <w:keepNext/>
              <w:keepLines/>
              <w:spacing w:before="0" w:after="0"/>
              <w:ind w:left="180" w:right="105"/>
            </w:pPr>
            <w:r>
              <w:t xml:space="preserve">Communication with teachers during previous schooling including BIM, KTBM, Sim-Com </w:t>
            </w:r>
            <w:proofErr w:type="gramStart"/>
            <w:r>
              <w:t>or</w:t>
            </w:r>
            <w:proofErr w:type="gramEnd"/>
            <w:r>
              <w:t xml:space="preserve"> other.</w:t>
            </w:r>
          </w:p>
        </w:tc>
      </w:tr>
      <w:tr w:rsidR="00683D90" w14:paraId="37687C83" w14:textId="77777777" w:rsidTr="001305C4">
        <w:trPr>
          <w:trHeight w:val="828"/>
        </w:trPr>
        <w:tc>
          <w:tcPr>
            <w:tcW w:w="3270" w:type="dxa"/>
            <w:tcBorders>
              <w:top w:val="single" w:sz="7" w:space="0" w:color="000000"/>
              <w:left w:val="single" w:sz="7" w:space="0" w:color="000000"/>
              <w:bottom w:val="single" w:sz="7" w:space="0" w:color="000000"/>
              <w:right w:val="single" w:sz="7" w:space="0" w:color="000000"/>
            </w:tcBorders>
          </w:tcPr>
          <w:p w14:paraId="0C398D8A" w14:textId="77777777" w:rsidR="00683D90" w:rsidRDefault="00683D90" w:rsidP="00DE2AA7">
            <w:pPr>
              <w:keepNext/>
              <w:keepLines/>
              <w:spacing w:before="0" w:after="0"/>
              <w:ind w:left="90" w:right="105"/>
            </w:pPr>
            <w:r>
              <w:t>Level of satisfaction with previous teachers' communication</w:t>
            </w:r>
          </w:p>
        </w:tc>
        <w:tc>
          <w:tcPr>
            <w:tcW w:w="6030" w:type="dxa"/>
            <w:tcBorders>
              <w:top w:val="single" w:sz="7" w:space="0" w:color="000000"/>
              <w:left w:val="single" w:sz="7" w:space="0" w:color="000000"/>
              <w:bottom w:val="single" w:sz="7" w:space="0" w:color="000000"/>
              <w:right w:val="single" w:sz="7" w:space="0" w:color="000000"/>
            </w:tcBorders>
          </w:tcPr>
          <w:p w14:paraId="16F7B1B0" w14:textId="77777777" w:rsidR="00683D90" w:rsidRDefault="00683D90" w:rsidP="00DE2AA7">
            <w:pPr>
              <w:keepNext/>
              <w:keepLines/>
              <w:spacing w:before="0" w:after="0"/>
              <w:ind w:left="180" w:right="105"/>
            </w:pPr>
            <w:r>
              <w:t>1-4 Likert satisfaction scale from very unsatisfied to very satisfied.</w:t>
            </w:r>
          </w:p>
        </w:tc>
      </w:tr>
      <w:tr w:rsidR="00683D90" w14:paraId="3AB169B5" w14:textId="77777777" w:rsidTr="001305C4">
        <w:trPr>
          <w:trHeight w:val="1065"/>
        </w:trPr>
        <w:tc>
          <w:tcPr>
            <w:tcW w:w="3270" w:type="dxa"/>
            <w:tcBorders>
              <w:top w:val="single" w:sz="7" w:space="0" w:color="000000"/>
              <w:left w:val="single" w:sz="7" w:space="0" w:color="000000"/>
              <w:bottom w:val="single" w:sz="7" w:space="0" w:color="000000"/>
              <w:right w:val="single" w:sz="7" w:space="0" w:color="000000"/>
            </w:tcBorders>
          </w:tcPr>
          <w:p w14:paraId="3E7D83AF" w14:textId="77777777" w:rsidR="00683D90" w:rsidRDefault="00683D90" w:rsidP="00DE2AA7">
            <w:pPr>
              <w:keepNext/>
              <w:keepLines/>
              <w:spacing w:before="0" w:after="0"/>
              <w:ind w:left="90" w:right="105"/>
            </w:pPr>
            <w:r>
              <w:t>Mode of signed communication in the family</w:t>
            </w:r>
          </w:p>
        </w:tc>
        <w:tc>
          <w:tcPr>
            <w:tcW w:w="6030" w:type="dxa"/>
            <w:tcBorders>
              <w:top w:val="single" w:sz="7" w:space="0" w:color="000000"/>
              <w:left w:val="single" w:sz="7" w:space="0" w:color="000000"/>
              <w:bottom w:val="single" w:sz="7" w:space="0" w:color="000000"/>
              <w:right w:val="single" w:sz="7" w:space="0" w:color="000000"/>
            </w:tcBorders>
          </w:tcPr>
          <w:p w14:paraId="70319F19" w14:textId="77777777" w:rsidR="00683D90" w:rsidRDefault="00683D90" w:rsidP="00DE2AA7">
            <w:pPr>
              <w:keepNext/>
              <w:keepLines/>
              <w:spacing w:before="0" w:after="0"/>
              <w:ind w:left="180" w:right="105"/>
            </w:pPr>
            <w:r>
              <w:t xml:space="preserve">Communication with family members in the home during previous schooling including BIM, KTBM, Sim-Com, </w:t>
            </w:r>
            <w:proofErr w:type="gramStart"/>
            <w:r>
              <w:t>or</w:t>
            </w:r>
            <w:proofErr w:type="gramEnd"/>
            <w:r>
              <w:t xml:space="preserve"> </w:t>
            </w:r>
            <w:proofErr w:type="gramStart"/>
            <w:r>
              <w:t>other</w:t>
            </w:r>
            <w:proofErr w:type="gramEnd"/>
            <w:r>
              <w:t xml:space="preserve">. </w:t>
            </w:r>
          </w:p>
        </w:tc>
      </w:tr>
      <w:tr w:rsidR="00683D90" w14:paraId="2C187669" w14:textId="77777777" w:rsidTr="001305C4">
        <w:trPr>
          <w:trHeight w:val="711"/>
        </w:trPr>
        <w:tc>
          <w:tcPr>
            <w:tcW w:w="3270" w:type="dxa"/>
            <w:tcBorders>
              <w:top w:val="single" w:sz="7" w:space="0" w:color="000000"/>
              <w:left w:val="single" w:sz="7" w:space="0" w:color="000000"/>
              <w:bottom w:val="single" w:sz="7" w:space="0" w:color="000000"/>
              <w:right w:val="single" w:sz="7" w:space="0" w:color="000000"/>
            </w:tcBorders>
          </w:tcPr>
          <w:p w14:paraId="433126AF" w14:textId="77777777" w:rsidR="00683D90" w:rsidRDefault="00683D90" w:rsidP="00DE2AA7">
            <w:pPr>
              <w:keepNext/>
              <w:keepLines/>
              <w:spacing w:before="0" w:after="0"/>
              <w:ind w:left="90" w:right="105"/>
            </w:pPr>
            <w:r>
              <w:t>Level of satisfaction with family’s communication</w:t>
            </w:r>
          </w:p>
        </w:tc>
        <w:tc>
          <w:tcPr>
            <w:tcW w:w="6030" w:type="dxa"/>
            <w:tcBorders>
              <w:top w:val="single" w:sz="7" w:space="0" w:color="000000"/>
              <w:left w:val="single" w:sz="7" w:space="0" w:color="000000"/>
              <w:bottom w:val="single" w:sz="7" w:space="0" w:color="000000"/>
              <w:right w:val="single" w:sz="7" w:space="0" w:color="000000"/>
            </w:tcBorders>
          </w:tcPr>
          <w:p w14:paraId="4FA5F0EC" w14:textId="77777777" w:rsidR="00683D90" w:rsidRDefault="00683D90" w:rsidP="00DE2AA7">
            <w:pPr>
              <w:keepNext/>
              <w:keepLines/>
              <w:spacing w:before="0" w:after="0"/>
              <w:ind w:left="180" w:right="105"/>
            </w:pPr>
            <w:r>
              <w:t>1-4 Likert satisfaction scale from very unsatisfied to very satisfied.</w:t>
            </w:r>
          </w:p>
        </w:tc>
      </w:tr>
      <w:tr w:rsidR="001305C4" w14:paraId="26B5EAC7" w14:textId="77777777" w:rsidTr="001305C4">
        <w:trPr>
          <w:trHeight w:val="711"/>
        </w:trPr>
        <w:tc>
          <w:tcPr>
            <w:tcW w:w="3270" w:type="dxa"/>
            <w:tcBorders>
              <w:top w:val="single" w:sz="7" w:space="0" w:color="000000"/>
              <w:left w:val="single" w:sz="7" w:space="0" w:color="000000"/>
              <w:bottom w:val="single" w:sz="7" w:space="0" w:color="000000"/>
              <w:right w:val="single" w:sz="7" w:space="0" w:color="000000"/>
            </w:tcBorders>
          </w:tcPr>
          <w:p w14:paraId="71E21471" w14:textId="57E64983" w:rsidR="001305C4" w:rsidRDefault="001305C4" w:rsidP="00DE2AA7">
            <w:pPr>
              <w:keepNext/>
              <w:keepLines/>
              <w:spacing w:before="0" w:after="0"/>
              <w:ind w:left="90" w:right="105"/>
            </w:pPr>
            <w:r>
              <w:t>Mode of signed communication in dormitories</w:t>
            </w:r>
          </w:p>
        </w:tc>
        <w:tc>
          <w:tcPr>
            <w:tcW w:w="6030" w:type="dxa"/>
            <w:tcBorders>
              <w:top w:val="single" w:sz="7" w:space="0" w:color="000000"/>
              <w:left w:val="single" w:sz="7" w:space="0" w:color="000000"/>
              <w:bottom w:val="single" w:sz="7" w:space="0" w:color="000000"/>
              <w:right w:val="single" w:sz="7" w:space="0" w:color="000000"/>
            </w:tcBorders>
          </w:tcPr>
          <w:p w14:paraId="093739ED" w14:textId="389EFB69" w:rsidR="001305C4" w:rsidRDefault="001305C4" w:rsidP="00DE2AA7">
            <w:pPr>
              <w:keepNext/>
              <w:keepLines/>
              <w:spacing w:before="0" w:after="0"/>
              <w:ind w:left="180" w:right="105"/>
            </w:pPr>
            <w:r>
              <w:t>Communication with friends in the dormitory during previous schooling including BIM, KTBM, Sim-</w:t>
            </w:r>
            <w:proofErr w:type="gramStart"/>
            <w:r>
              <w:t>Com,  or</w:t>
            </w:r>
            <w:proofErr w:type="gramEnd"/>
            <w:r>
              <w:t xml:space="preserve"> other.</w:t>
            </w:r>
          </w:p>
        </w:tc>
      </w:tr>
    </w:tbl>
    <w:p w14:paraId="46F5FD96" w14:textId="77777777" w:rsidR="001305C4" w:rsidRDefault="001305C4" w:rsidP="0048071F">
      <w:pPr>
        <w:spacing w:before="0" w:after="200"/>
        <w:rPr>
          <w:b/>
          <w:bCs/>
        </w:rPr>
      </w:pPr>
    </w:p>
    <w:p w14:paraId="4E4A9568" w14:textId="5E190982" w:rsidR="001305C4" w:rsidRDefault="0048071F" w:rsidP="00690AEF">
      <w:pPr>
        <w:spacing w:before="0" w:after="0"/>
      </w:pPr>
      <w:r>
        <w:rPr>
          <w:b/>
          <w:bCs/>
        </w:rPr>
        <w:lastRenderedPageBreak/>
        <w:t xml:space="preserve">Table </w:t>
      </w:r>
      <w:proofErr w:type="gramStart"/>
      <w:r>
        <w:rPr>
          <w:b/>
          <w:bCs/>
        </w:rPr>
        <w:t>2</w:t>
      </w:r>
      <w:r w:rsidRPr="00864F5B">
        <w:rPr>
          <w:i/>
          <w:iCs/>
        </w:rPr>
        <w:t xml:space="preserve"> </w:t>
      </w:r>
      <w:r>
        <w:t xml:space="preserve"> Continued</w:t>
      </w:r>
      <w:proofErr w:type="gramEnd"/>
    </w:p>
    <w:p w14:paraId="3D9E9319" w14:textId="77777777" w:rsidR="009E6F6A" w:rsidRDefault="009E6F6A" w:rsidP="00690AEF">
      <w:pPr>
        <w:spacing w:before="0" w:after="0"/>
      </w:pPr>
    </w:p>
    <w:tbl>
      <w:tblPr>
        <w:tblStyle w:val="a0"/>
        <w:tblpPr w:leftFromText="180" w:rightFromText="180" w:vertAnchor="page" w:horzAnchor="margin" w:tblpY="2176"/>
        <w:tblW w:w="93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279"/>
        <w:gridCol w:w="6030"/>
      </w:tblGrid>
      <w:tr w:rsidR="008604EA" w14:paraId="2772BAB0" w14:textId="77777777" w:rsidTr="0048071F">
        <w:trPr>
          <w:trHeight w:val="600"/>
        </w:trPr>
        <w:tc>
          <w:tcPr>
            <w:tcW w:w="3279" w:type="dxa"/>
            <w:tcBorders>
              <w:top w:val="single" w:sz="7" w:space="0" w:color="000000"/>
              <w:left w:val="single" w:sz="7" w:space="0" w:color="000000"/>
              <w:bottom w:val="single" w:sz="7" w:space="0" w:color="000000"/>
              <w:right w:val="single" w:sz="7" w:space="0" w:color="000000"/>
            </w:tcBorders>
          </w:tcPr>
          <w:p w14:paraId="1C03F1FA" w14:textId="77777777" w:rsidR="008604EA" w:rsidRDefault="008604EA" w:rsidP="00CF55EE">
            <w:pPr>
              <w:keepNext/>
              <w:keepLines/>
              <w:spacing w:before="0" w:after="0"/>
              <w:ind w:left="90" w:right="105"/>
            </w:pPr>
            <w:r>
              <w:t>Level of satisfaction with dormitory’s communication</w:t>
            </w:r>
          </w:p>
        </w:tc>
        <w:tc>
          <w:tcPr>
            <w:tcW w:w="6030" w:type="dxa"/>
            <w:tcBorders>
              <w:top w:val="single" w:sz="7" w:space="0" w:color="000000"/>
              <w:left w:val="single" w:sz="7" w:space="0" w:color="000000"/>
              <w:bottom w:val="single" w:sz="7" w:space="0" w:color="000000"/>
              <w:right w:val="single" w:sz="7" w:space="0" w:color="000000"/>
            </w:tcBorders>
          </w:tcPr>
          <w:p w14:paraId="5E66C3CF" w14:textId="77777777" w:rsidR="008604EA" w:rsidRDefault="008604EA" w:rsidP="00CF55EE">
            <w:pPr>
              <w:keepNext/>
              <w:keepLines/>
              <w:spacing w:before="0" w:after="0"/>
              <w:ind w:left="180" w:right="105"/>
            </w:pPr>
            <w:r>
              <w:t>1-4 Likert satisfaction scale from very unsatisfied to very satisfied.</w:t>
            </w:r>
          </w:p>
        </w:tc>
      </w:tr>
      <w:tr w:rsidR="008604EA" w14:paraId="085C0672" w14:textId="77777777" w:rsidTr="0048071F">
        <w:trPr>
          <w:trHeight w:val="4274"/>
        </w:trPr>
        <w:tc>
          <w:tcPr>
            <w:tcW w:w="3279" w:type="dxa"/>
            <w:tcBorders>
              <w:top w:val="single" w:sz="7" w:space="0" w:color="000000"/>
              <w:left w:val="single" w:sz="7" w:space="0" w:color="000000"/>
              <w:bottom w:val="single" w:sz="7" w:space="0" w:color="000000"/>
              <w:right w:val="single" w:sz="7" w:space="0" w:color="000000"/>
            </w:tcBorders>
          </w:tcPr>
          <w:p w14:paraId="7770A749" w14:textId="77777777" w:rsidR="008604EA" w:rsidRDefault="008604EA" w:rsidP="00CF55EE">
            <w:pPr>
              <w:keepNext/>
              <w:keepLines/>
              <w:spacing w:before="0" w:after="0"/>
              <w:ind w:left="90" w:right="105"/>
            </w:pPr>
            <w:r>
              <w:t>QOL</w:t>
            </w:r>
          </w:p>
        </w:tc>
        <w:tc>
          <w:tcPr>
            <w:tcW w:w="6030" w:type="dxa"/>
            <w:tcBorders>
              <w:top w:val="single" w:sz="7" w:space="0" w:color="000000"/>
              <w:left w:val="single" w:sz="7" w:space="0" w:color="000000"/>
              <w:bottom w:val="single" w:sz="7" w:space="0" w:color="000000"/>
              <w:right w:val="single" w:sz="7" w:space="0" w:color="000000"/>
            </w:tcBorders>
          </w:tcPr>
          <w:p w14:paraId="37CE81F3" w14:textId="77777777" w:rsidR="008604EA" w:rsidRDefault="008604EA" w:rsidP="00CF55EE">
            <w:pPr>
              <w:keepNext/>
              <w:keepLines/>
              <w:spacing w:before="0" w:after="0"/>
              <w:ind w:left="180" w:right="105"/>
            </w:pPr>
            <w:r>
              <w:t>QOL domains are self-acceptance/</w:t>
            </w:r>
            <w:proofErr w:type="gramStart"/>
            <w:r>
              <w:t>advocacy,  perceived</w:t>
            </w:r>
            <w:proofErr w:type="gramEnd"/>
            <w:r>
              <w:t xml:space="preserve"> stigma, and participation. The score for each scale of each domain was transformed to a 0-100 range. For self-acceptance/advocacy, the higher score indicates a better QOL. For the perceived stigma and participation scales, the lower score indicates higher QOL.  To calculate the total QOL score, the perceived stigma and participation score is deducted from 100, and then the three scores of each domain are averaged. Higher scores indicate a better QOL.</w:t>
            </w:r>
          </w:p>
        </w:tc>
      </w:tr>
      <w:tr w:rsidR="008604EA" w14:paraId="1773C901" w14:textId="77777777" w:rsidTr="0048071F">
        <w:trPr>
          <w:trHeight w:val="932"/>
        </w:trPr>
        <w:tc>
          <w:tcPr>
            <w:tcW w:w="3279" w:type="dxa"/>
            <w:tcBorders>
              <w:top w:val="single" w:sz="7" w:space="0" w:color="000000"/>
              <w:left w:val="single" w:sz="7" w:space="0" w:color="000000"/>
              <w:bottom w:val="single" w:sz="7" w:space="0" w:color="000000"/>
              <w:right w:val="single" w:sz="7" w:space="0" w:color="000000"/>
            </w:tcBorders>
          </w:tcPr>
          <w:p w14:paraId="4D6FFB9C" w14:textId="77777777" w:rsidR="008604EA" w:rsidRDefault="008604EA" w:rsidP="00CF55EE">
            <w:pPr>
              <w:keepNext/>
              <w:keepLines/>
              <w:spacing w:before="0" w:after="0"/>
              <w:ind w:left="90" w:right="105"/>
            </w:pPr>
            <w:r>
              <w:t>Levels of education</w:t>
            </w:r>
          </w:p>
        </w:tc>
        <w:tc>
          <w:tcPr>
            <w:tcW w:w="6030" w:type="dxa"/>
            <w:tcBorders>
              <w:top w:val="single" w:sz="7" w:space="0" w:color="000000"/>
              <w:left w:val="single" w:sz="7" w:space="0" w:color="000000"/>
              <w:bottom w:val="single" w:sz="7" w:space="0" w:color="000000"/>
              <w:right w:val="single" w:sz="7" w:space="0" w:color="000000"/>
            </w:tcBorders>
          </w:tcPr>
          <w:p w14:paraId="5C14725A" w14:textId="77777777" w:rsidR="008604EA" w:rsidRDefault="008604EA" w:rsidP="00CF55EE">
            <w:pPr>
              <w:keepNext/>
              <w:keepLines/>
              <w:spacing w:before="0" w:after="0"/>
              <w:ind w:left="180" w:right="105"/>
            </w:pPr>
            <w:r>
              <w:t>Highest degree the participant has attained (high school, vocational school, bachelor, and master's)</w:t>
            </w:r>
          </w:p>
        </w:tc>
      </w:tr>
      <w:tr w:rsidR="008604EA" w14:paraId="4B756D30" w14:textId="77777777" w:rsidTr="009E6F6A">
        <w:trPr>
          <w:trHeight w:val="480"/>
        </w:trPr>
        <w:tc>
          <w:tcPr>
            <w:tcW w:w="3279" w:type="dxa"/>
            <w:tcBorders>
              <w:top w:val="single" w:sz="7" w:space="0" w:color="000000"/>
              <w:left w:val="single" w:sz="7" w:space="0" w:color="000000"/>
              <w:bottom w:val="single" w:sz="7" w:space="0" w:color="000000"/>
              <w:right w:val="single" w:sz="7" w:space="0" w:color="000000"/>
            </w:tcBorders>
          </w:tcPr>
          <w:p w14:paraId="4FF2EAD4" w14:textId="77777777" w:rsidR="008604EA" w:rsidRDefault="008604EA" w:rsidP="00CF55EE">
            <w:pPr>
              <w:keepNext/>
              <w:keepLines/>
              <w:spacing w:before="0" w:after="0"/>
              <w:ind w:left="90" w:right="105"/>
            </w:pPr>
            <w:r>
              <w:t>Gender</w:t>
            </w:r>
          </w:p>
        </w:tc>
        <w:tc>
          <w:tcPr>
            <w:tcW w:w="6030" w:type="dxa"/>
            <w:tcBorders>
              <w:top w:val="single" w:sz="7" w:space="0" w:color="000000"/>
              <w:left w:val="single" w:sz="7" w:space="0" w:color="000000"/>
              <w:bottom w:val="single" w:sz="7" w:space="0" w:color="000000"/>
              <w:right w:val="single" w:sz="7" w:space="0" w:color="000000"/>
            </w:tcBorders>
          </w:tcPr>
          <w:p w14:paraId="35279B16" w14:textId="77777777" w:rsidR="008604EA" w:rsidRDefault="008604EA" w:rsidP="00CF55EE">
            <w:pPr>
              <w:keepNext/>
              <w:keepLines/>
              <w:spacing w:before="0" w:after="0"/>
              <w:ind w:left="180" w:right="105"/>
            </w:pPr>
            <w:r>
              <w:t>Self-identified (Male, Female, and others)</w:t>
            </w:r>
          </w:p>
        </w:tc>
      </w:tr>
      <w:tr w:rsidR="008604EA" w14:paraId="09E5F728" w14:textId="77777777" w:rsidTr="0048071F">
        <w:trPr>
          <w:trHeight w:val="902"/>
        </w:trPr>
        <w:tc>
          <w:tcPr>
            <w:tcW w:w="3279" w:type="dxa"/>
            <w:tcBorders>
              <w:top w:val="single" w:sz="7" w:space="0" w:color="000000"/>
              <w:left w:val="single" w:sz="7" w:space="0" w:color="000000"/>
              <w:bottom w:val="single" w:sz="7" w:space="0" w:color="000000"/>
              <w:right w:val="single" w:sz="7" w:space="0" w:color="000000"/>
            </w:tcBorders>
          </w:tcPr>
          <w:p w14:paraId="72EAAE3D" w14:textId="77777777" w:rsidR="008604EA" w:rsidRDefault="008604EA" w:rsidP="00CF55EE">
            <w:pPr>
              <w:keepNext/>
              <w:keepLines/>
              <w:spacing w:before="0" w:after="0"/>
              <w:ind w:left="90" w:right="105"/>
            </w:pPr>
            <w:r>
              <w:t>Race</w:t>
            </w:r>
          </w:p>
        </w:tc>
        <w:tc>
          <w:tcPr>
            <w:tcW w:w="6030" w:type="dxa"/>
            <w:tcBorders>
              <w:top w:val="single" w:sz="7" w:space="0" w:color="000000"/>
              <w:left w:val="single" w:sz="7" w:space="0" w:color="000000"/>
              <w:bottom w:val="single" w:sz="7" w:space="0" w:color="000000"/>
              <w:right w:val="single" w:sz="7" w:space="0" w:color="000000"/>
            </w:tcBorders>
          </w:tcPr>
          <w:p w14:paraId="302B5844" w14:textId="77777777" w:rsidR="008604EA" w:rsidRDefault="008604EA" w:rsidP="00CF55EE">
            <w:pPr>
              <w:keepNext/>
              <w:keepLines/>
              <w:spacing w:before="0" w:after="0"/>
              <w:ind w:left="180" w:right="105"/>
            </w:pPr>
            <w:r>
              <w:t>Self-identified as Malay, Chinese, Indian, Orang Asli (Indigenous), or other</w:t>
            </w:r>
          </w:p>
        </w:tc>
      </w:tr>
      <w:tr w:rsidR="008604EA" w14:paraId="79ECA9E8" w14:textId="77777777" w:rsidTr="0048071F">
        <w:trPr>
          <w:trHeight w:val="902"/>
        </w:trPr>
        <w:tc>
          <w:tcPr>
            <w:tcW w:w="3279" w:type="dxa"/>
            <w:tcBorders>
              <w:top w:val="single" w:sz="7" w:space="0" w:color="000000"/>
              <w:left w:val="single" w:sz="7" w:space="0" w:color="000000"/>
              <w:bottom w:val="single" w:sz="7" w:space="0" w:color="000000"/>
              <w:right w:val="single" w:sz="7" w:space="0" w:color="000000"/>
            </w:tcBorders>
          </w:tcPr>
          <w:p w14:paraId="60E9417E" w14:textId="3F2958E6" w:rsidR="008604EA" w:rsidRDefault="008604EA" w:rsidP="00CF55EE">
            <w:pPr>
              <w:keepNext/>
              <w:keepLines/>
              <w:spacing w:before="0" w:after="0"/>
              <w:ind w:right="105"/>
            </w:pPr>
            <w:r>
              <w:t>Identification as Deaf or Hard of Hearing</w:t>
            </w:r>
          </w:p>
        </w:tc>
        <w:tc>
          <w:tcPr>
            <w:tcW w:w="6030" w:type="dxa"/>
            <w:tcBorders>
              <w:top w:val="single" w:sz="7" w:space="0" w:color="000000"/>
              <w:left w:val="single" w:sz="7" w:space="0" w:color="000000"/>
              <w:bottom w:val="single" w:sz="7" w:space="0" w:color="000000"/>
              <w:right w:val="single" w:sz="7" w:space="0" w:color="000000"/>
            </w:tcBorders>
          </w:tcPr>
          <w:p w14:paraId="6F826F17" w14:textId="30444EA4" w:rsidR="008604EA" w:rsidRDefault="008604EA" w:rsidP="00CF55EE">
            <w:pPr>
              <w:keepNext/>
              <w:keepLines/>
              <w:spacing w:before="0" w:after="0"/>
              <w:ind w:left="180" w:right="105"/>
            </w:pPr>
            <w:r>
              <w:t xml:space="preserve">Self-identified as Deaf or hard of hearing. The researcher did not ask for audiogram documentation.  </w:t>
            </w:r>
          </w:p>
        </w:tc>
      </w:tr>
      <w:tr w:rsidR="001305C4" w14:paraId="06F31599" w14:textId="77777777" w:rsidTr="0048071F">
        <w:trPr>
          <w:trHeight w:val="902"/>
        </w:trPr>
        <w:tc>
          <w:tcPr>
            <w:tcW w:w="3279" w:type="dxa"/>
            <w:tcBorders>
              <w:top w:val="single" w:sz="7" w:space="0" w:color="000000"/>
              <w:left w:val="single" w:sz="7" w:space="0" w:color="000000"/>
              <w:bottom w:val="single" w:sz="7" w:space="0" w:color="000000"/>
              <w:right w:val="single" w:sz="7" w:space="0" w:color="000000"/>
            </w:tcBorders>
          </w:tcPr>
          <w:p w14:paraId="3BB69030" w14:textId="002C1265" w:rsidR="001305C4" w:rsidRDefault="001305C4" w:rsidP="001305C4">
            <w:pPr>
              <w:keepNext/>
              <w:keepLines/>
              <w:spacing w:before="0" w:after="0"/>
              <w:ind w:right="105"/>
            </w:pPr>
            <w:r>
              <w:t>School Placement</w:t>
            </w:r>
          </w:p>
        </w:tc>
        <w:tc>
          <w:tcPr>
            <w:tcW w:w="6030" w:type="dxa"/>
            <w:tcBorders>
              <w:top w:val="single" w:sz="7" w:space="0" w:color="000000"/>
              <w:left w:val="single" w:sz="7" w:space="0" w:color="000000"/>
              <w:bottom w:val="single" w:sz="7" w:space="0" w:color="000000"/>
              <w:right w:val="single" w:sz="7" w:space="0" w:color="000000"/>
            </w:tcBorders>
          </w:tcPr>
          <w:p w14:paraId="65C663E4" w14:textId="35CA5335" w:rsidR="001305C4" w:rsidRDefault="001305C4" w:rsidP="001305C4">
            <w:pPr>
              <w:keepNext/>
              <w:keepLines/>
              <w:spacing w:before="0" w:after="0"/>
              <w:ind w:left="180" w:right="105"/>
            </w:pPr>
            <w:r>
              <w:t>Self-identified as Residential school, day school, Integration Education Program, or Mainstreaming Education Program). Participants can choose as many as they have experienced.</w:t>
            </w:r>
          </w:p>
        </w:tc>
      </w:tr>
    </w:tbl>
    <w:p w14:paraId="10CF6A90" w14:textId="77777777" w:rsidR="009E4375" w:rsidRDefault="00000000">
      <w:pPr>
        <w:pStyle w:val="Heading3"/>
      </w:pPr>
      <w:bookmarkStart w:id="61" w:name="_Toc214490417"/>
      <w:r>
        <w:lastRenderedPageBreak/>
        <w:t>Data Analysis</w:t>
      </w:r>
      <w:bookmarkEnd w:id="61"/>
    </w:p>
    <w:p w14:paraId="10CF6A91" w14:textId="77777777" w:rsidR="009E4375" w:rsidRDefault="00000000">
      <w:pPr>
        <w:ind w:firstLine="720"/>
      </w:pPr>
      <w:r>
        <w:t xml:space="preserve">I cleaned the data prior to performing any analyses. The Statistical Package for the Social Sciences (SPSS) was used for the data cleaning and analysis process.  There were no missing data, outliers, or incorrect data. After no errors were found, I conducted a frequency analysis and descriptive statistics for the data summary. Then, t-tests and ANOVAs were conducted to compare group means for overall QOL. MANOVA was conducted to compare demographic variables across the QOL subdomains. A Spearman correlation was conducted to determine the relationship between satisfaction of sign language used during one’s childhood with one’s QOL in adulthood. Upon statistically significant MANOVA results, one-way ANOVAs were conducted along with Least Significant Differences (LSD) post-hoc analyses. For Bonferroni correction, an alpha level of .05 was divided by the number of the tests and the new alpha would be considered statistically significant for the subdomains. The </w:t>
      </w:r>
      <w:proofErr w:type="gramStart"/>
      <w:r>
        <w:t>analyses</w:t>
      </w:r>
      <w:proofErr w:type="gramEnd"/>
      <w:r>
        <w:t xml:space="preserve"> </w:t>
      </w:r>
      <w:proofErr w:type="gramStart"/>
      <w:r>
        <w:t>by</w:t>
      </w:r>
      <w:proofErr w:type="gramEnd"/>
      <w:r>
        <w:t xml:space="preserve"> research </w:t>
      </w:r>
      <w:proofErr w:type="gramStart"/>
      <w:r>
        <w:t>question</w:t>
      </w:r>
      <w:proofErr w:type="gramEnd"/>
      <w:r>
        <w:t xml:space="preserve"> are provided in Table 3. The statistical analysis results are interpreted in the context of the research question and the existing literature. Finally, the results are reported in a clear and concise manner, following the guidelines of the relevant reporting standards, APA</w:t>
      </w:r>
    </w:p>
    <w:p w14:paraId="14C00D6B" w14:textId="77777777" w:rsidR="00CF55EE" w:rsidRDefault="00CF55EE">
      <w:pPr>
        <w:spacing w:line="276" w:lineRule="auto"/>
        <w:rPr>
          <w:b/>
          <w:bCs/>
        </w:rPr>
      </w:pPr>
    </w:p>
    <w:p w14:paraId="10CF6A93" w14:textId="77777777" w:rsidR="009E4375" w:rsidRDefault="00000000">
      <w:pPr>
        <w:spacing w:line="276" w:lineRule="auto"/>
        <w:rPr>
          <w:b/>
          <w:bCs/>
        </w:rPr>
      </w:pPr>
      <w:r>
        <w:rPr>
          <w:b/>
          <w:bCs/>
        </w:rPr>
        <w:t>Table 3</w:t>
      </w:r>
    </w:p>
    <w:p w14:paraId="10CF6A94" w14:textId="77777777" w:rsidR="009E4375" w:rsidRDefault="00000000">
      <w:pPr>
        <w:pStyle w:val="Heading4"/>
        <w:spacing w:before="200" w:after="200" w:line="276" w:lineRule="auto"/>
        <w:rPr>
          <w:b w:val="0"/>
          <w:bCs w:val="0"/>
        </w:rPr>
      </w:pPr>
      <w:bookmarkStart w:id="62" w:name="_Toc214490418"/>
      <w:r>
        <w:rPr>
          <w:b w:val="0"/>
          <w:bCs w:val="0"/>
        </w:rPr>
        <w:t>Analysis by Questions</w:t>
      </w:r>
      <w:bookmarkEnd w:id="62"/>
    </w:p>
    <w:tbl>
      <w:tblPr>
        <w:tblStyle w:val="a1"/>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15"/>
        <w:gridCol w:w="4200"/>
      </w:tblGrid>
      <w:tr w:rsidR="009E4375" w14:paraId="10CF6A97" w14:textId="77777777">
        <w:trPr>
          <w:trHeight w:val="503"/>
        </w:trPr>
        <w:tc>
          <w:tcPr>
            <w:tcW w:w="5115" w:type="dxa"/>
            <w:tcBorders>
              <w:top w:val="single" w:sz="7" w:space="0" w:color="000000"/>
              <w:left w:val="single" w:sz="7" w:space="0" w:color="000000"/>
              <w:bottom w:val="single" w:sz="7" w:space="0" w:color="000000"/>
              <w:right w:val="single" w:sz="7" w:space="0" w:color="000000"/>
            </w:tcBorders>
          </w:tcPr>
          <w:p w14:paraId="10CF6A95" w14:textId="77777777" w:rsidR="009E4375" w:rsidRDefault="00000000">
            <w:pPr>
              <w:spacing w:before="0" w:after="0"/>
              <w:jc w:val="center"/>
              <w:rPr>
                <w:b/>
                <w:bCs/>
              </w:rPr>
            </w:pPr>
            <w:r>
              <w:rPr>
                <w:b/>
                <w:bCs/>
              </w:rPr>
              <w:t>Question</w:t>
            </w:r>
          </w:p>
        </w:tc>
        <w:tc>
          <w:tcPr>
            <w:tcW w:w="4200" w:type="dxa"/>
            <w:tcBorders>
              <w:top w:val="single" w:sz="7" w:space="0" w:color="000000"/>
              <w:left w:val="single" w:sz="7" w:space="0" w:color="000000"/>
              <w:bottom w:val="single" w:sz="7" w:space="0" w:color="000000"/>
              <w:right w:val="single" w:sz="7" w:space="0" w:color="000000"/>
            </w:tcBorders>
          </w:tcPr>
          <w:p w14:paraId="10CF6A96" w14:textId="77777777" w:rsidR="009E4375" w:rsidRDefault="00000000">
            <w:pPr>
              <w:spacing w:before="0" w:after="0"/>
              <w:jc w:val="center"/>
              <w:rPr>
                <w:b/>
                <w:bCs/>
              </w:rPr>
            </w:pPr>
            <w:r>
              <w:rPr>
                <w:b/>
                <w:bCs/>
              </w:rPr>
              <w:t>Analysis</w:t>
            </w:r>
          </w:p>
        </w:tc>
      </w:tr>
      <w:tr w:rsidR="009E4375" w14:paraId="10CF6A9A" w14:textId="77777777">
        <w:trPr>
          <w:trHeight w:val="1410"/>
        </w:trPr>
        <w:tc>
          <w:tcPr>
            <w:tcW w:w="5115" w:type="dxa"/>
            <w:tcBorders>
              <w:top w:val="single" w:sz="7" w:space="0" w:color="000000"/>
              <w:left w:val="single" w:sz="7" w:space="0" w:color="000000"/>
              <w:bottom w:val="single" w:sz="7" w:space="0" w:color="000000"/>
              <w:right w:val="single" w:sz="7" w:space="0" w:color="000000"/>
            </w:tcBorders>
          </w:tcPr>
          <w:p w14:paraId="10CF6A98" w14:textId="77777777" w:rsidR="009E4375" w:rsidRDefault="00000000">
            <w:pPr>
              <w:numPr>
                <w:ilvl w:val="0"/>
                <w:numId w:val="25"/>
              </w:numPr>
              <w:spacing w:before="0" w:after="0"/>
              <w:ind w:left="360"/>
            </w:pPr>
            <w:r>
              <w:t>Are there demographic variables that relate to higher or lesser QOL outcomes for deaf Malaysians?</w:t>
            </w:r>
          </w:p>
        </w:tc>
        <w:tc>
          <w:tcPr>
            <w:tcW w:w="4200" w:type="dxa"/>
            <w:tcBorders>
              <w:top w:val="single" w:sz="7" w:space="0" w:color="000000"/>
              <w:left w:val="single" w:sz="7" w:space="0" w:color="000000"/>
              <w:bottom w:val="single" w:sz="7" w:space="0" w:color="000000"/>
              <w:right w:val="single" w:sz="7" w:space="0" w:color="000000"/>
            </w:tcBorders>
          </w:tcPr>
          <w:p w14:paraId="10CF6A99" w14:textId="77777777" w:rsidR="009E4375" w:rsidRDefault="009E4375">
            <w:pPr>
              <w:spacing w:before="0" w:after="0"/>
            </w:pPr>
          </w:p>
        </w:tc>
      </w:tr>
    </w:tbl>
    <w:p w14:paraId="5480DAB2" w14:textId="77777777" w:rsidR="009938D6" w:rsidRDefault="009938D6">
      <w:r>
        <w:br w:type="page"/>
      </w:r>
    </w:p>
    <w:p w14:paraId="760723D6" w14:textId="4C828937" w:rsidR="009938D6" w:rsidRPr="009938D6" w:rsidRDefault="009938D6" w:rsidP="009938D6">
      <w:pPr>
        <w:spacing w:line="276" w:lineRule="auto"/>
      </w:pPr>
      <w:r>
        <w:rPr>
          <w:b/>
          <w:bCs/>
        </w:rPr>
        <w:lastRenderedPageBreak/>
        <w:t xml:space="preserve">Table 3 </w:t>
      </w:r>
      <w:r w:rsidR="002E5D90">
        <w:t>Continued</w:t>
      </w:r>
    </w:p>
    <w:tbl>
      <w:tblPr>
        <w:tblStyle w:val="a1"/>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15"/>
        <w:gridCol w:w="4200"/>
      </w:tblGrid>
      <w:tr w:rsidR="00102299" w14:paraId="26590D65"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2C2B67A7" w14:textId="6CF0CE75" w:rsidR="00102299" w:rsidRDefault="00102299" w:rsidP="00102299">
            <w:pPr>
              <w:spacing w:before="0" w:after="0"/>
              <w:ind w:left="450" w:hanging="450"/>
            </w:pPr>
            <w:r>
              <w:t>1.1. Is there a difference in QOL and QOL domains (participation, self-acceptance/advocacy, and perceived stigma) among deaf adults based on the signed communication most often used?</w:t>
            </w:r>
          </w:p>
        </w:tc>
        <w:tc>
          <w:tcPr>
            <w:tcW w:w="4200" w:type="dxa"/>
            <w:tcBorders>
              <w:top w:val="single" w:sz="7" w:space="0" w:color="000000"/>
              <w:left w:val="single" w:sz="7" w:space="0" w:color="000000"/>
              <w:bottom w:val="single" w:sz="7" w:space="0" w:color="000000"/>
              <w:right w:val="single" w:sz="7" w:space="0" w:color="000000"/>
            </w:tcBorders>
          </w:tcPr>
          <w:p w14:paraId="6D2D42D5" w14:textId="77777777" w:rsidR="00102299" w:rsidRDefault="00102299" w:rsidP="00102299">
            <w:pPr>
              <w:spacing w:before="0" w:after="0"/>
            </w:pPr>
            <w:r>
              <w:t xml:space="preserve">T-test: </w:t>
            </w:r>
            <w:proofErr w:type="gramStart"/>
            <w:r>
              <w:t>compare</w:t>
            </w:r>
            <w:proofErr w:type="gramEnd"/>
            <w:r>
              <w:t xml:space="preserve"> BIM and KTBM most often used in one’s daily life</w:t>
            </w:r>
          </w:p>
          <w:p w14:paraId="7C69C79B" w14:textId="77777777" w:rsidR="00102299" w:rsidRDefault="00102299" w:rsidP="00102299">
            <w:pPr>
              <w:spacing w:before="0" w:after="0"/>
            </w:pPr>
            <w:r>
              <w:t>in terms of the overall QOL.</w:t>
            </w:r>
          </w:p>
          <w:p w14:paraId="011B8A9C" w14:textId="77777777" w:rsidR="00102299" w:rsidRDefault="00102299" w:rsidP="00102299">
            <w:pPr>
              <w:spacing w:before="0" w:after="0"/>
            </w:pPr>
            <w:r>
              <w:t xml:space="preserve">MANOVA: </w:t>
            </w:r>
            <w:proofErr w:type="gramStart"/>
            <w:r>
              <w:t>compare</w:t>
            </w:r>
            <w:proofErr w:type="gramEnd"/>
            <w:r>
              <w:t xml:space="preserve"> the signed communication most often used in one’s daily life</w:t>
            </w:r>
          </w:p>
          <w:p w14:paraId="1834381A" w14:textId="18A13B8C" w:rsidR="00102299" w:rsidRDefault="00102299" w:rsidP="00102299">
            <w:pPr>
              <w:spacing w:before="0" w:after="0"/>
            </w:pPr>
            <w:r>
              <w:t>in terms of each subdomain with a condition of Bonferroni correction.</w:t>
            </w:r>
          </w:p>
        </w:tc>
      </w:tr>
      <w:tr w:rsidR="00102299" w14:paraId="7960FE66"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4479241A" w14:textId="64C11B21" w:rsidR="00102299" w:rsidRDefault="00102299" w:rsidP="00102299">
            <w:pPr>
              <w:spacing w:before="0" w:after="0"/>
              <w:ind w:left="450" w:hanging="450"/>
            </w:pPr>
            <w:r>
              <w:t>1.2. Is there a difference in QOL among deaf adults based on gender?</w:t>
            </w:r>
          </w:p>
        </w:tc>
        <w:tc>
          <w:tcPr>
            <w:tcW w:w="4200" w:type="dxa"/>
            <w:tcBorders>
              <w:top w:val="single" w:sz="7" w:space="0" w:color="000000"/>
              <w:left w:val="single" w:sz="7" w:space="0" w:color="000000"/>
              <w:bottom w:val="single" w:sz="7" w:space="0" w:color="000000"/>
              <w:right w:val="single" w:sz="7" w:space="0" w:color="000000"/>
            </w:tcBorders>
          </w:tcPr>
          <w:p w14:paraId="5F3AAFBB" w14:textId="77777777" w:rsidR="00102299" w:rsidRDefault="00102299" w:rsidP="00102299">
            <w:pPr>
              <w:spacing w:before="0" w:after="0"/>
            </w:pPr>
            <w:r>
              <w:t>T-test: compare male and female</w:t>
            </w:r>
          </w:p>
          <w:p w14:paraId="6974849A" w14:textId="77777777" w:rsidR="00102299" w:rsidRDefault="00102299" w:rsidP="00102299">
            <w:pPr>
              <w:spacing w:before="0" w:after="0"/>
            </w:pPr>
            <w:r>
              <w:t>in terms of the overall QOL.</w:t>
            </w:r>
          </w:p>
          <w:p w14:paraId="766AC6FE" w14:textId="361008D3" w:rsidR="00102299" w:rsidRDefault="00102299" w:rsidP="00102299">
            <w:pPr>
              <w:spacing w:before="0" w:after="0"/>
            </w:pPr>
            <w:r>
              <w:t>MANOVA: compare male and female in terms of each subdomain with a condition of Bonferroni correction.</w:t>
            </w:r>
          </w:p>
        </w:tc>
      </w:tr>
      <w:tr w:rsidR="00102299" w14:paraId="649A257A"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0CD2A981" w14:textId="252738DE" w:rsidR="00102299" w:rsidRDefault="00102299" w:rsidP="00102299">
            <w:pPr>
              <w:spacing w:before="0" w:after="0"/>
              <w:ind w:left="450" w:hanging="450"/>
            </w:pPr>
            <w:r>
              <w:t xml:space="preserve">1.3. Is there a difference in QOL among deaf adults based on race? </w:t>
            </w:r>
          </w:p>
        </w:tc>
        <w:tc>
          <w:tcPr>
            <w:tcW w:w="4200" w:type="dxa"/>
            <w:tcBorders>
              <w:top w:val="single" w:sz="7" w:space="0" w:color="000000"/>
              <w:left w:val="single" w:sz="7" w:space="0" w:color="000000"/>
              <w:bottom w:val="single" w:sz="7" w:space="0" w:color="000000"/>
              <w:right w:val="single" w:sz="7" w:space="0" w:color="000000"/>
            </w:tcBorders>
          </w:tcPr>
          <w:p w14:paraId="6CBD5152" w14:textId="77777777" w:rsidR="00102299" w:rsidRDefault="00102299" w:rsidP="00102299">
            <w:pPr>
              <w:spacing w:before="0" w:after="0"/>
            </w:pPr>
            <w:r>
              <w:t xml:space="preserve">ANOVA: </w:t>
            </w:r>
            <w:proofErr w:type="gramStart"/>
            <w:r>
              <w:t>compare</w:t>
            </w:r>
            <w:proofErr w:type="gramEnd"/>
            <w:r>
              <w:t xml:space="preserve"> groups based on race in terms of the overall QOL.</w:t>
            </w:r>
          </w:p>
          <w:p w14:paraId="08BD6361" w14:textId="35E5AB3B" w:rsidR="00102299" w:rsidRDefault="00102299" w:rsidP="00102299">
            <w:pPr>
              <w:spacing w:before="0" w:after="0"/>
            </w:pPr>
            <w:r>
              <w:t>MANOVA: compare among races in terms of each subdomain with a condition of Bonferroni correction.</w:t>
            </w:r>
          </w:p>
        </w:tc>
      </w:tr>
      <w:tr w:rsidR="00102299" w14:paraId="10CF6AAD"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10CF6AAA" w14:textId="77777777" w:rsidR="00102299" w:rsidRDefault="00102299" w:rsidP="00102299">
            <w:pPr>
              <w:spacing w:before="0" w:after="0"/>
              <w:ind w:left="450" w:hanging="450"/>
            </w:pPr>
            <w:r>
              <w:t xml:space="preserve">1.4. Is there a difference in QOL among deaf adults based on deaf or hard of hearing identity? </w:t>
            </w:r>
          </w:p>
        </w:tc>
        <w:tc>
          <w:tcPr>
            <w:tcW w:w="4200" w:type="dxa"/>
            <w:tcBorders>
              <w:top w:val="single" w:sz="7" w:space="0" w:color="000000"/>
              <w:left w:val="single" w:sz="7" w:space="0" w:color="000000"/>
              <w:bottom w:val="single" w:sz="7" w:space="0" w:color="000000"/>
              <w:right w:val="single" w:sz="7" w:space="0" w:color="000000"/>
            </w:tcBorders>
          </w:tcPr>
          <w:p w14:paraId="10CF6AAB" w14:textId="77777777" w:rsidR="00102299" w:rsidRDefault="00102299" w:rsidP="00102299">
            <w:pPr>
              <w:spacing w:before="0" w:after="0"/>
            </w:pPr>
            <w:r>
              <w:t>T-test: compare deaf and hard of hearing in terms of the overall QOL.</w:t>
            </w:r>
          </w:p>
          <w:p w14:paraId="10CF6AAC" w14:textId="46B1FD3B" w:rsidR="00102299" w:rsidRDefault="00102299" w:rsidP="00102299">
            <w:pPr>
              <w:spacing w:before="0" w:after="0"/>
            </w:pPr>
            <w:r>
              <w:t>MANOVA: compare deaf and hard of hearing in terms of each subdomain with a condition of Bonferroni correction.</w:t>
            </w:r>
          </w:p>
        </w:tc>
      </w:tr>
    </w:tbl>
    <w:p w14:paraId="045BA1E6" w14:textId="77777777" w:rsidR="0066400E" w:rsidRDefault="0066400E">
      <w:r>
        <w:br w:type="page"/>
      </w:r>
    </w:p>
    <w:p w14:paraId="362A34A6" w14:textId="77777777" w:rsidR="0066400E" w:rsidRDefault="0066400E" w:rsidP="0066400E">
      <w:pPr>
        <w:spacing w:line="276" w:lineRule="auto"/>
      </w:pPr>
      <w:r>
        <w:rPr>
          <w:b/>
          <w:bCs/>
        </w:rPr>
        <w:lastRenderedPageBreak/>
        <w:t xml:space="preserve">Table 3 </w:t>
      </w:r>
      <w:r>
        <w:t>Continued</w:t>
      </w:r>
    </w:p>
    <w:tbl>
      <w:tblPr>
        <w:tblStyle w:val="a1"/>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15"/>
        <w:gridCol w:w="4200"/>
      </w:tblGrid>
      <w:tr w:rsidR="00102299" w14:paraId="36885390"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2B3BF2E4" w14:textId="280C8BCB" w:rsidR="00102299" w:rsidRDefault="00102299" w:rsidP="00102299">
            <w:pPr>
              <w:pStyle w:val="ListParagraph"/>
              <w:numPr>
                <w:ilvl w:val="0"/>
                <w:numId w:val="25"/>
              </w:numPr>
              <w:spacing w:before="0" w:after="0"/>
              <w:ind w:left="435"/>
            </w:pPr>
            <w:r>
              <w:t>What is the relationship between deaf Malaysians’ satisfaction with the signed communication used during one’s formative school years and their QOL in adulthood?</w:t>
            </w:r>
          </w:p>
        </w:tc>
        <w:tc>
          <w:tcPr>
            <w:tcW w:w="4200" w:type="dxa"/>
            <w:tcBorders>
              <w:top w:val="single" w:sz="7" w:space="0" w:color="000000"/>
              <w:left w:val="single" w:sz="7" w:space="0" w:color="000000"/>
              <w:bottom w:val="single" w:sz="7" w:space="0" w:color="000000"/>
              <w:right w:val="single" w:sz="7" w:space="0" w:color="000000"/>
            </w:tcBorders>
          </w:tcPr>
          <w:p w14:paraId="35E1E7DA" w14:textId="77777777" w:rsidR="00102299" w:rsidRDefault="00102299" w:rsidP="00102299">
            <w:pPr>
              <w:spacing w:before="0" w:after="0"/>
            </w:pPr>
          </w:p>
        </w:tc>
      </w:tr>
      <w:tr w:rsidR="00102299" w14:paraId="5772E43D"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7BFDDDED" w14:textId="0B21C42E" w:rsidR="00102299" w:rsidRDefault="00102299" w:rsidP="00102299">
            <w:pPr>
              <w:spacing w:before="0" w:after="0"/>
              <w:ind w:left="450" w:hanging="450"/>
            </w:pPr>
            <w:r>
              <w:t>2.1. What is the relationship between deaf Malaysians’ satisfaction with the signed communication used in the school during the formative school years and their QOL in adulthood?</w:t>
            </w:r>
          </w:p>
        </w:tc>
        <w:tc>
          <w:tcPr>
            <w:tcW w:w="4200" w:type="dxa"/>
            <w:tcBorders>
              <w:top w:val="single" w:sz="7" w:space="0" w:color="000000"/>
              <w:left w:val="single" w:sz="7" w:space="0" w:color="000000"/>
              <w:bottom w:val="single" w:sz="7" w:space="0" w:color="000000"/>
              <w:right w:val="single" w:sz="7" w:space="0" w:color="000000"/>
            </w:tcBorders>
          </w:tcPr>
          <w:p w14:paraId="5537C44F" w14:textId="46F20EE4" w:rsidR="00102299" w:rsidRDefault="00102299" w:rsidP="00102299">
            <w:pPr>
              <w:spacing w:before="0" w:after="0"/>
            </w:pPr>
            <w:r>
              <w:t>Spearman correlations for overall and subdomains based on the level of satisfaction with the signed communication used in the school during their formative school years.</w:t>
            </w:r>
          </w:p>
        </w:tc>
      </w:tr>
      <w:tr w:rsidR="00102299" w14:paraId="4C6F3D71"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0871B88B" w14:textId="6294F8EE" w:rsidR="00102299" w:rsidRDefault="00102299" w:rsidP="00102299">
            <w:pPr>
              <w:spacing w:before="0" w:after="0"/>
              <w:ind w:left="450" w:hanging="450"/>
            </w:pPr>
            <w:r>
              <w:t>2.2. What is the relationship between deaf Malaysians’ satisfaction with the signed communication used with their family members at home during their formative school years and their QOL in adulthood?</w:t>
            </w:r>
          </w:p>
        </w:tc>
        <w:tc>
          <w:tcPr>
            <w:tcW w:w="4200" w:type="dxa"/>
            <w:tcBorders>
              <w:top w:val="single" w:sz="7" w:space="0" w:color="000000"/>
              <w:left w:val="single" w:sz="7" w:space="0" w:color="000000"/>
              <w:bottom w:val="single" w:sz="7" w:space="0" w:color="000000"/>
              <w:right w:val="single" w:sz="7" w:space="0" w:color="000000"/>
            </w:tcBorders>
          </w:tcPr>
          <w:p w14:paraId="0DC151E4" w14:textId="4F321F63" w:rsidR="00102299" w:rsidRDefault="00102299" w:rsidP="00102299">
            <w:pPr>
              <w:spacing w:before="0" w:after="0"/>
            </w:pPr>
            <w:r>
              <w:t>Spearman correlations for overall and subdomains based on the level of satisfaction with the signed communication with their family members at home during their formative school years.</w:t>
            </w:r>
          </w:p>
        </w:tc>
      </w:tr>
      <w:tr w:rsidR="00102299" w14:paraId="0FCBCC35"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3061A423" w14:textId="70EDA364" w:rsidR="00102299" w:rsidRDefault="00102299" w:rsidP="00102299">
            <w:pPr>
              <w:spacing w:before="0" w:after="0"/>
              <w:ind w:left="450" w:hanging="450"/>
            </w:pPr>
            <w:r>
              <w:t>2.3. What is the relationship between deaf Malaysians’ satisfaction with the signed communication used with their friends in the dormitories during their formative school years and their QOL in adulthood?</w:t>
            </w:r>
          </w:p>
        </w:tc>
        <w:tc>
          <w:tcPr>
            <w:tcW w:w="4200" w:type="dxa"/>
            <w:tcBorders>
              <w:top w:val="single" w:sz="7" w:space="0" w:color="000000"/>
              <w:left w:val="single" w:sz="7" w:space="0" w:color="000000"/>
              <w:bottom w:val="single" w:sz="7" w:space="0" w:color="000000"/>
              <w:right w:val="single" w:sz="7" w:space="0" w:color="000000"/>
            </w:tcBorders>
          </w:tcPr>
          <w:p w14:paraId="2CE2B1CD" w14:textId="7619CC4C" w:rsidR="00102299" w:rsidRDefault="00102299" w:rsidP="00102299">
            <w:pPr>
              <w:spacing w:before="0" w:after="0"/>
            </w:pPr>
            <w:r>
              <w:t>Spearman correlations for overall and subdomains based on the level of satisfaction with the signed communication in the dormitories during their formative school years.</w:t>
            </w:r>
          </w:p>
        </w:tc>
      </w:tr>
      <w:tr w:rsidR="000E1AD1" w14:paraId="2274BFD2" w14:textId="77777777">
        <w:trPr>
          <w:trHeight w:val="1590"/>
        </w:trPr>
        <w:tc>
          <w:tcPr>
            <w:tcW w:w="5115" w:type="dxa"/>
            <w:tcBorders>
              <w:top w:val="single" w:sz="7" w:space="0" w:color="000000"/>
              <w:left w:val="single" w:sz="7" w:space="0" w:color="000000"/>
              <w:bottom w:val="single" w:sz="7" w:space="0" w:color="000000"/>
              <w:right w:val="single" w:sz="7" w:space="0" w:color="000000"/>
            </w:tcBorders>
          </w:tcPr>
          <w:p w14:paraId="36FC33AD" w14:textId="65999FBB" w:rsidR="000E1AD1" w:rsidRDefault="000E1AD1" w:rsidP="000E1AD1">
            <w:pPr>
              <w:pStyle w:val="ListParagraph"/>
              <w:numPr>
                <w:ilvl w:val="0"/>
                <w:numId w:val="25"/>
              </w:numPr>
              <w:spacing w:before="0" w:after="0"/>
              <w:ind w:left="525"/>
            </w:pPr>
            <w:r>
              <w:t>Does the signed communication most often used during one’s previous school years impact deaf Malaysian’s QOL in adulthood?</w:t>
            </w:r>
          </w:p>
        </w:tc>
        <w:tc>
          <w:tcPr>
            <w:tcW w:w="4200" w:type="dxa"/>
            <w:tcBorders>
              <w:top w:val="single" w:sz="7" w:space="0" w:color="000000"/>
              <w:left w:val="single" w:sz="7" w:space="0" w:color="000000"/>
              <w:bottom w:val="single" w:sz="7" w:space="0" w:color="000000"/>
              <w:right w:val="single" w:sz="7" w:space="0" w:color="000000"/>
            </w:tcBorders>
          </w:tcPr>
          <w:p w14:paraId="04574167" w14:textId="77777777" w:rsidR="000E1AD1" w:rsidRDefault="000E1AD1" w:rsidP="00102299">
            <w:pPr>
              <w:spacing w:before="0" w:after="0"/>
            </w:pPr>
          </w:p>
        </w:tc>
      </w:tr>
    </w:tbl>
    <w:p w14:paraId="1B59444A" w14:textId="4A9D851A" w:rsidR="000E1AD1" w:rsidRDefault="000E1AD1">
      <w:pPr>
        <w:rPr>
          <w:b/>
          <w:bCs/>
        </w:rPr>
      </w:pPr>
    </w:p>
    <w:p w14:paraId="4942206A" w14:textId="1AD292DF" w:rsidR="002E5D90" w:rsidRDefault="002E5D90" w:rsidP="002E5D90">
      <w:pPr>
        <w:spacing w:line="276" w:lineRule="auto"/>
      </w:pPr>
      <w:r>
        <w:rPr>
          <w:b/>
          <w:bCs/>
        </w:rPr>
        <w:lastRenderedPageBreak/>
        <w:t xml:space="preserve">Table 3 </w:t>
      </w:r>
      <w:r>
        <w:t>Continued</w:t>
      </w:r>
    </w:p>
    <w:tbl>
      <w:tblPr>
        <w:tblStyle w:val="a1"/>
        <w:tblW w:w="93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15"/>
        <w:gridCol w:w="4200"/>
      </w:tblGrid>
      <w:tr w:rsidR="009E4375" w14:paraId="10CF6AC0" w14:textId="77777777">
        <w:trPr>
          <w:trHeight w:val="1785"/>
        </w:trPr>
        <w:tc>
          <w:tcPr>
            <w:tcW w:w="5115" w:type="dxa"/>
            <w:tcBorders>
              <w:top w:val="single" w:sz="7" w:space="0" w:color="000000"/>
              <w:left w:val="single" w:sz="7" w:space="0" w:color="000000"/>
              <w:bottom w:val="single" w:sz="7" w:space="0" w:color="000000"/>
              <w:right w:val="single" w:sz="7" w:space="0" w:color="000000"/>
            </w:tcBorders>
          </w:tcPr>
          <w:p w14:paraId="10CF6ABD" w14:textId="0759E4B1" w:rsidR="009E4375" w:rsidRDefault="00000000">
            <w:pPr>
              <w:spacing w:before="0" w:after="0"/>
              <w:ind w:left="450" w:hanging="450"/>
            </w:pPr>
            <w:r>
              <w:t xml:space="preserve">3.1. Is there a difference in QOL for deaf Malaysians based on the type of signed communication they most often used in their previous schooling? </w:t>
            </w:r>
          </w:p>
        </w:tc>
        <w:tc>
          <w:tcPr>
            <w:tcW w:w="4200" w:type="dxa"/>
            <w:tcBorders>
              <w:top w:val="single" w:sz="7" w:space="0" w:color="000000"/>
              <w:left w:val="single" w:sz="7" w:space="0" w:color="000000"/>
              <w:bottom w:val="single" w:sz="7" w:space="0" w:color="000000"/>
              <w:right w:val="single" w:sz="7" w:space="0" w:color="000000"/>
            </w:tcBorders>
          </w:tcPr>
          <w:p w14:paraId="10CF6ABE" w14:textId="77777777" w:rsidR="009E4375" w:rsidRDefault="00000000">
            <w:pPr>
              <w:spacing w:before="0" w:after="0"/>
            </w:pPr>
            <w:r>
              <w:t>T-test for overall QOL.</w:t>
            </w:r>
          </w:p>
          <w:p w14:paraId="10CF6ABF" w14:textId="77777777" w:rsidR="009E4375" w:rsidRDefault="00000000">
            <w:pPr>
              <w:spacing w:before="0" w:after="0"/>
            </w:pPr>
            <w:r>
              <w:t>MANOVA for QOL subdomains.</w:t>
            </w:r>
          </w:p>
        </w:tc>
      </w:tr>
      <w:tr w:rsidR="009E4375" w14:paraId="10CF6AC4" w14:textId="77777777">
        <w:trPr>
          <w:trHeight w:val="2145"/>
        </w:trPr>
        <w:tc>
          <w:tcPr>
            <w:tcW w:w="5115" w:type="dxa"/>
            <w:tcBorders>
              <w:top w:val="single" w:sz="7" w:space="0" w:color="000000"/>
              <w:left w:val="single" w:sz="7" w:space="0" w:color="000000"/>
              <w:bottom w:val="single" w:sz="7" w:space="0" w:color="000000"/>
              <w:right w:val="single" w:sz="7" w:space="0" w:color="000000"/>
            </w:tcBorders>
          </w:tcPr>
          <w:p w14:paraId="10CF6AC1" w14:textId="77777777" w:rsidR="009E4375" w:rsidRDefault="00000000">
            <w:pPr>
              <w:spacing w:before="0" w:after="0"/>
              <w:ind w:left="435" w:hanging="435"/>
            </w:pPr>
            <w:r>
              <w:t xml:space="preserve">3.2. Is there a difference in QOL for deaf Malaysians based on the type of signed communication they most often used with their family members at home during their formative school years? </w:t>
            </w:r>
          </w:p>
        </w:tc>
        <w:tc>
          <w:tcPr>
            <w:tcW w:w="4200" w:type="dxa"/>
            <w:tcBorders>
              <w:top w:val="single" w:sz="7" w:space="0" w:color="000000"/>
              <w:left w:val="single" w:sz="7" w:space="0" w:color="000000"/>
              <w:bottom w:val="single" w:sz="7" w:space="0" w:color="000000"/>
              <w:right w:val="single" w:sz="7" w:space="0" w:color="000000"/>
            </w:tcBorders>
          </w:tcPr>
          <w:p w14:paraId="10CF6AC2" w14:textId="77777777" w:rsidR="009E4375" w:rsidRDefault="00000000">
            <w:pPr>
              <w:spacing w:before="0" w:after="0"/>
            </w:pPr>
            <w:r>
              <w:t>T-test for overall QOL.</w:t>
            </w:r>
          </w:p>
          <w:p w14:paraId="10CF6AC3" w14:textId="77777777" w:rsidR="009E4375" w:rsidRDefault="00000000">
            <w:pPr>
              <w:spacing w:before="0" w:after="0"/>
            </w:pPr>
            <w:r>
              <w:t>MANOVA for QOL subdomains.</w:t>
            </w:r>
          </w:p>
        </w:tc>
      </w:tr>
      <w:tr w:rsidR="009E4375" w14:paraId="10CF6AC8" w14:textId="77777777">
        <w:trPr>
          <w:trHeight w:val="2145"/>
        </w:trPr>
        <w:tc>
          <w:tcPr>
            <w:tcW w:w="5115" w:type="dxa"/>
            <w:tcBorders>
              <w:top w:val="single" w:sz="7" w:space="0" w:color="000000"/>
              <w:left w:val="single" w:sz="7" w:space="0" w:color="000000"/>
              <w:bottom w:val="single" w:sz="7" w:space="0" w:color="000000"/>
              <w:right w:val="single" w:sz="7" w:space="0" w:color="000000"/>
            </w:tcBorders>
          </w:tcPr>
          <w:p w14:paraId="10CF6AC5" w14:textId="77777777" w:rsidR="009E4375" w:rsidRDefault="00000000">
            <w:pPr>
              <w:spacing w:before="0" w:after="0"/>
              <w:ind w:left="435" w:hanging="435"/>
            </w:pPr>
            <w:r>
              <w:t xml:space="preserve">3.3. Is there a difference in QOL for deaf Malaysians based on the type of signed communication they most often used with their friends in the dormitories during their formative school years? </w:t>
            </w:r>
          </w:p>
        </w:tc>
        <w:tc>
          <w:tcPr>
            <w:tcW w:w="4200" w:type="dxa"/>
            <w:tcBorders>
              <w:top w:val="single" w:sz="7" w:space="0" w:color="000000"/>
              <w:left w:val="single" w:sz="7" w:space="0" w:color="000000"/>
              <w:bottom w:val="single" w:sz="7" w:space="0" w:color="000000"/>
              <w:right w:val="single" w:sz="7" w:space="0" w:color="000000"/>
            </w:tcBorders>
          </w:tcPr>
          <w:p w14:paraId="10CF6AC6" w14:textId="77777777" w:rsidR="009E4375" w:rsidRDefault="00000000">
            <w:pPr>
              <w:spacing w:before="0" w:after="0"/>
            </w:pPr>
            <w:r>
              <w:t>T-test for overall QOL.</w:t>
            </w:r>
          </w:p>
          <w:p w14:paraId="10CF6AC7" w14:textId="77777777" w:rsidR="009E4375" w:rsidRDefault="00000000">
            <w:pPr>
              <w:spacing w:before="0" w:after="0"/>
            </w:pPr>
            <w:r>
              <w:t>MANOVA for subdomains.</w:t>
            </w:r>
          </w:p>
        </w:tc>
      </w:tr>
    </w:tbl>
    <w:p w14:paraId="10CF6AC9" w14:textId="77777777" w:rsidR="009E4375" w:rsidRDefault="00000000">
      <w:pPr>
        <w:pStyle w:val="Heading1"/>
      </w:pPr>
      <w:bookmarkStart w:id="63" w:name="_5rxk6mpelagl" w:colFirst="0" w:colLast="0"/>
      <w:bookmarkEnd w:id="63"/>
      <w:r>
        <w:br w:type="page"/>
      </w:r>
    </w:p>
    <w:p w14:paraId="10CF6ACA" w14:textId="77777777" w:rsidR="009E4375" w:rsidRDefault="00000000">
      <w:pPr>
        <w:pStyle w:val="Heading1"/>
      </w:pPr>
      <w:bookmarkStart w:id="64" w:name="_Toc214490419"/>
      <w:r>
        <w:lastRenderedPageBreak/>
        <w:t>CHAPTER IV</w:t>
      </w:r>
      <w:bookmarkEnd w:id="64"/>
    </w:p>
    <w:p w14:paraId="10CF6ACB" w14:textId="77777777" w:rsidR="009E4375" w:rsidRDefault="00000000">
      <w:pPr>
        <w:pStyle w:val="Heading2"/>
      </w:pPr>
      <w:bookmarkStart w:id="65" w:name="_Toc214490420"/>
      <w:r>
        <w:t>Results</w:t>
      </w:r>
      <w:bookmarkEnd w:id="65"/>
    </w:p>
    <w:p w14:paraId="22438E2A" w14:textId="77777777" w:rsidR="0079512C" w:rsidRDefault="0079512C">
      <w:pPr>
        <w:spacing w:before="0" w:after="0"/>
      </w:pPr>
    </w:p>
    <w:p w14:paraId="10CF6ACD" w14:textId="77777777" w:rsidR="009E4375" w:rsidRDefault="00000000">
      <w:pPr>
        <w:spacing w:before="0" w:after="0"/>
        <w:ind w:firstLine="720"/>
      </w:pPr>
      <w:r>
        <w:t xml:space="preserve">The questionnaire for this study was distributed widely among DHH adults in Malaysia. Of 244 participants who launched the questionnaire, 220 completed </w:t>
      </w:r>
      <w:proofErr w:type="gramStart"/>
      <w:r>
        <w:t>all of</w:t>
      </w:r>
      <w:proofErr w:type="gramEnd"/>
      <w:r>
        <w:t xml:space="preserve"> the scales’ questions in two weeks. Respondents spent on average 27 minutes completing the questionnaire. In the analysis of the YQOL-DHH survey, the score for each scale (self-acceptance/advocacy, perceived stigma, participation) was transformed to a 0-100 range. Scores for negative statements of the perceived stigma scale and participation scale were reversed, as the lower scores in perceived stigma and participation indicated higher QOL of self-acceptance/advocacy.</w:t>
      </w:r>
    </w:p>
    <w:p w14:paraId="10CF6ACE" w14:textId="77777777" w:rsidR="009E4375" w:rsidRDefault="009E4375">
      <w:pPr>
        <w:spacing w:before="0" w:after="0"/>
      </w:pPr>
    </w:p>
    <w:p w14:paraId="10CF6ACF" w14:textId="77777777" w:rsidR="009E4375" w:rsidRDefault="00000000">
      <w:pPr>
        <w:pStyle w:val="Heading3"/>
      </w:pPr>
      <w:bookmarkStart w:id="66" w:name="_Toc214490421"/>
      <w:r>
        <w:t>Descriptive Statistics of Survey Respondents</w:t>
      </w:r>
      <w:bookmarkEnd w:id="66"/>
    </w:p>
    <w:p w14:paraId="10CF6AD0" w14:textId="77777777" w:rsidR="009E4375" w:rsidRDefault="00000000">
      <w:pPr>
        <w:spacing w:before="0" w:after="0"/>
      </w:pPr>
      <w:r>
        <w:tab/>
        <w:t>Participants’ ages ranged from 18 to 60 years old. Of the participants, 50.9% (N = 112) were male, and 49.1% (N = 108) of the participants were female. The hearing status of the participants varied into two groups, including deaf and hard of hearing. Of the participants, 84.1% (N = 185) self-identified as deaf while 15.9% (N = 35) identified as hard of hearing.</w:t>
      </w:r>
    </w:p>
    <w:p w14:paraId="10CF6AD1" w14:textId="77777777" w:rsidR="009E4375" w:rsidRDefault="00000000">
      <w:pPr>
        <w:spacing w:before="0" w:after="0"/>
      </w:pPr>
      <w:r>
        <w:tab/>
        <w:t>There are three main races in Malaysia: Malay, Chinese and Indians. Of the participants, 44.1% (N = 97) were Malays, 45% (N = 99) were Chinese, 4.6% (N = 10) were Indians and the rest (6.4%, N = 14) were Indigenous and others.</w:t>
      </w:r>
    </w:p>
    <w:p w14:paraId="10CF6AD2" w14:textId="77777777" w:rsidR="009E4375" w:rsidRDefault="00000000">
      <w:pPr>
        <w:spacing w:before="0" w:after="0"/>
      </w:pPr>
      <w:r>
        <w:t xml:space="preserve"> </w:t>
      </w:r>
      <w:r>
        <w:tab/>
        <w:t>In terms of higher education, 20.9% (N = 46) of the participants had completed their high school level, 26.4% (N = 58) had earned a Malaysian Skills Certificate (</w:t>
      </w:r>
      <w:r>
        <w:rPr>
          <w:i/>
          <w:iCs/>
        </w:rPr>
        <w:t>Skim Kemahiran Malaysia</w:t>
      </w:r>
      <w:r>
        <w:t>), 22.7% (N = 50) Malaysian Certificate of Education, 7.3% (N = 16) a diploma, 8.6% (N = 19) a bachelor degree, and 1.8% (N = 4) a master's degree. Of the participants, 10% (N = 22) reported having various certificates including Polytechnical Certificates.</w:t>
      </w:r>
    </w:p>
    <w:p w14:paraId="10CF6AD3" w14:textId="77777777" w:rsidR="009E4375" w:rsidRDefault="00000000">
      <w:pPr>
        <w:spacing w:before="0" w:after="0"/>
      </w:pPr>
      <w:r>
        <w:tab/>
        <w:t>More than half of the participants responded that they are currently employed. The participants who reported being employed full time were 71.4% (N = 157) of the participants. Of the remaining participants, 10.5% (N = 23) were employed part-time, and 14.1% (N = 31) were unemployed at the time of their responses.</w:t>
      </w:r>
    </w:p>
    <w:p w14:paraId="10CF6AD4" w14:textId="77777777" w:rsidR="009E4375" w:rsidRDefault="00000000">
      <w:pPr>
        <w:spacing w:before="0" w:after="0"/>
      </w:pPr>
      <w:r>
        <w:lastRenderedPageBreak/>
        <w:tab/>
        <w:t xml:space="preserve">Most of the participants reported that they have hearing parents. Of the participants, 74.6% (N = 164) reported that they have hearing fathers, and 80.5% (N = 177) have hearing mothers. Furthermore, 14.1% (N = 31) of the participants have deaf fathers, and 9.1% have deaf mothers. Only 5% (N = 11) of the participants have </w:t>
      </w:r>
      <w:proofErr w:type="gramStart"/>
      <w:r>
        <w:t>hard</w:t>
      </w:r>
      <w:proofErr w:type="gramEnd"/>
      <w:r>
        <w:t xml:space="preserve"> of hearing fathers, and 1.8% (N = 4) </w:t>
      </w:r>
      <w:proofErr w:type="gramStart"/>
      <w:r>
        <w:t>have</w:t>
      </w:r>
      <w:proofErr w:type="gramEnd"/>
      <w:r>
        <w:t xml:space="preserve"> </w:t>
      </w:r>
      <w:proofErr w:type="gramStart"/>
      <w:r>
        <w:t>hard</w:t>
      </w:r>
      <w:proofErr w:type="gramEnd"/>
      <w:r>
        <w:t xml:space="preserve"> of hearing mothers. Of the participants, 6.4% did not report fathers’ hearing status, and 8.6% (N = 19) reported mothers’ unknown hearing status.</w:t>
      </w:r>
    </w:p>
    <w:p w14:paraId="10CF6AD5" w14:textId="77777777" w:rsidR="009E4375" w:rsidRDefault="009E4375">
      <w:pPr>
        <w:spacing w:before="0" w:after="0"/>
      </w:pPr>
    </w:p>
    <w:p w14:paraId="10CF6AD6" w14:textId="77777777" w:rsidR="009E4375" w:rsidRDefault="00000000">
      <w:pPr>
        <w:pStyle w:val="Heading3"/>
      </w:pPr>
      <w:bookmarkStart w:id="67" w:name="_Toc214490422"/>
      <w:r>
        <w:t>Results of the Research Questions</w:t>
      </w:r>
      <w:bookmarkEnd w:id="67"/>
    </w:p>
    <w:p w14:paraId="10CF6AD7" w14:textId="7F4CAA99" w:rsidR="009E4375" w:rsidRDefault="00000000">
      <w:pPr>
        <w:spacing w:before="0" w:after="0"/>
      </w:pPr>
      <w:r>
        <w:tab/>
        <w:t xml:space="preserve">In this section, each question is listed with its findings and tables. Questions are listed in order as stated in Chapter III. Before starting with the questions, it is worthwhile </w:t>
      </w:r>
      <w:proofErr w:type="gramStart"/>
      <w:r>
        <w:t>to mention</w:t>
      </w:r>
      <w:proofErr w:type="gramEnd"/>
      <w:r>
        <w:t xml:space="preserve"> that the reliability of each scale had been checked. The reliability statistics showed high internal consistency for each subdomain and overall. Cronbach’s Alpha for the reliability of QOL were as follows: self-acceptance/advocacy was .873, perceived stigma was .849, and participation was .868. The overall QOL scale was .828. These scores illustrate the high level of reliability of the items that can measure each construct. This researcher examined the assumptions underlying the statistical tests prior to the analysis. The assumptions required for the statistical analyses were evaluated. The </w:t>
      </w:r>
      <w:proofErr w:type="spellStart"/>
      <w:r>
        <w:t>Shapior</w:t>
      </w:r>
      <w:proofErr w:type="spellEnd"/>
      <w:r>
        <w:t>-Wilks tests indicated no significant violations of normality. Box’s M tests were all non-</w:t>
      </w:r>
      <w:r w:rsidR="007317D0">
        <w:t>significant,</w:t>
      </w:r>
      <w:r>
        <w:t xml:space="preserve"> suggesting the assumption of homogeneity of variance-covariance matrices was sustained. Additionally, because group sizes were approximately equal, ANOVA, MANOVA, and t-tests were robust to minor deviations in variances. </w:t>
      </w:r>
    </w:p>
    <w:p w14:paraId="10CF6AD8" w14:textId="77777777" w:rsidR="009E4375" w:rsidRDefault="009E4375">
      <w:pPr>
        <w:spacing w:before="0" w:after="0"/>
      </w:pPr>
    </w:p>
    <w:p w14:paraId="10CF6AD9" w14:textId="77777777" w:rsidR="009E4375" w:rsidRDefault="00000000">
      <w:pPr>
        <w:pStyle w:val="Heading4"/>
        <w:spacing w:before="200"/>
      </w:pPr>
      <w:bookmarkStart w:id="68" w:name="_Toc214490423"/>
      <w:r>
        <w:t>Research Question 1</w:t>
      </w:r>
      <w:bookmarkEnd w:id="68"/>
    </w:p>
    <w:p w14:paraId="10CF6ADA" w14:textId="77777777" w:rsidR="009E4375" w:rsidRDefault="00000000">
      <w:pPr>
        <w:spacing w:before="0" w:after="0"/>
        <w:ind w:left="720"/>
      </w:pPr>
      <w:r>
        <w:t>1.</w:t>
      </w:r>
      <w:r>
        <w:tab/>
        <w:t xml:space="preserve">Are there demographic variables that relate to higher or lower QOL outcomes for deaf Malaysians? </w:t>
      </w:r>
    </w:p>
    <w:p w14:paraId="10CF6ADB" w14:textId="56E712D0" w:rsidR="009E4375" w:rsidRDefault="00000000">
      <w:pPr>
        <w:ind w:left="720"/>
      </w:pPr>
      <w:r>
        <w:t xml:space="preserve">1.1 </w:t>
      </w:r>
      <w:r>
        <w:tab/>
        <w:t xml:space="preserve">Is there a difference in QOL and QOL domains (participation, </w:t>
      </w:r>
      <w:r w:rsidR="0079512C">
        <w:t>self-acceptance</w:t>
      </w:r>
      <w:r>
        <w:t xml:space="preserve"> / advocacy, and perceived stigma) among deaf adults based on the signed communication most often used?</w:t>
      </w:r>
    </w:p>
    <w:p w14:paraId="10CF6ADC" w14:textId="77777777" w:rsidR="009E4375" w:rsidRDefault="00000000">
      <w:pPr>
        <w:ind w:firstLine="720"/>
      </w:pPr>
      <w:r>
        <w:lastRenderedPageBreak/>
        <w:t xml:space="preserve">An independent sample t-test was conducted to compare the effect of the signed communication most often used (Independent Variable [IV]) on overall QOL (Dependent Variable [DV]). There were three groups planned in this study (BIM, KTBM, Sim-Com); however, the data received was not balanced and did not meet the expectation of at least 40 participants for each group. Over half of the participants reported BIM as their preferred mode of communication in their daily lives. The participants who reported utilizing BIM were 72.3% (N = 159) of the respondents. Of the remaining participants, 3.6% (N = 8) reported using KTBM, 20.5% (N = 45) used Sim-Com, and 8% (N = 8) used another form of communication. The following analysis includes the two groups with at least 40 participants. KTBM and Sim-Com were merged into one group known as KTBM because they are both sign systems created to teach the written language, and they utilize similar signs and grammar aligned with the written language. Thus, the BIM group was 72.3% (N = 159) of the participants and the KTBM group was 24.1% (N = 53) of participants.  There was no significant difference in the overall QOL for BIM (M = 54.40, SD = 12.62) and KTBM (M = 54.53, SD = 13.78) conditions; </w:t>
      </w:r>
      <w:proofErr w:type="gramStart"/>
      <w:r>
        <w:t>t(</w:t>
      </w:r>
      <w:proofErr w:type="gramEnd"/>
      <w:r>
        <w:t>210) = -.065, p = .948, Cohen’s d = .01, indicating a small effect.</w:t>
      </w:r>
    </w:p>
    <w:p w14:paraId="10CF6ADD" w14:textId="79C999D0" w:rsidR="009E4375" w:rsidRDefault="00000000">
      <w:pPr>
        <w:ind w:firstLine="720"/>
      </w:pPr>
      <w:r>
        <w:t xml:space="preserve">A multivariate analysis of variance (MANOVA) was used to examine the effect of signed communication, such as BIM and KTBM, in each subdomain of the QOL. For BIM, the means of each subdomain of QOL </w:t>
      </w:r>
      <w:proofErr w:type="gramStart"/>
      <w:r>
        <w:t>are:</w:t>
      </w:r>
      <w:proofErr w:type="gramEnd"/>
      <w:r>
        <w:t xml:space="preserve"> Self Accept (M = 69.20, SD = 17.99), Perceived Stigma (M = 49.03, SD = 25.66), Participation (M = 37.98, SD = 23.43). For KTBM, the means of each subdomain of QOL </w:t>
      </w:r>
      <w:proofErr w:type="gramStart"/>
      <w:r>
        <w:t>are:</w:t>
      </w:r>
      <w:proofErr w:type="gramEnd"/>
      <w:r>
        <w:t xml:space="preserve"> Self Accept (M = 65.81, SD = 17.83), Perceived Stigma (M = 51.25, SD = 23.97), Participation (M = 41.38, SD = 19.43). Prior to interpreting the MANOVA, Box’s M test was conducted to assess the assumption of homogeneity of covariance matrices. The test was not significant, indicating that the assumption was met [Box’s M = 7.71, </w:t>
      </w:r>
      <w:proofErr w:type="gramStart"/>
      <w:r>
        <w:t>F(</w:t>
      </w:r>
      <w:proofErr w:type="gramEnd"/>
      <w:r>
        <w:t>6, 58102) = 1.26, p = .274]. The results of the MANOVA indicate that there was no significant difference across QOL domains between BIM and KTBM among Malaysian deaf people at the p &lt; .05 for the two groups [</w:t>
      </w:r>
      <w:proofErr w:type="gramStart"/>
      <w:r>
        <w:t>F(</w:t>
      </w:r>
      <w:proofErr w:type="gramEnd"/>
      <w:r>
        <w:t>3, 208) = .614, p = .607, Wilk’s λ = .991, partial η</w:t>
      </w:r>
      <m:oMath>
        <m:r>
          <w:rPr>
            <w:rFonts w:ascii="Cambria Math" w:hAnsi="Cambria Math"/>
          </w:rPr>
          <m:t>2</m:t>
        </m:r>
      </m:oMath>
      <w:r>
        <w:t xml:space="preserve"> = .009].</w:t>
      </w:r>
    </w:p>
    <w:p w14:paraId="10CF6ADE" w14:textId="77777777" w:rsidR="009E4375" w:rsidRDefault="009E4375">
      <w:pPr>
        <w:ind w:firstLine="720"/>
      </w:pPr>
    </w:p>
    <w:p w14:paraId="10CF6ADF" w14:textId="77777777" w:rsidR="009E4375" w:rsidRDefault="00000000">
      <w:pPr>
        <w:spacing w:line="436" w:lineRule="auto"/>
      </w:pPr>
      <w:r>
        <w:lastRenderedPageBreak/>
        <w:t xml:space="preserve">1.2 </w:t>
      </w:r>
      <w:r>
        <w:tab/>
        <w:t>Is there a difference in QOL among deaf adults based on gender?</w:t>
      </w:r>
    </w:p>
    <w:p w14:paraId="10CF6AE0" w14:textId="77777777" w:rsidR="009E4375" w:rsidRDefault="00000000">
      <w:pPr>
        <w:ind w:firstLine="720"/>
      </w:pPr>
      <w:r>
        <w:t xml:space="preserve">An independent t-test was conducted to compare overall QOL by gender. There was not a significant difference in the scores for male (M = 54.31, SD = 12.54) and female (M = 54.49, SD = 13.05) conditions: </w:t>
      </w:r>
      <w:proofErr w:type="gramStart"/>
      <w:r>
        <w:t>t(</w:t>
      </w:r>
      <w:proofErr w:type="gramEnd"/>
      <w:r>
        <w:t>218) = -.104, p = .917, Cohen’s d = .014, indicating a small effect.</w:t>
      </w:r>
    </w:p>
    <w:p w14:paraId="10CF6AE1" w14:textId="23BBEE87" w:rsidR="009E4375" w:rsidRDefault="00000000">
      <w:pPr>
        <w:ind w:firstLine="720"/>
      </w:pPr>
      <w:r>
        <w:t xml:space="preserve">A multivariate analysis of variance (MANOVA) was used to examine the effect of gender, each subdomain of the QOL. For males (N = 112), the means of each subdomain of QOL are: Self Accept (M = 66.9, SD = 18.83), Perceived Stigma (M = 51.45, SD = 25.64), Participation (M = 38.96, SD = 23.94). For females (N = 108), the means of each subdomain of QOL are: Self Accept (M = 70.09, SD = 16.76), Perceived Stigma (M = 47.46, SD = 24.08), Participation (M = 38.96, SD = 23.94). The results of the MANOVA indicate that there was no significant difference in QOL domains among males and females in Malaysia at the p &lt; .05 for the two groups [Box’s M = 6.7, p = .360; MANOVA </w:t>
      </w:r>
      <w:proofErr w:type="gramStart"/>
      <w:r>
        <w:t>F(</w:t>
      </w:r>
      <w:proofErr w:type="gramEnd"/>
      <w:r>
        <w:t>3, 216) = 1.32, p = .269, Wilk’s λ = .982, partial η</w:t>
      </w:r>
      <m:oMath>
        <m:r>
          <w:rPr>
            <w:rFonts w:ascii="Cambria Math" w:hAnsi="Cambria Math"/>
          </w:rPr>
          <m:t>2</m:t>
        </m:r>
      </m:oMath>
      <w:r>
        <w:t xml:space="preserve"> = .018].</w:t>
      </w:r>
    </w:p>
    <w:p w14:paraId="10CF6AE2" w14:textId="77777777" w:rsidR="009E4375" w:rsidRDefault="009E4375"/>
    <w:p w14:paraId="10CF6AE3" w14:textId="77777777" w:rsidR="009E4375" w:rsidRDefault="00000000">
      <w:r>
        <w:t xml:space="preserve">1.3 </w:t>
      </w:r>
      <w:r>
        <w:tab/>
        <w:t xml:space="preserve">Is there a difference in QOL among deaf adults based on race? </w:t>
      </w:r>
    </w:p>
    <w:p w14:paraId="10CF6AE4" w14:textId="77777777" w:rsidR="009E4375" w:rsidRDefault="00000000">
      <w:pPr>
        <w:ind w:firstLine="720"/>
      </w:pPr>
      <w:r>
        <w:t xml:space="preserve">A one-way ANOVA was conducted to compare the race in overall QOL. There was no significant difference in the overall QOL between races, including Malay, Chinese, and Indian; conditions: </w:t>
      </w:r>
      <w:proofErr w:type="gramStart"/>
      <w:r>
        <w:t>F(</w:t>
      </w:r>
      <w:proofErr w:type="gramEnd"/>
      <w:r>
        <w:t>2, 203) = .932, p = .395, partial η</w:t>
      </w:r>
      <m:oMath>
        <m:r>
          <w:rPr>
            <w:rFonts w:ascii="Cambria Math" w:hAnsi="Cambria Math"/>
          </w:rPr>
          <m:t>2</m:t>
        </m:r>
      </m:oMath>
      <w:r>
        <w:t xml:space="preserve"> = .009. Table 4 describes the means for three races.</w:t>
      </w:r>
    </w:p>
    <w:p w14:paraId="10CF6AE5" w14:textId="7BBA79F2" w:rsidR="009E4375" w:rsidRDefault="00000000">
      <w:pPr>
        <w:ind w:firstLine="720"/>
      </w:pPr>
      <w:r>
        <w:t>The means for the QOL subdomain by race are in Table 5.</w:t>
      </w:r>
      <w:r>
        <w:rPr>
          <w:i/>
          <w:iCs/>
        </w:rPr>
        <w:t xml:space="preserve"> </w:t>
      </w:r>
      <w:r>
        <w:t>A MANOVA found a statistically significant difference in the races, such as Malay, Chinese, and Indian, for at least one subdomain of QOL (</w:t>
      </w:r>
      <w:proofErr w:type="gramStart"/>
      <w:r>
        <w:t>F(</w:t>
      </w:r>
      <w:proofErr w:type="gramEnd"/>
      <w:r>
        <w:t>6, 402) = 2.313, p = .033, Wilk’s λ = .934, partial η2 = .033). Individual ANOVAs were run to determine which subdomains differed by race. Self-acceptance/advocacy [</w:t>
      </w:r>
      <w:proofErr w:type="gramStart"/>
      <w:r>
        <w:t>F(</w:t>
      </w:r>
      <w:proofErr w:type="gramEnd"/>
      <w:r>
        <w:t>2, 203) = 3.141, p = .045, partial η</w:t>
      </w:r>
      <m:oMath>
        <m:r>
          <w:rPr>
            <w:rFonts w:ascii="Cambria Math" w:hAnsi="Cambria Math"/>
          </w:rPr>
          <m:t>2</m:t>
        </m:r>
      </m:oMath>
      <w:r>
        <w:t xml:space="preserve"> = .03] and Perceived Stigma [</w:t>
      </w:r>
      <w:proofErr w:type="gramStart"/>
      <w:r>
        <w:t>F(</w:t>
      </w:r>
      <w:proofErr w:type="gramEnd"/>
      <w:r>
        <w:t>2, 203) = 3.729, p = .026, partial η</w:t>
      </w:r>
      <m:oMath>
        <m:r>
          <w:rPr>
            <w:rFonts w:ascii="Cambria Math" w:hAnsi="Cambria Math"/>
          </w:rPr>
          <m:t>2</m:t>
        </m:r>
      </m:oMath>
      <w:r>
        <w:t xml:space="preserve"> = .035] significantly differed by race. Participation did not differ [</w:t>
      </w:r>
      <w:proofErr w:type="gramStart"/>
      <w:r>
        <w:t>F(</w:t>
      </w:r>
      <w:proofErr w:type="gramEnd"/>
      <w:r>
        <w:t>2, 203) = 2.551, p = .080, partial η</w:t>
      </w:r>
      <m:oMath>
        <m:r>
          <w:rPr>
            <w:rFonts w:ascii="Cambria Math" w:hAnsi="Cambria Math"/>
          </w:rPr>
          <m:t>2</m:t>
        </m:r>
      </m:oMath>
      <w:r>
        <w:t xml:space="preserve"> = .08]. </w:t>
      </w:r>
    </w:p>
    <w:p w14:paraId="10CF6AE6" w14:textId="77777777" w:rsidR="009E4375" w:rsidRDefault="009E4375">
      <w:pPr>
        <w:spacing w:before="0" w:after="0"/>
        <w:ind w:firstLine="720"/>
      </w:pPr>
    </w:p>
    <w:p w14:paraId="10CF6AE7" w14:textId="77777777" w:rsidR="009E4375" w:rsidRDefault="00000000">
      <w:pPr>
        <w:spacing w:before="0" w:after="200"/>
        <w:rPr>
          <w:b/>
          <w:bCs/>
        </w:rPr>
      </w:pPr>
      <w:r>
        <w:rPr>
          <w:b/>
          <w:bCs/>
        </w:rPr>
        <w:t>Table 4</w:t>
      </w:r>
    </w:p>
    <w:tbl>
      <w:tblPr>
        <w:tblStyle w:val="a2"/>
        <w:tblpPr w:leftFromText="180" w:rightFromText="180" w:vertAnchor="text" w:tblpY="1"/>
        <w:tblOverlap w:val="never"/>
        <w:tblW w:w="616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9"/>
        <w:gridCol w:w="1084"/>
        <w:gridCol w:w="1310"/>
        <w:gridCol w:w="2202"/>
      </w:tblGrid>
      <w:tr w:rsidR="009E4375" w14:paraId="10CF6AEA" w14:textId="77777777" w:rsidTr="00843A5E">
        <w:trPr>
          <w:trHeight w:val="945"/>
        </w:trPr>
        <w:tc>
          <w:tcPr>
            <w:tcW w:w="6165" w:type="dxa"/>
            <w:gridSpan w:val="4"/>
            <w:tcBorders>
              <w:top w:val="nil"/>
              <w:left w:val="nil"/>
              <w:bottom w:val="nil"/>
              <w:right w:val="nil"/>
            </w:tcBorders>
            <w:shd w:val="clear" w:color="auto" w:fill="FFFFFF"/>
            <w:tcMar>
              <w:top w:w="0" w:type="dxa"/>
              <w:left w:w="0" w:type="dxa"/>
              <w:bottom w:w="0" w:type="dxa"/>
              <w:right w:w="0" w:type="dxa"/>
            </w:tcMar>
          </w:tcPr>
          <w:p w14:paraId="10CF6AE8" w14:textId="77777777" w:rsidR="009E4375" w:rsidRDefault="00000000" w:rsidP="00843A5E">
            <w:pPr>
              <w:spacing w:before="0" w:after="0"/>
              <w:ind w:right="60"/>
              <w:rPr>
                <w:i/>
                <w:iCs/>
                <w:sz w:val="26"/>
                <w:szCs w:val="26"/>
              </w:rPr>
            </w:pPr>
            <w:r>
              <w:rPr>
                <w:i/>
                <w:iCs/>
                <w:sz w:val="26"/>
                <w:szCs w:val="26"/>
              </w:rPr>
              <w:t>Overall Quality of Life based on Race</w:t>
            </w:r>
          </w:p>
          <w:p w14:paraId="10CF6AE9" w14:textId="77777777" w:rsidR="009E4375" w:rsidRDefault="00000000" w:rsidP="00843A5E">
            <w:pPr>
              <w:spacing w:before="0" w:after="0"/>
              <w:ind w:left="60" w:right="60"/>
              <w:jc w:val="center"/>
              <w:rPr>
                <w:color w:val="010205"/>
                <w:sz w:val="26"/>
                <w:szCs w:val="26"/>
              </w:rPr>
            </w:pPr>
            <w:r>
              <w:rPr>
                <w:color w:val="010205"/>
                <w:sz w:val="26"/>
                <w:szCs w:val="26"/>
              </w:rPr>
              <w:t>Descriptives</w:t>
            </w:r>
          </w:p>
        </w:tc>
      </w:tr>
      <w:tr w:rsidR="00843A5E" w14:paraId="10CF6AEF" w14:textId="77777777" w:rsidTr="00843A5E">
        <w:trPr>
          <w:trHeight w:val="225"/>
        </w:trPr>
        <w:tc>
          <w:tcPr>
            <w:tcW w:w="1569" w:type="dxa"/>
            <w:tcBorders>
              <w:top w:val="nil"/>
              <w:left w:val="nil"/>
              <w:bottom w:val="nil"/>
              <w:right w:val="nil"/>
            </w:tcBorders>
            <w:shd w:val="clear" w:color="auto" w:fill="FFFFFF"/>
            <w:tcMar>
              <w:top w:w="0" w:type="dxa"/>
              <w:left w:w="0" w:type="dxa"/>
              <w:bottom w:w="0" w:type="dxa"/>
              <w:right w:w="0" w:type="dxa"/>
            </w:tcMar>
            <w:vAlign w:val="bottom"/>
          </w:tcPr>
          <w:p w14:paraId="10CF6AEB" w14:textId="77777777" w:rsidR="00843A5E" w:rsidRDefault="00843A5E" w:rsidP="00843A5E">
            <w:pPr>
              <w:spacing w:before="0" w:after="0"/>
              <w:rPr>
                <w:rFonts w:ascii="Times New Roman" w:eastAsia="Times New Roman" w:hAnsi="Times New Roman" w:cs="Times New Roman"/>
              </w:rPr>
            </w:pPr>
          </w:p>
        </w:tc>
        <w:tc>
          <w:tcPr>
            <w:tcW w:w="1084" w:type="dxa"/>
            <w:tcBorders>
              <w:top w:val="nil"/>
              <w:left w:val="nil"/>
              <w:bottom w:val="nil"/>
              <w:right w:val="single" w:sz="5" w:space="0" w:color="E0E0E0"/>
            </w:tcBorders>
            <w:shd w:val="clear" w:color="auto" w:fill="FFFFFF"/>
            <w:tcMar>
              <w:top w:w="0" w:type="dxa"/>
              <w:left w:w="0" w:type="dxa"/>
              <w:bottom w:w="0" w:type="dxa"/>
              <w:right w:w="0" w:type="dxa"/>
            </w:tcMar>
            <w:vAlign w:val="bottom"/>
          </w:tcPr>
          <w:p w14:paraId="10CF6AEC" w14:textId="77777777" w:rsidR="00843A5E" w:rsidRDefault="00843A5E" w:rsidP="00843A5E">
            <w:pPr>
              <w:spacing w:before="0" w:after="0"/>
              <w:ind w:right="60"/>
              <w:jc w:val="center"/>
            </w:pPr>
            <w:r>
              <w:t>N</w:t>
            </w:r>
          </w:p>
        </w:tc>
        <w:tc>
          <w:tcPr>
            <w:tcW w:w="1310" w:type="dxa"/>
            <w:tcBorders>
              <w:top w:val="nil"/>
              <w:left w:val="nil"/>
              <w:bottom w:val="nil"/>
              <w:right w:val="nil"/>
            </w:tcBorders>
            <w:shd w:val="clear" w:color="auto" w:fill="FFFFFF"/>
            <w:tcMar>
              <w:top w:w="0" w:type="dxa"/>
              <w:left w:w="0" w:type="dxa"/>
              <w:bottom w:w="0" w:type="dxa"/>
              <w:right w:w="0" w:type="dxa"/>
            </w:tcMar>
            <w:vAlign w:val="bottom"/>
          </w:tcPr>
          <w:p w14:paraId="10CF6AED" w14:textId="77777777" w:rsidR="00843A5E" w:rsidRDefault="00843A5E" w:rsidP="00843A5E">
            <w:pPr>
              <w:spacing w:before="0" w:after="0"/>
              <w:ind w:right="60"/>
              <w:jc w:val="center"/>
            </w:pPr>
            <w:r>
              <w:t>Mean</w:t>
            </w:r>
          </w:p>
        </w:tc>
        <w:tc>
          <w:tcPr>
            <w:tcW w:w="2202" w:type="dxa"/>
            <w:tcBorders>
              <w:top w:val="nil"/>
              <w:left w:val="single" w:sz="5" w:space="0" w:color="E0E0E0"/>
            </w:tcBorders>
            <w:shd w:val="clear" w:color="auto" w:fill="FFFFFF"/>
            <w:tcMar>
              <w:top w:w="0" w:type="dxa"/>
              <w:left w:w="0" w:type="dxa"/>
              <w:bottom w:w="0" w:type="dxa"/>
              <w:right w:w="0" w:type="dxa"/>
            </w:tcMar>
            <w:vAlign w:val="bottom"/>
          </w:tcPr>
          <w:p w14:paraId="10CF6AEE" w14:textId="472D64E3" w:rsidR="00843A5E" w:rsidRDefault="00843A5E" w:rsidP="00843A5E">
            <w:pPr>
              <w:spacing w:before="0" w:after="0"/>
              <w:ind w:right="60"/>
              <w:jc w:val="center"/>
            </w:pPr>
            <w:r>
              <w:t>Std. Deviation</w:t>
            </w:r>
          </w:p>
        </w:tc>
      </w:tr>
      <w:tr w:rsidR="009E4375" w14:paraId="10CF6AF9" w14:textId="77777777" w:rsidTr="00843A5E">
        <w:trPr>
          <w:trHeight w:val="151"/>
        </w:trPr>
        <w:tc>
          <w:tcPr>
            <w:tcW w:w="1569" w:type="dxa"/>
            <w:tcBorders>
              <w:top w:val="single" w:sz="5" w:space="0" w:color="152935"/>
              <w:left w:val="nil"/>
              <w:bottom w:val="single" w:sz="5" w:space="0" w:color="AEAEAE"/>
              <w:right w:val="nil"/>
            </w:tcBorders>
            <w:shd w:val="clear" w:color="auto" w:fill="E0E0E0"/>
            <w:tcMar>
              <w:top w:w="0" w:type="dxa"/>
              <w:left w:w="0" w:type="dxa"/>
              <w:bottom w:w="0" w:type="dxa"/>
              <w:right w:w="0" w:type="dxa"/>
            </w:tcMar>
          </w:tcPr>
          <w:p w14:paraId="10CF6AF5" w14:textId="77777777" w:rsidR="009E4375" w:rsidRDefault="00000000" w:rsidP="00843A5E">
            <w:pPr>
              <w:spacing w:before="0" w:after="0" w:line="276" w:lineRule="auto"/>
              <w:ind w:left="60" w:right="60"/>
            </w:pPr>
            <w:r>
              <w:t>Malay</w:t>
            </w:r>
          </w:p>
        </w:tc>
        <w:tc>
          <w:tcPr>
            <w:tcW w:w="1084" w:type="dxa"/>
            <w:tcBorders>
              <w:top w:val="single" w:sz="5" w:space="0" w:color="152935"/>
              <w:left w:val="nil"/>
              <w:bottom w:val="single" w:sz="5" w:space="0" w:color="AEAEAE"/>
              <w:right w:val="single" w:sz="5" w:space="0" w:color="E0E0E0"/>
            </w:tcBorders>
            <w:shd w:val="clear" w:color="auto" w:fill="F9F9FB"/>
            <w:tcMar>
              <w:top w:w="0" w:type="dxa"/>
              <w:left w:w="0" w:type="dxa"/>
              <w:bottom w:w="0" w:type="dxa"/>
              <w:right w:w="0" w:type="dxa"/>
            </w:tcMar>
          </w:tcPr>
          <w:p w14:paraId="10CF6AF6" w14:textId="77777777" w:rsidR="009E4375" w:rsidRDefault="00000000" w:rsidP="00843A5E">
            <w:pPr>
              <w:spacing w:before="0" w:after="0" w:line="276" w:lineRule="auto"/>
              <w:ind w:left="60" w:right="60"/>
              <w:jc w:val="right"/>
              <w:rPr>
                <w:color w:val="010205"/>
              </w:rPr>
            </w:pPr>
            <w:r>
              <w:rPr>
                <w:color w:val="010205"/>
              </w:rPr>
              <w:t>97</w:t>
            </w:r>
          </w:p>
        </w:tc>
        <w:tc>
          <w:tcPr>
            <w:tcW w:w="1310" w:type="dxa"/>
            <w:tcBorders>
              <w:top w:val="single" w:sz="5" w:space="0" w:color="152935"/>
              <w:left w:val="nil"/>
              <w:bottom w:val="single" w:sz="5" w:space="0" w:color="AEAEAE"/>
              <w:right w:val="nil"/>
            </w:tcBorders>
            <w:shd w:val="clear" w:color="auto" w:fill="F9F9FB"/>
            <w:tcMar>
              <w:top w:w="0" w:type="dxa"/>
              <w:left w:w="0" w:type="dxa"/>
              <w:bottom w:w="0" w:type="dxa"/>
              <w:right w:w="0" w:type="dxa"/>
            </w:tcMar>
          </w:tcPr>
          <w:p w14:paraId="10CF6AF7" w14:textId="77777777" w:rsidR="009E4375" w:rsidRDefault="00000000" w:rsidP="00843A5E">
            <w:pPr>
              <w:spacing w:before="0" w:after="0" w:line="276" w:lineRule="auto"/>
              <w:ind w:left="60" w:right="60"/>
              <w:jc w:val="right"/>
              <w:rPr>
                <w:color w:val="010205"/>
              </w:rPr>
            </w:pPr>
            <w:r>
              <w:rPr>
                <w:color w:val="010205"/>
              </w:rPr>
              <w:t>53.87</w:t>
            </w:r>
          </w:p>
        </w:tc>
        <w:tc>
          <w:tcPr>
            <w:tcW w:w="2202" w:type="dxa"/>
            <w:tcBorders>
              <w:top w:val="single" w:sz="5" w:space="0" w:color="152935"/>
              <w:left w:val="single" w:sz="5" w:space="0" w:color="E0E0E0"/>
              <w:bottom w:val="single" w:sz="5" w:space="0" w:color="AEAEAE"/>
              <w:right w:val="nil"/>
            </w:tcBorders>
            <w:shd w:val="clear" w:color="auto" w:fill="F9F9FB"/>
            <w:tcMar>
              <w:top w:w="0" w:type="dxa"/>
              <w:left w:w="0" w:type="dxa"/>
              <w:bottom w:w="0" w:type="dxa"/>
              <w:right w:w="0" w:type="dxa"/>
            </w:tcMar>
          </w:tcPr>
          <w:p w14:paraId="10CF6AF8" w14:textId="77777777" w:rsidR="009E4375" w:rsidRDefault="00000000" w:rsidP="00843A5E">
            <w:pPr>
              <w:spacing w:before="0" w:after="0" w:line="276" w:lineRule="auto"/>
              <w:ind w:left="60" w:right="60"/>
              <w:jc w:val="right"/>
              <w:rPr>
                <w:color w:val="010205"/>
              </w:rPr>
            </w:pPr>
            <w:r>
              <w:rPr>
                <w:color w:val="010205"/>
              </w:rPr>
              <w:t>12.28</w:t>
            </w:r>
          </w:p>
        </w:tc>
      </w:tr>
      <w:tr w:rsidR="009E4375" w14:paraId="10CF6AFE" w14:textId="77777777" w:rsidTr="00843A5E">
        <w:trPr>
          <w:trHeight w:val="157"/>
        </w:trPr>
        <w:tc>
          <w:tcPr>
            <w:tcW w:w="1569" w:type="dxa"/>
            <w:tcBorders>
              <w:top w:val="nil"/>
              <w:left w:val="nil"/>
              <w:bottom w:val="single" w:sz="5" w:space="0" w:color="AEAEAE"/>
              <w:right w:val="nil"/>
            </w:tcBorders>
            <w:shd w:val="clear" w:color="auto" w:fill="E0E0E0"/>
            <w:tcMar>
              <w:top w:w="0" w:type="dxa"/>
              <w:left w:w="0" w:type="dxa"/>
              <w:bottom w:w="0" w:type="dxa"/>
              <w:right w:w="0" w:type="dxa"/>
            </w:tcMar>
          </w:tcPr>
          <w:p w14:paraId="10CF6AFA" w14:textId="77777777" w:rsidR="009E4375" w:rsidRDefault="00000000" w:rsidP="00843A5E">
            <w:pPr>
              <w:spacing w:before="0" w:after="0" w:line="276" w:lineRule="auto"/>
              <w:ind w:left="60" w:right="60"/>
            </w:pPr>
            <w:r>
              <w:t>Chinese</w:t>
            </w:r>
          </w:p>
        </w:tc>
        <w:tc>
          <w:tcPr>
            <w:tcW w:w="1084"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AFB" w14:textId="77777777" w:rsidR="009E4375" w:rsidRDefault="00000000" w:rsidP="00843A5E">
            <w:pPr>
              <w:spacing w:before="0" w:after="0" w:line="276" w:lineRule="auto"/>
              <w:ind w:left="60" w:right="60"/>
              <w:jc w:val="right"/>
              <w:rPr>
                <w:color w:val="010205"/>
              </w:rPr>
            </w:pPr>
            <w:r>
              <w:rPr>
                <w:color w:val="010205"/>
              </w:rPr>
              <w:t>99</w:t>
            </w:r>
          </w:p>
        </w:tc>
        <w:tc>
          <w:tcPr>
            <w:tcW w:w="1310" w:type="dxa"/>
            <w:tcBorders>
              <w:top w:val="nil"/>
              <w:left w:val="nil"/>
              <w:bottom w:val="single" w:sz="5" w:space="0" w:color="AEAEAE"/>
              <w:right w:val="nil"/>
            </w:tcBorders>
            <w:shd w:val="clear" w:color="auto" w:fill="F9F9FB"/>
            <w:tcMar>
              <w:top w:w="0" w:type="dxa"/>
              <w:left w:w="0" w:type="dxa"/>
              <w:bottom w:w="0" w:type="dxa"/>
              <w:right w:w="0" w:type="dxa"/>
            </w:tcMar>
          </w:tcPr>
          <w:p w14:paraId="10CF6AFC" w14:textId="77777777" w:rsidR="009E4375" w:rsidRDefault="00000000" w:rsidP="00843A5E">
            <w:pPr>
              <w:spacing w:before="0" w:after="0" w:line="276" w:lineRule="auto"/>
              <w:ind w:left="60" w:right="60"/>
              <w:jc w:val="right"/>
              <w:rPr>
                <w:color w:val="010205"/>
              </w:rPr>
            </w:pPr>
            <w:r>
              <w:rPr>
                <w:color w:val="010205"/>
              </w:rPr>
              <w:t>53.93</w:t>
            </w:r>
          </w:p>
        </w:tc>
        <w:tc>
          <w:tcPr>
            <w:tcW w:w="2202"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AFD" w14:textId="77777777" w:rsidR="009E4375" w:rsidRDefault="00000000" w:rsidP="00843A5E">
            <w:pPr>
              <w:spacing w:before="0" w:after="0" w:line="276" w:lineRule="auto"/>
              <w:ind w:left="60" w:right="60"/>
              <w:jc w:val="right"/>
              <w:rPr>
                <w:color w:val="010205"/>
              </w:rPr>
            </w:pPr>
            <w:r>
              <w:rPr>
                <w:color w:val="010205"/>
              </w:rPr>
              <w:t>12.80</w:t>
            </w:r>
          </w:p>
        </w:tc>
      </w:tr>
      <w:tr w:rsidR="009E4375" w14:paraId="10CF6B03" w14:textId="77777777" w:rsidTr="00843A5E">
        <w:trPr>
          <w:trHeight w:val="176"/>
        </w:trPr>
        <w:tc>
          <w:tcPr>
            <w:tcW w:w="1569" w:type="dxa"/>
            <w:tcBorders>
              <w:top w:val="nil"/>
              <w:left w:val="nil"/>
              <w:bottom w:val="single" w:sz="5" w:space="0" w:color="AEAEAE"/>
              <w:right w:val="nil"/>
            </w:tcBorders>
            <w:shd w:val="clear" w:color="auto" w:fill="E0E0E0"/>
            <w:tcMar>
              <w:top w:w="0" w:type="dxa"/>
              <w:left w:w="0" w:type="dxa"/>
              <w:bottom w:w="0" w:type="dxa"/>
              <w:right w:w="0" w:type="dxa"/>
            </w:tcMar>
          </w:tcPr>
          <w:p w14:paraId="10CF6AFF" w14:textId="77777777" w:rsidR="009E4375" w:rsidRDefault="00000000" w:rsidP="00843A5E">
            <w:pPr>
              <w:spacing w:before="0" w:after="0" w:line="276" w:lineRule="auto"/>
              <w:ind w:left="60" w:right="60"/>
            </w:pPr>
            <w:r>
              <w:t>Indian</w:t>
            </w:r>
          </w:p>
        </w:tc>
        <w:tc>
          <w:tcPr>
            <w:tcW w:w="1084"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B00" w14:textId="77777777" w:rsidR="009E4375" w:rsidRDefault="00000000" w:rsidP="00843A5E">
            <w:pPr>
              <w:spacing w:before="0" w:after="0" w:line="276" w:lineRule="auto"/>
              <w:ind w:left="60" w:right="60"/>
              <w:jc w:val="right"/>
              <w:rPr>
                <w:color w:val="010205"/>
              </w:rPr>
            </w:pPr>
            <w:r>
              <w:rPr>
                <w:color w:val="010205"/>
              </w:rPr>
              <w:t>10</w:t>
            </w:r>
          </w:p>
        </w:tc>
        <w:tc>
          <w:tcPr>
            <w:tcW w:w="1310" w:type="dxa"/>
            <w:tcBorders>
              <w:top w:val="nil"/>
              <w:left w:val="nil"/>
              <w:bottom w:val="single" w:sz="5" w:space="0" w:color="AEAEAE"/>
              <w:right w:val="nil"/>
            </w:tcBorders>
            <w:shd w:val="clear" w:color="auto" w:fill="F9F9FB"/>
            <w:tcMar>
              <w:top w:w="0" w:type="dxa"/>
              <w:left w:w="0" w:type="dxa"/>
              <w:bottom w:w="0" w:type="dxa"/>
              <w:right w:w="0" w:type="dxa"/>
            </w:tcMar>
          </w:tcPr>
          <w:p w14:paraId="10CF6B01" w14:textId="77777777" w:rsidR="009E4375" w:rsidRDefault="00000000" w:rsidP="00843A5E">
            <w:pPr>
              <w:spacing w:before="0" w:after="0" w:line="276" w:lineRule="auto"/>
              <w:ind w:left="60" w:right="60"/>
              <w:jc w:val="right"/>
              <w:rPr>
                <w:color w:val="010205"/>
              </w:rPr>
            </w:pPr>
            <w:r>
              <w:rPr>
                <w:color w:val="010205"/>
              </w:rPr>
              <w:t>59.47</w:t>
            </w:r>
          </w:p>
        </w:tc>
        <w:tc>
          <w:tcPr>
            <w:tcW w:w="2202"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B02" w14:textId="77777777" w:rsidR="009E4375" w:rsidRDefault="00000000" w:rsidP="00843A5E">
            <w:pPr>
              <w:spacing w:before="0" w:after="0" w:line="276" w:lineRule="auto"/>
              <w:ind w:left="60" w:right="60"/>
              <w:jc w:val="right"/>
              <w:rPr>
                <w:color w:val="010205"/>
              </w:rPr>
            </w:pPr>
            <w:r>
              <w:rPr>
                <w:color w:val="010205"/>
              </w:rPr>
              <w:t>13.37</w:t>
            </w:r>
          </w:p>
        </w:tc>
      </w:tr>
      <w:tr w:rsidR="009E4375" w14:paraId="10CF6B08" w14:textId="77777777" w:rsidTr="00843A5E">
        <w:trPr>
          <w:trHeight w:val="138"/>
        </w:trPr>
        <w:tc>
          <w:tcPr>
            <w:tcW w:w="1569" w:type="dxa"/>
            <w:tcBorders>
              <w:top w:val="nil"/>
              <w:left w:val="nil"/>
              <w:bottom w:val="single" w:sz="5" w:space="0" w:color="152935"/>
              <w:right w:val="nil"/>
            </w:tcBorders>
            <w:shd w:val="clear" w:color="auto" w:fill="E0E0E0"/>
            <w:tcMar>
              <w:top w:w="0" w:type="dxa"/>
              <w:left w:w="0" w:type="dxa"/>
              <w:bottom w:w="0" w:type="dxa"/>
              <w:right w:w="0" w:type="dxa"/>
            </w:tcMar>
          </w:tcPr>
          <w:p w14:paraId="10CF6B04" w14:textId="77777777" w:rsidR="009E4375" w:rsidRDefault="00000000" w:rsidP="00843A5E">
            <w:pPr>
              <w:spacing w:before="0" w:after="0" w:line="276" w:lineRule="auto"/>
              <w:ind w:left="60" w:right="60"/>
            </w:pPr>
            <w:r>
              <w:t>Total</w:t>
            </w:r>
          </w:p>
        </w:tc>
        <w:tc>
          <w:tcPr>
            <w:tcW w:w="1084"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B05" w14:textId="77777777" w:rsidR="009E4375" w:rsidRDefault="00000000" w:rsidP="00843A5E">
            <w:pPr>
              <w:spacing w:before="0" w:after="0" w:line="276" w:lineRule="auto"/>
              <w:ind w:left="60" w:right="60"/>
              <w:jc w:val="right"/>
              <w:rPr>
                <w:color w:val="010205"/>
              </w:rPr>
            </w:pPr>
            <w:r>
              <w:rPr>
                <w:color w:val="010205"/>
              </w:rPr>
              <w:t>206</w:t>
            </w:r>
          </w:p>
        </w:tc>
        <w:tc>
          <w:tcPr>
            <w:tcW w:w="1310" w:type="dxa"/>
            <w:tcBorders>
              <w:top w:val="nil"/>
              <w:left w:val="nil"/>
              <w:bottom w:val="single" w:sz="5" w:space="0" w:color="152935"/>
              <w:right w:val="nil"/>
            </w:tcBorders>
            <w:shd w:val="clear" w:color="auto" w:fill="F9F9FB"/>
            <w:tcMar>
              <w:top w:w="0" w:type="dxa"/>
              <w:left w:w="0" w:type="dxa"/>
              <w:bottom w:w="0" w:type="dxa"/>
              <w:right w:w="0" w:type="dxa"/>
            </w:tcMar>
          </w:tcPr>
          <w:p w14:paraId="10CF6B06" w14:textId="77777777" w:rsidR="009E4375" w:rsidRDefault="00000000" w:rsidP="00843A5E">
            <w:pPr>
              <w:spacing w:before="0" w:after="0" w:line="276" w:lineRule="auto"/>
              <w:ind w:left="60" w:right="60"/>
              <w:jc w:val="right"/>
              <w:rPr>
                <w:color w:val="010205"/>
              </w:rPr>
            </w:pPr>
            <w:r>
              <w:rPr>
                <w:color w:val="010205"/>
              </w:rPr>
              <w:t>54.17</w:t>
            </w:r>
          </w:p>
        </w:tc>
        <w:tc>
          <w:tcPr>
            <w:tcW w:w="2202"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B07" w14:textId="77777777" w:rsidR="009E4375" w:rsidRDefault="00000000" w:rsidP="00843A5E">
            <w:pPr>
              <w:spacing w:before="0" w:after="0" w:line="276" w:lineRule="auto"/>
              <w:ind w:left="60" w:right="60"/>
              <w:jc w:val="right"/>
              <w:rPr>
                <w:color w:val="010205"/>
              </w:rPr>
            </w:pPr>
            <w:r>
              <w:rPr>
                <w:color w:val="010205"/>
              </w:rPr>
              <w:t>12.58</w:t>
            </w:r>
          </w:p>
        </w:tc>
      </w:tr>
    </w:tbl>
    <w:p w14:paraId="10CF6B09" w14:textId="7E2B0BDD" w:rsidR="009E4375" w:rsidRDefault="00843A5E">
      <w:pPr>
        <w:ind w:firstLine="720"/>
      </w:pPr>
      <w:r>
        <w:br w:type="textWrapping" w:clear="all"/>
      </w:r>
    </w:p>
    <w:p w14:paraId="10CF6B0A" w14:textId="77777777" w:rsidR="009E4375" w:rsidRDefault="00000000">
      <w:pPr>
        <w:ind w:firstLine="720"/>
      </w:pPr>
      <w:r>
        <w:t xml:space="preserve">In Table 6, the post-hoc Fisher’s Least Significant Difference (LSD) test was used to </w:t>
      </w:r>
      <w:proofErr w:type="gramStart"/>
      <w:r>
        <w:t>control for</w:t>
      </w:r>
      <w:proofErr w:type="gramEnd"/>
      <w:r>
        <w:t xml:space="preserve"> Type 1 error across the three pairwise comparisons. This is essentially no adjustment for multiple comparisons. The Mean </w:t>
      </w:r>
      <w:proofErr w:type="gramStart"/>
      <w:r>
        <w:t>Square(</w:t>
      </w:r>
      <w:proofErr w:type="gramEnd"/>
      <w:r>
        <w:t>Error) = 495.543. The post hoc pairwise comparisons found that Malay has significantly higher self-acceptance/advocacy than Chinese (p = .029). Self-acceptance/advocacy of Indian does not differ from Malay (p = .102) or Chinese (p = .485).  Perceived Stigma is significantly lower for Malay than Indian (p = .023). Perceived Stigma for Chinese does not differ from Malay (p=0.054) or Indian (p =.144).</w:t>
      </w:r>
    </w:p>
    <w:p w14:paraId="10CF6B0B" w14:textId="77777777" w:rsidR="009E4375" w:rsidRDefault="00000000">
      <w:pPr>
        <w:ind w:firstLine="720"/>
      </w:pPr>
      <w:r>
        <w:t xml:space="preserve">To control for family-wise error, a Bonferroni correction was applied, which adjusted the significance level to α = .0167 (.05/3). The univariate tests were not significant under this corrected threshold (all p &gt; .0167). Therefore, post hoc comparisons should be interpreted as </w:t>
      </w:r>
      <w:proofErr w:type="gramStart"/>
      <w:r>
        <w:t>exploratory</w:t>
      </w:r>
      <w:proofErr w:type="gramEnd"/>
      <w:r>
        <w:t xml:space="preserve"> in nature.</w:t>
      </w:r>
    </w:p>
    <w:p w14:paraId="10CF6B0F" w14:textId="77777777" w:rsidR="009E4375" w:rsidRDefault="009E4375" w:rsidP="00843A5E"/>
    <w:p w14:paraId="1B9AFCAA" w14:textId="77777777" w:rsidR="00843A5E" w:rsidRDefault="00843A5E" w:rsidP="00843A5E"/>
    <w:p w14:paraId="40F0725D" w14:textId="77777777" w:rsidR="00843A5E" w:rsidRDefault="00843A5E" w:rsidP="00843A5E"/>
    <w:p w14:paraId="7C5E9628" w14:textId="77777777" w:rsidR="00843A5E" w:rsidRDefault="00843A5E" w:rsidP="00843A5E"/>
    <w:p w14:paraId="26831888" w14:textId="77777777" w:rsidR="00843A5E" w:rsidRDefault="00843A5E" w:rsidP="00843A5E"/>
    <w:p w14:paraId="10CF6B10" w14:textId="77777777" w:rsidR="009E4375" w:rsidRDefault="00000000">
      <w:pPr>
        <w:spacing w:before="0" w:after="200"/>
        <w:rPr>
          <w:b/>
          <w:bCs/>
        </w:rPr>
      </w:pPr>
      <w:r>
        <w:rPr>
          <w:b/>
          <w:bCs/>
        </w:rPr>
        <w:lastRenderedPageBreak/>
        <w:t>Table 5</w:t>
      </w:r>
    </w:p>
    <w:p w14:paraId="10CF6B11" w14:textId="77777777" w:rsidR="009E4375" w:rsidRDefault="00000000">
      <w:pPr>
        <w:spacing w:before="0" w:after="200"/>
        <w:rPr>
          <w:i/>
          <w:iCs/>
        </w:rPr>
      </w:pPr>
      <w:r>
        <w:rPr>
          <w:i/>
          <w:iCs/>
        </w:rPr>
        <w:t>Mean and Standard Deviation of QOL by Subdomain and Race</w:t>
      </w:r>
    </w:p>
    <w:tbl>
      <w:tblPr>
        <w:tblStyle w:val="a3"/>
        <w:tblW w:w="8460" w:type="dxa"/>
        <w:tblInd w:w="-180" w:type="dxa"/>
        <w:tblLayout w:type="fixed"/>
        <w:tblLook w:val="0600" w:firstRow="0" w:lastRow="0" w:firstColumn="0" w:lastColumn="0" w:noHBand="1" w:noVBand="1"/>
      </w:tblPr>
      <w:tblGrid>
        <w:gridCol w:w="2475"/>
        <w:gridCol w:w="1545"/>
        <w:gridCol w:w="1230"/>
        <w:gridCol w:w="1890"/>
        <w:gridCol w:w="1320"/>
      </w:tblGrid>
      <w:tr w:rsidR="009E4375" w14:paraId="10CF6B13" w14:textId="77777777">
        <w:tc>
          <w:tcPr>
            <w:tcW w:w="8460" w:type="dxa"/>
            <w:gridSpan w:val="5"/>
            <w:tcBorders>
              <w:top w:val="nil"/>
              <w:left w:val="nil"/>
              <w:bottom w:val="nil"/>
              <w:right w:val="nil"/>
            </w:tcBorders>
            <w:shd w:val="clear" w:color="auto" w:fill="FFFFFF"/>
            <w:tcMar>
              <w:top w:w="0" w:type="dxa"/>
              <w:left w:w="0" w:type="dxa"/>
              <w:bottom w:w="0" w:type="dxa"/>
              <w:right w:w="0" w:type="dxa"/>
            </w:tcMar>
          </w:tcPr>
          <w:p w14:paraId="10CF6B12" w14:textId="77777777" w:rsidR="009E4375" w:rsidRDefault="00000000" w:rsidP="00843A5E">
            <w:pPr>
              <w:spacing w:before="0" w:after="0" w:line="240" w:lineRule="auto"/>
              <w:ind w:left="60" w:right="60"/>
              <w:jc w:val="center"/>
            </w:pPr>
            <w:r>
              <w:t>Descriptive Statistics</w:t>
            </w:r>
          </w:p>
        </w:tc>
      </w:tr>
      <w:tr w:rsidR="009E4375" w14:paraId="10CF6B19" w14:textId="77777777">
        <w:trPr>
          <w:trHeight w:val="405"/>
        </w:trPr>
        <w:tc>
          <w:tcPr>
            <w:tcW w:w="2475" w:type="dxa"/>
            <w:tcBorders>
              <w:top w:val="nil"/>
              <w:left w:val="nil"/>
              <w:bottom w:val="nil"/>
              <w:right w:val="nil"/>
            </w:tcBorders>
            <w:tcMar>
              <w:top w:w="0" w:type="dxa"/>
              <w:left w:w="0" w:type="dxa"/>
              <w:bottom w:w="0" w:type="dxa"/>
              <w:right w:w="0" w:type="dxa"/>
            </w:tcMar>
          </w:tcPr>
          <w:p w14:paraId="10CF6B14"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vAlign w:val="bottom"/>
          </w:tcPr>
          <w:p w14:paraId="10CF6B15" w14:textId="77777777" w:rsidR="009E4375" w:rsidRDefault="00000000" w:rsidP="00843A5E">
            <w:pPr>
              <w:spacing w:before="0" w:after="0" w:line="240" w:lineRule="auto"/>
              <w:ind w:left="60" w:right="60"/>
            </w:pPr>
            <w:r>
              <w:t>Race</w:t>
            </w:r>
          </w:p>
        </w:tc>
        <w:tc>
          <w:tcPr>
            <w:tcW w:w="1230" w:type="dxa"/>
            <w:tcBorders>
              <w:top w:val="nil"/>
              <w:left w:val="nil"/>
              <w:bottom w:val="single" w:sz="6" w:space="0" w:color="434343"/>
              <w:right w:val="nil"/>
            </w:tcBorders>
            <w:shd w:val="clear" w:color="auto" w:fill="FFFFFF"/>
            <w:tcMar>
              <w:top w:w="0" w:type="dxa"/>
              <w:left w:w="0" w:type="dxa"/>
              <w:bottom w:w="0" w:type="dxa"/>
              <w:right w:w="0" w:type="dxa"/>
            </w:tcMar>
            <w:vAlign w:val="bottom"/>
          </w:tcPr>
          <w:p w14:paraId="10CF6B16" w14:textId="77777777" w:rsidR="009E4375" w:rsidRDefault="00000000" w:rsidP="00843A5E">
            <w:pPr>
              <w:spacing w:before="0" w:after="0" w:line="240" w:lineRule="auto"/>
              <w:ind w:left="60" w:right="60"/>
              <w:jc w:val="center"/>
            </w:pPr>
            <w:r>
              <w:t>Mean</w:t>
            </w:r>
          </w:p>
        </w:tc>
        <w:tc>
          <w:tcPr>
            <w:tcW w:w="1890" w:type="dxa"/>
            <w:tcBorders>
              <w:top w:val="nil"/>
              <w:left w:val="single" w:sz="6" w:space="0" w:color="434343"/>
              <w:bottom w:val="single" w:sz="6" w:space="0" w:color="434343"/>
              <w:right w:val="nil"/>
            </w:tcBorders>
            <w:shd w:val="clear" w:color="auto" w:fill="FFFFFF"/>
            <w:tcMar>
              <w:top w:w="0" w:type="dxa"/>
              <w:left w:w="0" w:type="dxa"/>
              <w:bottom w:w="0" w:type="dxa"/>
              <w:right w:w="0" w:type="dxa"/>
            </w:tcMar>
            <w:vAlign w:val="bottom"/>
          </w:tcPr>
          <w:p w14:paraId="10CF6B17" w14:textId="77777777" w:rsidR="009E4375" w:rsidRDefault="00000000" w:rsidP="00843A5E">
            <w:pPr>
              <w:spacing w:before="0" w:after="0" w:line="240" w:lineRule="auto"/>
              <w:ind w:left="60" w:right="60"/>
              <w:jc w:val="center"/>
            </w:pPr>
            <w:r>
              <w:t>Std. Deviation</w:t>
            </w:r>
          </w:p>
        </w:tc>
        <w:tc>
          <w:tcPr>
            <w:tcW w:w="1320" w:type="dxa"/>
            <w:tcBorders>
              <w:top w:val="nil"/>
              <w:left w:val="single" w:sz="6" w:space="0" w:color="434343"/>
              <w:bottom w:val="single" w:sz="6" w:space="0" w:color="434343"/>
              <w:right w:val="nil"/>
            </w:tcBorders>
            <w:shd w:val="clear" w:color="auto" w:fill="FFFFFF"/>
            <w:tcMar>
              <w:top w:w="0" w:type="dxa"/>
              <w:left w:w="0" w:type="dxa"/>
              <w:bottom w:w="0" w:type="dxa"/>
              <w:right w:w="0" w:type="dxa"/>
            </w:tcMar>
            <w:vAlign w:val="bottom"/>
          </w:tcPr>
          <w:p w14:paraId="10CF6B18" w14:textId="77777777" w:rsidR="009E4375" w:rsidRDefault="00000000" w:rsidP="00843A5E">
            <w:pPr>
              <w:spacing w:before="0" w:after="0" w:line="240" w:lineRule="auto"/>
              <w:ind w:right="60"/>
              <w:jc w:val="center"/>
            </w:pPr>
            <w:r>
              <w:t xml:space="preserve">              N         </w:t>
            </w:r>
          </w:p>
        </w:tc>
      </w:tr>
      <w:tr w:rsidR="009E4375" w14:paraId="10CF6B1F" w14:textId="77777777" w:rsidTr="00843A5E">
        <w:trPr>
          <w:trHeight w:val="237"/>
        </w:trPr>
        <w:tc>
          <w:tcPr>
            <w:tcW w:w="2475" w:type="dxa"/>
            <w:vMerge w:val="restart"/>
            <w:tcBorders>
              <w:top w:val="single" w:sz="6" w:space="0" w:color="434343"/>
              <w:left w:val="nil"/>
              <w:bottom w:val="nil"/>
              <w:right w:val="nil"/>
            </w:tcBorders>
            <w:shd w:val="clear" w:color="auto" w:fill="FFFFFF"/>
            <w:tcMar>
              <w:top w:w="0" w:type="dxa"/>
              <w:left w:w="0" w:type="dxa"/>
              <w:bottom w:w="0" w:type="dxa"/>
              <w:right w:w="0" w:type="dxa"/>
            </w:tcMar>
          </w:tcPr>
          <w:p w14:paraId="10CF6B1A" w14:textId="77777777" w:rsidR="009E4375" w:rsidRDefault="00000000" w:rsidP="00843A5E">
            <w:pPr>
              <w:spacing w:before="0" w:after="0" w:line="240" w:lineRule="auto"/>
              <w:ind w:left="60" w:right="60"/>
            </w:pPr>
            <w:proofErr w:type="spellStart"/>
            <w:r>
              <w:t>Self Acceptance</w:t>
            </w:r>
            <w:proofErr w:type="spellEnd"/>
            <w:r>
              <w:t xml:space="preserve"> / Advocacy</w:t>
            </w: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1B" w14:textId="77777777" w:rsidR="009E4375" w:rsidRDefault="00000000" w:rsidP="00843A5E">
            <w:pPr>
              <w:spacing w:before="0" w:after="0" w:line="240" w:lineRule="auto"/>
              <w:ind w:left="60" w:right="60"/>
            </w:pPr>
            <w:r>
              <w:t>Malay</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1C" w14:textId="77777777" w:rsidR="009E4375" w:rsidRDefault="00000000" w:rsidP="00843A5E">
            <w:pPr>
              <w:spacing w:before="0" w:after="0" w:line="240" w:lineRule="auto"/>
              <w:ind w:left="60" w:right="60"/>
              <w:jc w:val="right"/>
            </w:pPr>
            <w:r>
              <w:t>71.186</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1D" w14:textId="77777777" w:rsidR="009E4375" w:rsidRDefault="00000000" w:rsidP="00843A5E">
            <w:pPr>
              <w:spacing w:before="0" w:after="0" w:line="240" w:lineRule="auto"/>
              <w:ind w:left="60" w:right="60"/>
              <w:jc w:val="right"/>
            </w:pPr>
            <w:r>
              <w:t>18.96</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1E" w14:textId="77777777" w:rsidR="009E4375" w:rsidRDefault="00000000" w:rsidP="00843A5E">
            <w:pPr>
              <w:spacing w:before="0" w:after="0" w:line="240" w:lineRule="auto"/>
              <w:ind w:left="60" w:right="60"/>
              <w:jc w:val="right"/>
            </w:pPr>
            <w:r>
              <w:t>97</w:t>
            </w:r>
          </w:p>
        </w:tc>
      </w:tr>
      <w:tr w:rsidR="009E4375" w14:paraId="10CF6B25" w14:textId="77777777" w:rsidTr="00843A5E">
        <w:trPr>
          <w:trHeight w:val="245"/>
        </w:trPr>
        <w:tc>
          <w:tcPr>
            <w:tcW w:w="2475" w:type="dxa"/>
            <w:vMerge/>
            <w:tcBorders>
              <w:top w:val="single" w:sz="6" w:space="0" w:color="434343"/>
              <w:left w:val="nil"/>
              <w:bottom w:val="nil"/>
              <w:right w:val="nil"/>
            </w:tcBorders>
            <w:shd w:val="clear" w:color="auto" w:fill="FFFFFF"/>
            <w:tcMar>
              <w:top w:w="100" w:type="dxa"/>
              <w:left w:w="100" w:type="dxa"/>
              <w:bottom w:w="100" w:type="dxa"/>
              <w:right w:w="100" w:type="dxa"/>
            </w:tcMar>
          </w:tcPr>
          <w:p w14:paraId="10CF6B20"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21" w14:textId="77777777" w:rsidR="009E4375" w:rsidRDefault="00000000" w:rsidP="00843A5E">
            <w:pPr>
              <w:spacing w:before="0" w:after="0" w:line="240" w:lineRule="auto"/>
              <w:ind w:left="60" w:right="60"/>
            </w:pPr>
            <w:r>
              <w:t>Chinese</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22" w14:textId="77777777" w:rsidR="009E4375" w:rsidRDefault="00000000" w:rsidP="00843A5E">
            <w:pPr>
              <w:spacing w:before="0" w:after="0" w:line="240" w:lineRule="auto"/>
              <w:ind w:left="60" w:right="60"/>
              <w:jc w:val="right"/>
            </w:pPr>
            <w:r>
              <w:t>65.60</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23" w14:textId="77777777" w:rsidR="009E4375" w:rsidRDefault="00000000" w:rsidP="00843A5E">
            <w:pPr>
              <w:spacing w:before="0" w:after="0" w:line="240" w:lineRule="auto"/>
              <w:ind w:left="60" w:right="60"/>
              <w:jc w:val="right"/>
            </w:pPr>
            <w:r>
              <w:t>16.58</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24" w14:textId="77777777" w:rsidR="009E4375" w:rsidRDefault="00000000" w:rsidP="00843A5E">
            <w:pPr>
              <w:spacing w:before="0" w:after="0" w:line="240" w:lineRule="auto"/>
              <w:ind w:left="60" w:right="60"/>
              <w:jc w:val="right"/>
            </w:pPr>
            <w:r>
              <w:t>99</w:t>
            </w:r>
          </w:p>
        </w:tc>
      </w:tr>
      <w:tr w:rsidR="009E4375" w14:paraId="10CF6B2B" w14:textId="77777777">
        <w:trPr>
          <w:trHeight w:val="371"/>
        </w:trPr>
        <w:tc>
          <w:tcPr>
            <w:tcW w:w="2475" w:type="dxa"/>
            <w:vMerge/>
            <w:tcBorders>
              <w:top w:val="single" w:sz="6" w:space="0" w:color="434343"/>
              <w:left w:val="nil"/>
              <w:bottom w:val="nil"/>
              <w:right w:val="nil"/>
            </w:tcBorders>
            <w:shd w:val="clear" w:color="auto" w:fill="FFFFFF"/>
            <w:tcMar>
              <w:top w:w="100" w:type="dxa"/>
              <w:left w:w="100" w:type="dxa"/>
              <w:bottom w:w="100" w:type="dxa"/>
              <w:right w:w="100" w:type="dxa"/>
            </w:tcMar>
          </w:tcPr>
          <w:p w14:paraId="10CF6B26"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27" w14:textId="77777777" w:rsidR="009E4375" w:rsidRDefault="00000000" w:rsidP="00843A5E">
            <w:pPr>
              <w:spacing w:before="0" w:after="0" w:line="240" w:lineRule="auto"/>
              <w:ind w:left="60" w:right="60"/>
            </w:pPr>
            <w:r>
              <w:t>Indian</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28" w14:textId="77777777" w:rsidR="009E4375" w:rsidRDefault="00000000" w:rsidP="00843A5E">
            <w:pPr>
              <w:spacing w:before="0" w:after="0" w:line="240" w:lineRule="auto"/>
              <w:ind w:left="60" w:right="60"/>
              <w:jc w:val="right"/>
            </w:pPr>
            <w:r>
              <w:t>61.50</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29" w14:textId="77777777" w:rsidR="009E4375" w:rsidRDefault="00000000" w:rsidP="00843A5E">
            <w:pPr>
              <w:spacing w:before="0" w:after="0" w:line="240" w:lineRule="auto"/>
              <w:ind w:left="60" w:right="60"/>
              <w:jc w:val="right"/>
            </w:pPr>
            <w:r>
              <w:t>16.56</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2A" w14:textId="77777777" w:rsidR="009E4375" w:rsidRDefault="00000000" w:rsidP="00843A5E">
            <w:pPr>
              <w:spacing w:before="0" w:after="0" w:line="240" w:lineRule="auto"/>
              <w:ind w:left="60" w:right="60"/>
              <w:jc w:val="right"/>
            </w:pPr>
            <w:r>
              <w:t>10</w:t>
            </w:r>
          </w:p>
        </w:tc>
      </w:tr>
      <w:tr w:rsidR="009E4375" w14:paraId="10CF6B31" w14:textId="77777777">
        <w:trPr>
          <w:trHeight w:val="365"/>
        </w:trPr>
        <w:tc>
          <w:tcPr>
            <w:tcW w:w="2475" w:type="dxa"/>
            <w:vMerge/>
            <w:tcBorders>
              <w:top w:val="single" w:sz="6" w:space="0" w:color="434343"/>
              <w:left w:val="nil"/>
              <w:bottom w:val="nil"/>
              <w:right w:val="nil"/>
            </w:tcBorders>
            <w:shd w:val="clear" w:color="auto" w:fill="FFFFFF"/>
            <w:tcMar>
              <w:top w:w="100" w:type="dxa"/>
              <w:left w:w="100" w:type="dxa"/>
              <w:bottom w:w="100" w:type="dxa"/>
              <w:right w:w="100" w:type="dxa"/>
            </w:tcMar>
          </w:tcPr>
          <w:p w14:paraId="10CF6B2C" w14:textId="77777777" w:rsidR="009E4375" w:rsidRDefault="009E4375" w:rsidP="00843A5E">
            <w:pPr>
              <w:spacing w:before="0" w:after="0" w:line="240" w:lineRule="auto"/>
            </w:pPr>
          </w:p>
        </w:tc>
        <w:tc>
          <w:tcPr>
            <w:tcW w:w="1545" w:type="dxa"/>
            <w:tcBorders>
              <w:top w:val="nil"/>
              <w:left w:val="nil"/>
              <w:bottom w:val="nil"/>
              <w:right w:val="nil"/>
            </w:tcBorders>
            <w:shd w:val="clear" w:color="auto" w:fill="FFFFFF"/>
            <w:tcMar>
              <w:top w:w="0" w:type="dxa"/>
              <w:left w:w="0" w:type="dxa"/>
              <w:bottom w:w="0" w:type="dxa"/>
              <w:right w:w="0" w:type="dxa"/>
            </w:tcMar>
          </w:tcPr>
          <w:p w14:paraId="10CF6B2D" w14:textId="77777777" w:rsidR="009E4375" w:rsidRDefault="00000000" w:rsidP="00843A5E">
            <w:pPr>
              <w:spacing w:before="0" w:after="0" w:line="240" w:lineRule="auto"/>
              <w:ind w:left="60" w:right="60"/>
            </w:pPr>
            <w:r>
              <w:t>Total</w:t>
            </w:r>
          </w:p>
        </w:tc>
        <w:tc>
          <w:tcPr>
            <w:tcW w:w="1230" w:type="dxa"/>
            <w:tcBorders>
              <w:top w:val="nil"/>
              <w:left w:val="nil"/>
              <w:bottom w:val="nil"/>
              <w:right w:val="nil"/>
            </w:tcBorders>
            <w:shd w:val="clear" w:color="auto" w:fill="F9F9FB"/>
            <w:tcMar>
              <w:top w:w="0" w:type="dxa"/>
              <w:left w:w="0" w:type="dxa"/>
              <w:bottom w:w="0" w:type="dxa"/>
              <w:right w:w="0" w:type="dxa"/>
            </w:tcMar>
          </w:tcPr>
          <w:p w14:paraId="10CF6B2E" w14:textId="77777777" w:rsidR="009E4375" w:rsidRDefault="00000000" w:rsidP="00843A5E">
            <w:pPr>
              <w:spacing w:before="0" w:after="0" w:line="240" w:lineRule="auto"/>
              <w:ind w:left="60" w:right="60"/>
              <w:jc w:val="right"/>
            </w:pPr>
            <w:r>
              <w:t>68.03</w:t>
            </w:r>
          </w:p>
        </w:tc>
        <w:tc>
          <w:tcPr>
            <w:tcW w:w="1890" w:type="dxa"/>
            <w:tcBorders>
              <w:top w:val="nil"/>
              <w:left w:val="single" w:sz="6" w:space="0" w:color="434343"/>
              <w:bottom w:val="nil"/>
              <w:right w:val="nil"/>
            </w:tcBorders>
            <w:shd w:val="clear" w:color="auto" w:fill="F9F9FB"/>
            <w:tcMar>
              <w:top w:w="0" w:type="dxa"/>
              <w:left w:w="0" w:type="dxa"/>
              <w:bottom w:w="0" w:type="dxa"/>
              <w:right w:w="0" w:type="dxa"/>
            </w:tcMar>
          </w:tcPr>
          <w:p w14:paraId="10CF6B2F" w14:textId="77777777" w:rsidR="009E4375" w:rsidRDefault="00000000" w:rsidP="00843A5E">
            <w:pPr>
              <w:spacing w:before="0" w:after="0" w:line="240" w:lineRule="auto"/>
              <w:ind w:left="60" w:right="60"/>
              <w:jc w:val="right"/>
            </w:pPr>
            <w:r>
              <w:t>17.93</w:t>
            </w:r>
          </w:p>
        </w:tc>
        <w:tc>
          <w:tcPr>
            <w:tcW w:w="1320" w:type="dxa"/>
            <w:tcBorders>
              <w:top w:val="nil"/>
              <w:left w:val="single" w:sz="6" w:space="0" w:color="434343"/>
              <w:bottom w:val="nil"/>
              <w:right w:val="nil"/>
            </w:tcBorders>
            <w:shd w:val="clear" w:color="auto" w:fill="F9F9FB"/>
            <w:tcMar>
              <w:top w:w="0" w:type="dxa"/>
              <w:left w:w="0" w:type="dxa"/>
              <w:bottom w:w="0" w:type="dxa"/>
              <w:right w:w="0" w:type="dxa"/>
            </w:tcMar>
          </w:tcPr>
          <w:p w14:paraId="10CF6B30" w14:textId="77777777" w:rsidR="009E4375" w:rsidRDefault="00000000" w:rsidP="00843A5E">
            <w:pPr>
              <w:spacing w:before="0" w:after="0" w:line="240" w:lineRule="auto"/>
              <w:ind w:left="60" w:right="60"/>
              <w:jc w:val="right"/>
            </w:pPr>
            <w:r>
              <w:t>206</w:t>
            </w:r>
          </w:p>
        </w:tc>
      </w:tr>
      <w:tr w:rsidR="009E4375" w14:paraId="10CF6B37" w14:textId="77777777" w:rsidTr="00843A5E">
        <w:trPr>
          <w:trHeight w:val="327"/>
        </w:trPr>
        <w:tc>
          <w:tcPr>
            <w:tcW w:w="2475" w:type="dxa"/>
            <w:vMerge w:val="restart"/>
            <w:tcBorders>
              <w:top w:val="single" w:sz="6" w:space="0" w:color="434343"/>
              <w:left w:val="nil"/>
              <w:bottom w:val="nil"/>
              <w:right w:val="nil"/>
            </w:tcBorders>
            <w:shd w:val="clear" w:color="auto" w:fill="FFFFFF"/>
            <w:tcMar>
              <w:top w:w="0" w:type="dxa"/>
              <w:left w:w="0" w:type="dxa"/>
              <w:bottom w:w="0" w:type="dxa"/>
              <w:right w:w="0" w:type="dxa"/>
            </w:tcMar>
          </w:tcPr>
          <w:p w14:paraId="10CF6B32" w14:textId="77777777" w:rsidR="009E4375" w:rsidRDefault="00000000" w:rsidP="00843A5E">
            <w:pPr>
              <w:spacing w:before="0" w:after="0" w:line="240" w:lineRule="auto"/>
              <w:ind w:left="60" w:right="60"/>
            </w:pPr>
            <w:r>
              <w:t>Perceived Stigma</w:t>
            </w:r>
          </w:p>
        </w:tc>
        <w:tc>
          <w:tcPr>
            <w:tcW w:w="1545" w:type="dxa"/>
            <w:tcBorders>
              <w:top w:val="single" w:sz="6" w:space="0" w:color="434343"/>
              <w:left w:val="nil"/>
              <w:bottom w:val="single" w:sz="6" w:space="0" w:color="434343"/>
              <w:right w:val="nil"/>
            </w:tcBorders>
            <w:shd w:val="clear" w:color="auto" w:fill="FFFFFF"/>
            <w:tcMar>
              <w:top w:w="0" w:type="dxa"/>
              <w:left w:w="0" w:type="dxa"/>
              <w:bottom w:w="0" w:type="dxa"/>
              <w:right w:w="0" w:type="dxa"/>
            </w:tcMar>
          </w:tcPr>
          <w:p w14:paraId="10CF6B33" w14:textId="77777777" w:rsidR="009E4375" w:rsidRDefault="00000000" w:rsidP="00843A5E">
            <w:pPr>
              <w:spacing w:before="0" w:after="0" w:line="240" w:lineRule="auto"/>
              <w:ind w:left="60" w:right="60"/>
            </w:pPr>
            <w:r>
              <w:t>Malay</w:t>
            </w:r>
          </w:p>
        </w:tc>
        <w:tc>
          <w:tcPr>
            <w:tcW w:w="1230" w:type="dxa"/>
            <w:tcBorders>
              <w:top w:val="single" w:sz="6" w:space="0" w:color="434343"/>
              <w:left w:val="nil"/>
              <w:bottom w:val="single" w:sz="6" w:space="0" w:color="434343"/>
              <w:right w:val="nil"/>
            </w:tcBorders>
            <w:shd w:val="clear" w:color="auto" w:fill="F9F9FB"/>
            <w:tcMar>
              <w:top w:w="0" w:type="dxa"/>
              <w:left w:w="0" w:type="dxa"/>
              <w:bottom w:w="0" w:type="dxa"/>
              <w:right w:w="0" w:type="dxa"/>
            </w:tcMar>
          </w:tcPr>
          <w:p w14:paraId="10CF6B34" w14:textId="77777777" w:rsidR="009E4375" w:rsidRDefault="00000000" w:rsidP="00843A5E">
            <w:pPr>
              <w:spacing w:before="0" w:after="0" w:line="240" w:lineRule="auto"/>
              <w:ind w:left="60" w:right="60"/>
              <w:jc w:val="right"/>
            </w:pPr>
            <w:r>
              <w:t>45.17</w:t>
            </w:r>
          </w:p>
        </w:tc>
        <w:tc>
          <w:tcPr>
            <w:tcW w:w="1890" w:type="dxa"/>
            <w:tcBorders>
              <w:top w:val="single" w:sz="6" w:space="0" w:color="434343"/>
              <w:left w:val="single" w:sz="6" w:space="0" w:color="434343"/>
              <w:bottom w:val="single" w:sz="6" w:space="0" w:color="434343"/>
              <w:right w:val="nil"/>
            </w:tcBorders>
            <w:shd w:val="clear" w:color="auto" w:fill="F9F9FB"/>
            <w:tcMar>
              <w:top w:w="0" w:type="dxa"/>
              <w:left w:w="0" w:type="dxa"/>
              <w:bottom w:w="0" w:type="dxa"/>
              <w:right w:w="0" w:type="dxa"/>
            </w:tcMar>
          </w:tcPr>
          <w:p w14:paraId="10CF6B35" w14:textId="77777777" w:rsidR="009E4375" w:rsidRDefault="00000000" w:rsidP="00843A5E">
            <w:pPr>
              <w:spacing w:before="0" w:after="0" w:line="240" w:lineRule="auto"/>
              <w:ind w:left="60" w:right="60"/>
              <w:jc w:val="right"/>
            </w:pPr>
            <w:r>
              <w:t>25.94</w:t>
            </w:r>
          </w:p>
        </w:tc>
        <w:tc>
          <w:tcPr>
            <w:tcW w:w="1320" w:type="dxa"/>
            <w:tcBorders>
              <w:top w:val="single" w:sz="6" w:space="0" w:color="434343"/>
              <w:left w:val="single" w:sz="6" w:space="0" w:color="434343"/>
              <w:bottom w:val="single" w:sz="6" w:space="0" w:color="434343"/>
              <w:right w:val="nil"/>
            </w:tcBorders>
            <w:shd w:val="clear" w:color="auto" w:fill="F9F9FB"/>
            <w:tcMar>
              <w:top w:w="0" w:type="dxa"/>
              <w:left w:w="0" w:type="dxa"/>
              <w:bottom w:w="0" w:type="dxa"/>
              <w:right w:w="0" w:type="dxa"/>
            </w:tcMar>
          </w:tcPr>
          <w:p w14:paraId="10CF6B36" w14:textId="77777777" w:rsidR="009E4375" w:rsidRDefault="00000000" w:rsidP="00843A5E">
            <w:pPr>
              <w:spacing w:before="0" w:after="0" w:line="240" w:lineRule="auto"/>
              <w:ind w:left="60" w:right="60"/>
              <w:jc w:val="right"/>
            </w:pPr>
            <w:r>
              <w:t>97</w:t>
            </w:r>
          </w:p>
        </w:tc>
      </w:tr>
      <w:tr w:rsidR="009E4375" w14:paraId="10CF6B3D" w14:textId="77777777" w:rsidTr="00843A5E">
        <w:trPr>
          <w:trHeight w:val="263"/>
        </w:trPr>
        <w:tc>
          <w:tcPr>
            <w:tcW w:w="2475" w:type="dxa"/>
            <w:vMerge/>
            <w:tcBorders>
              <w:top w:val="single" w:sz="6" w:space="0" w:color="434343"/>
              <w:left w:val="nil"/>
              <w:bottom w:val="nil"/>
              <w:right w:val="nil"/>
            </w:tcBorders>
            <w:shd w:val="clear" w:color="auto" w:fill="FFFFFF"/>
            <w:tcMar>
              <w:top w:w="100" w:type="dxa"/>
              <w:left w:w="100" w:type="dxa"/>
              <w:bottom w:w="100" w:type="dxa"/>
              <w:right w:w="100" w:type="dxa"/>
            </w:tcMar>
          </w:tcPr>
          <w:p w14:paraId="10CF6B38"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39" w14:textId="77777777" w:rsidR="009E4375" w:rsidRDefault="00000000" w:rsidP="00843A5E">
            <w:pPr>
              <w:spacing w:before="0" w:after="0" w:line="240" w:lineRule="auto"/>
              <w:ind w:left="60" w:right="60"/>
            </w:pPr>
            <w:r>
              <w:t>Chinese</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3A" w14:textId="77777777" w:rsidR="009E4375" w:rsidRDefault="00000000" w:rsidP="00843A5E">
            <w:pPr>
              <w:spacing w:before="0" w:after="0" w:line="240" w:lineRule="auto"/>
              <w:ind w:left="60" w:right="60"/>
              <w:jc w:val="right"/>
            </w:pPr>
            <w:r>
              <w:t>51.96</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3B" w14:textId="77777777" w:rsidR="009E4375" w:rsidRDefault="00000000" w:rsidP="00843A5E">
            <w:pPr>
              <w:spacing w:before="0" w:after="0" w:line="240" w:lineRule="auto"/>
              <w:ind w:left="60" w:right="60"/>
              <w:jc w:val="right"/>
            </w:pPr>
            <w:r>
              <w:t>23.74</w:t>
            </w:r>
          </w:p>
        </w:tc>
        <w:tc>
          <w:tcPr>
            <w:tcW w:w="1320" w:type="dxa"/>
            <w:tcBorders>
              <w:top w:val="nil"/>
              <w:left w:val="single" w:sz="6" w:space="0" w:color="434343"/>
              <w:bottom w:val="single" w:sz="6" w:space="0" w:color="434343"/>
              <w:right w:val="nil"/>
            </w:tcBorders>
            <w:shd w:val="clear" w:color="auto" w:fill="FFFFFF"/>
            <w:tcMar>
              <w:top w:w="0" w:type="dxa"/>
              <w:left w:w="0" w:type="dxa"/>
              <w:bottom w:w="0" w:type="dxa"/>
              <w:right w:w="0" w:type="dxa"/>
            </w:tcMar>
          </w:tcPr>
          <w:p w14:paraId="10CF6B3C" w14:textId="77777777" w:rsidR="009E4375" w:rsidRDefault="00000000" w:rsidP="00843A5E">
            <w:pPr>
              <w:spacing w:before="0" w:after="0" w:line="240" w:lineRule="auto"/>
              <w:ind w:left="60" w:right="60"/>
              <w:jc w:val="right"/>
            </w:pPr>
            <w:r>
              <w:t>99</w:t>
            </w:r>
          </w:p>
        </w:tc>
      </w:tr>
      <w:tr w:rsidR="009E4375" w14:paraId="10CF6B43" w14:textId="77777777" w:rsidTr="00843A5E">
        <w:trPr>
          <w:trHeight w:val="137"/>
        </w:trPr>
        <w:tc>
          <w:tcPr>
            <w:tcW w:w="2475" w:type="dxa"/>
            <w:vMerge/>
            <w:tcBorders>
              <w:top w:val="single" w:sz="6" w:space="0" w:color="434343"/>
              <w:left w:val="nil"/>
              <w:bottom w:val="nil"/>
              <w:right w:val="nil"/>
            </w:tcBorders>
            <w:shd w:val="clear" w:color="auto" w:fill="FFFFFF"/>
            <w:tcMar>
              <w:top w:w="100" w:type="dxa"/>
              <w:left w:w="100" w:type="dxa"/>
              <w:bottom w:w="100" w:type="dxa"/>
              <w:right w:w="100" w:type="dxa"/>
            </w:tcMar>
          </w:tcPr>
          <w:p w14:paraId="10CF6B3E"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3F" w14:textId="77777777" w:rsidR="009E4375" w:rsidRDefault="00000000" w:rsidP="00843A5E">
            <w:pPr>
              <w:spacing w:before="0" w:after="0" w:line="240" w:lineRule="auto"/>
              <w:ind w:left="60" w:right="60"/>
            </w:pPr>
            <w:r>
              <w:t>Indian</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40" w14:textId="77777777" w:rsidR="009E4375" w:rsidRDefault="00000000" w:rsidP="00843A5E">
            <w:pPr>
              <w:spacing w:before="0" w:after="0" w:line="240" w:lineRule="auto"/>
              <w:ind w:left="60" w:right="60"/>
              <w:jc w:val="right"/>
            </w:pPr>
            <w:r>
              <w:t>63.88</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41" w14:textId="77777777" w:rsidR="009E4375" w:rsidRDefault="00000000" w:rsidP="00843A5E">
            <w:pPr>
              <w:spacing w:before="0" w:after="0" w:line="240" w:lineRule="auto"/>
              <w:ind w:left="60" w:right="60"/>
              <w:jc w:val="right"/>
            </w:pPr>
            <w:r>
              <w:t>15.22</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42" w14:textId="77777777" w:rsidR="009E4375" w:rsidRDefault="00000000" w:rsidP="00843A5E">
            <w:pPr>
              <w:spacing w:before="0" w:after="0" w:line="240" w:lineRule="auto"/>
              <w:ind w:left="60" w:right="60"/>
              <w:jc w:val="right"/>
            </w:pPr>
            <w:r>
              <w:t>10</w:t>
            </w:r>
          </w:p>
        </w:tc>
      </w:tr>
      <w:tr w:rsidR="009E4375" w14:paraId="10CF6B49" w14:textId="77777777" w:rsidTr="00843A5E">
        <w:trPr>
          <w:trHeight w:val="200"/>
        </w:trPr>
        <w:tc>
          <w:tcPr>
            <w:tcW w:w="2475" w:type="dxa"/>
            <w:vMerge/>
            <w:tcBorders>
              <w:top w:val="single" w:sz="6" w:space="0" w:color="434343"/>
              <w:left w:val="nil"/>
              <w:bottom w:val="nil"/>
              <w:right w:val="nil"/>
            </w:tcBorders>
            <w:shd w:val="clear" w:color="auto" w:fill="FFFFFF"/>
            <w:tcMar>
              <w:top w:w="100" w:type="dxa"/>
              <w:left w:w="100" w:type="dxa"/>
              <w:bottom w:w="100" w:type="dxa"/>
              <w:right w:w="100" w:type="dxa"/>
            </w:tcMar>
          </w:tcPr>
          <w:p w14:paraId="10CF6B44" w14:textId="77777777" w:rsidR="009E4375" w:rsidRDefault="009E4375" w:rsidP="00843A5E">
            <w:pPr>
              <w:spacing w:before="0" w:after="0" w:line="240" w:lineRule="auto"/>
            </w:pPr>
          </w:p>
        </w:tc>
        <w:tc>
          <w:tcPr>
            <w:tcW w:w="1545" w:type="dxa"/>
            <w:tcBorders>
              <w:top w:val="nil"/>
              <w:left w:val="nil"/>
              <w:bottom w:val="nil"/>
              <w:right w:val="nil"/>
            </w:tcBorders>
            <w:shd w:val="clear" w:color="auto" w:fill="FFFFFF"/>
            <w:tcMar>
              <w:top w:w="0" w:type="dxa"/>
              <w:left w:w="0" w:type="dxa"/>
              <w:bottom w:w="0" w:type="dxa"/>
              <w:right w:w="0" w:type="dxa"/>
            </w:tcMar>
          </w:tcPr>
          <w:p w14:paraId="10CF6B45" w14:textId="77777777" w:rsidR="009E4375" w:rsidRDefault="00000000" w:rsidP="00843A5E">
            <w:pPr>
              <w:spacing w:before="0" w:after="0" w:line="240" w:lineRule="auto"/>
              <w:ind w:left="60" w:right="60"/>
            </w:pPr>
            <w:r>
              <w:t>Total</w:t>
            </w:r>
          </w:p>
        </w:tc>
        <w:tc>
          <w:tcPr>
            <w:tcW w:w="1230" w:type="dxa"/>
            <w:tcBorders>
              <w:top w:val="nil"/>
              <w:left w:val="nil"/>
              <w:bottom w:val="nil"/>
              <w:right w:val="nil"/>
            </w:tcBorders>
            <w:shd w:val="clear" w:color="auto" w:fill="F9F9FB"/>
            <w:tcMar>
              <w:top w:w="0" w:type="dxa"/>
              <w:left w:w="0" w:type="dxa"/>
              <w:bottom w:w="0" w:type="dxa"/>
              <w:right w:w="0" w:type="dxa"/>
            </w:tcMar>
          </w:tcPr>
          <w:p w14:paraId="10CF6B46" w14:textId="77777777" w:rsidR="009E4375" w:rsidRDefault="00000000" w:rsidP="00843A5E">
            <w:pPr>
              <w:spacing w:before="0" w:after="0" w:line="240" w:lineRule="auto"/>
              <w:ind w:left="60" w:right="60"/>
              <w:jc w:val="right"/>
            </w:pPr>
            <w:r>
              <w:t>49.34</w:t>
            </w:r>
          </w:p>
        </w:tc>
        <w:tc>
          <w:tcPr>
            <w:tcW w:w="1890" w:type="dxa"/>
            <w:tcBorders>
              <w:top w:val="nil"/>
              <w:left w:val="single" w:sz="6" w:space="0" w:color="434343"/>
              <w:bottom w:val="nil"/>
              <w:right w:val="nil"/>
            </w:tcBorders>
            <w:shd w:val="clear" w:color="auto" w:fill="F9F9FB"/>
            <w:tcMar>
              <w:top w:w="0" w:type="dxa"/>
              <w:left w:w="0" w:type="dxa"/>
              <w:bottom w:w="0" w:type="dxa"/>
              <w:right w:w="0" w:type="dxa"/>
            </w:tcMar>
          </w:tcPr>
          <w:p w14:paraId="10CF6B47" w14:textId="77777777" w:rsidR="009E4375" w:rsidRDefault="00000000" w:rsidP="00843A5E">
            <w:pPr>
              <w:spacing w:before="0" w:after="0" w:line="240" w:lineRule="auto"/>
              <w:ind w:left="60" w:right="60"/>
              <w:jc w:val="right"/>
            </w:pPr>
            <w:r>
              <w:t>24.83</w:t>
            </w:r>
          </w:p>
        </w:tc>
        <w:tc>
          <w:tcPr>
            <w:tcW w:w="1320" w:type="dxa"/>
            <w:tcBorders>
              <w:top w:val="nil"/>
              <w:left w:val="single" w:sz="6" w:space="0" w:color="434343"/>
              <w:bottom w:val="nil"/>
              <w:right w:val="nil"/>
            </w:tcBorders>
            <w:shd w:val="clear" w:color="auto" w:fill="F9F9FB"/>
            <w:tcMar>
              <w:top w:w="0" w:type="dxa"/>
              <w:left w:w="0" w:type="dxa"/>
              <w:bottom w:w="0" w:type="dxa"/>
              <w:right w:w="0" w:type="dxa"/>
            </w:tcMar>
          </w:tcPr>
          <w:p w14:paraId="10CF6B48" w14:textId="77777777" w:rsidR="009E4375" w:rsidRDefault="00000000" w:rsidP="00843A5E">
            <w:pPr>
              <w:spacing w:before="0" w:after="0" w:line="240" w:lineRule="auto"/>
              <w:ind w:left="60" w:right="60"/>
              <w:jc w:val="right"/>
            </w:pPr>
            <w:r>
              <w:t>206</w:t>
            </w:r>
          </w:p>
        </w:tc>
      </w:tr>
      <w:tr w:rsidR="009E4375" w14:paraId="10CF6B4F" w14:textId="77777777" w:rsidTr="00843A5E">
        <w:trPr>
          <w:trHeight w:val="345"/>
        </w:trPr>
        <w:tc>
          <w:tcPr>
            <w:tcW w:w="2475" w:type="dxa"/>
            <w:vMerge w:val="restart"/>
            <w:tcBorders>
              <w:top w:val="single" w:sz="6" w:space="0" w:color="434343"/>
              <w:left w:val="nil"/>
              <w:bottom w:val="single" w:sz="6" w:space="0" w:color="434343"/>
              <w:right w:val="nil"/>
            </w:tcBorders>
            <w:shd w:val="clear" w:color="auto" w:fill="FFFFFF"/>
            <w:tcMar>
              <w:top w:w="0" w:type="dxa"/>
              <w:left w:w="0" w:type="dxa"/>
              <w:bottom w:w="0" w:type="dxa"/>
              <w:right w:w="0" w:type="dxa"/>
            </w:tcMar>
          </w:tcPr>
          <w:p w14:paraId="10CF6B4A" w14:textId="77777777" w:rsidR="009E4375" w:rsidRDefault="00000000" w:rsidP="00843A5E">
            <w:pPr>
              <w:spacing w:before="0" w:after="0" w:line="240" w:lineRule="auto"/>
              <w:ind w:left="60" w:right="60"/>
            </w:pPr>
            <w:r>
              <w:t>Participation</w:t>
            </w:r>
          </w:p>
        </w:tc>
        <w:tc>
          <w:tcPr>
            <w:tcW w:w="1545" w:type="dxa"/>
            <w:tcBorders>
              <w:top w:val="single" w:sz="6" w:space="0" w:color="434343"/>
              <w:left w:val="nil"/>
              <w:bottom w:val="single" w:sz="6" w:space="0" w:color="434343"/>
              <w:right w:val="nil"/>
            </w:tcBorders>
            <w:shd w:val="clear" w:color="auto" w:fill="FFFFFF"/>
            <w:tcMar>
              <w:top w:w="0" w:type="dxa"/>
              <w:left w:w="0" w:type="dxa"/>
              <w:bottom w:w="0" w:type="dxa"/>
              <w:right w:w="0" w:type="dxa"/>
            </w:tcMar>
          </w:tcPr>
          <w:p w14:paraId="10CF6B4B" w14:textId="77777777" w:rsidR="009E4375" w:rsidRDefault="00000000" w:rsidP="00843A5E">
            <w:pPr>
              <w:spacing w:before="0" w:after="0" w:line="240" w:lineRule="auto"/>
              <w:ind w:left="60" w:right="60"/>
            </w:pPr>
            <w:r>
              <w:t>Malay</w:t>
            </w:r>
          </w:p>
        </w:tc>
        <w:tc>
          <w:tcPr>
            <w:tcW w:w="1230" w:type="dxa"/>
            <w:tcBorders>
              <w:top w:val="single" w:sz="6" w:space="0" w:color="434343"/>
              <w:left w:val="nil"/>
              <w:bottom w:val="single" w:sz="6" w:space="0" w:color="434343"/>
              <w:right w:val="nil"/>
            </w:tcBorders>
            <w:shd w:val="clear" w:color="auto" w:fill="F9F9FB"/>
            <w:tcMar>
              <w:top w:w="0" w:type="dxa"/>
              <w:left w:w="0" w:type="dxa"/>
              <w:bottom w:w="0" w:type="dxa"/>
              <w:right w:w="0" w:type="dxa"/>
            </w:tcMar>
          </w:tcPr>
          <w:p w14:paraId="10CF6B4C" w14:textId="77777777" w:rsidR="009E4375" w:rsidRDefault="00000000" w:rsidP="00843A5E">
            <w:pPr>
              <w:spacing w:before="0" w:after="0" w:line="240" w:lineRule="auto"/>
              <w:ind w:left="60" w:right="60"/>
              <w:jc w:val="right"/>
            </w:pPr>
            <w:r>
              <w:t>36.59</w:t>
            </w:r>
          </w:p>
        </w:tc>
        <w:tc>
          <w:tcPr>
            <w:tcW w:w="1890" w:type="dxa"/>
            <w:tcBorders>
              <w:top w:val="single" w:sz="6" w:space="0" w:color="434343"/>
              <w:left w:val="single" w:sz="6" w:space="0" w:color="434343"/>
              <w:bottom w:val="single" w:sz="6" w:space="0" w:color="434343"/>
              <w:right w:val="nil"/>
            </w:tcBorders>
            <w:shd w:val="clear" w:color="auto" w:fill="F9F9FB"/>
            <w:tcMar>
              <w:top w:w="0" w:type="dxa"/>
              <w:left w:w="0" w:type="dxa"/>
              <w:bottom w:w="0" w:type="dxa"/>
              <w:right w:w="0" w:type="dxa"/>
            </w:tcMar>
          </w:tcPr>
          <w:p w14:paraId="10CF6B4D" w14:textId="77777777" w:rsidR="009E4375" w:rsidRDefault="00000000" w:rsidP="00843A5E">
            <w:pPr>
              <w:spacing w:before="0" w:after="0" w:line="240" w:lineRule="auto"/>
              <w:ind w:left="60" w:right="60"/>
              <w:jc w:val="right"/>
            </w:pPr>
            <w:r>
              <w:t>22.51</w:t>
            </w:r>
          </w:p>
        </w:tc>
        <w:tc>
          <w:tcPr>
            <w:tcW w:w="1320" w:type="dxa"/>
            <w:tcBorders>
              <w:top w:val="single" w:sz="6" w:space="0" w:color="434343"/>
              <w:left w:val="single" w:sz="6" w:space="0" w:color="434343"/>
              <w:bottom w:val="single" w:sz="6" w:space="0" w:color="434343"/>
              <w:right w:val="nil"/>
            </w:tcBorders>
            <w:shd w:val="clear" w:color="auto" w:fill="F9F9FB"/>
            <w:tcMar>
              <w:top w:w="0" w:type="dxa"/>
              <w:left w:w="0" w:type="dxa"/>
              <w:bottom w:w="0" w:type="dxa"/>
              <w:right w:w="0" w:type="dxa"/>
            </w:tcMar>
          </w:tcPr>
          <w:p w14:paraId="10CF6B4E" w14:textId="77777777" w:rsidR="009E4375" w:rsidRDefault="00000000" w:rsidP="00843A5E">
            <w:pPr>
              <w:spacing w:before="0" w:after="0" w:line="240" w:lineRule="auto"/>
              <w:ind w:left="60" w:right="60"/>
              <w:jc w:val="right"/>
            </w:pPr>
            <w:r>
              <w:t>97</w:t>
            </w:r>
          </w:p>
        </w:tc>
      </w:tr>
      <w:tr w:rsidR="009E4375" w14:paraId="10CF6B55" w14:textId="77777777" w:rsidTr="00843A5E">
        <w:trPr>
          <w:trHeight w:val="20"/>
        </w:trPr>
        <w:tc>
          <w:tcPr>
            <w:tcW w:w="2475" w:type="dxa"/>
            <w:vMerge/>
            <w:tcBorders>
              <w:top w:val="single" w:sz="6" w:space="0" w:color="434343"/>
              <w:left w:val="nil"/>
              <w:bottom w:val="single" w:sz="6" w:space="0" w:color="434343"/>
              <w:right w:val="nil"/>
            </w:tcBorders>
            <w:shd w:val="clear" w:color="auto" w:fill="FFFFFF"/>
            <w:tcMar>
              <w:top w:w="100" w:type="dxa"/>
              <w:left w:w="100" w:type="dxa"/>
              <w:bottom w:w="100" w:type="dxa"/>
              <w:right w:w="100" w:type="dxa"/>
            </w:tcMar>
          </w:tcPr>
          <w:p w14:paraId="10CF6B50"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51" w14:textId="77777777" w:rsidR="009E4375" w:rsidRDefault="00000000" w:rsidP="00843A5E">
            <w:pPr>
              <w:spacing w:before="0" w:after="0" w:line="240" w:lineRule="auto"/>
              <w:ind w:left="60" w:right="60"/>
            </w:pPr>
            <w:r>
              <w:t>Chinese</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52" w14:textId="77777777" w:rsidR="009E4375" w:rsidRDefault="00000000" w:rsidP="00843A5E">
            <w:pPr>
              <w:spacing w:before="0" w:after="0" w:line="240" w:lineRule="auto"/>
              <w:ind w:left="60" w:right="60"/>
              <w:jc w:val="right"/>
            </w:pPr>
            <w:r>
              <w:t>39.18</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53" w14:textId="77777777" w:rsidR="009E4375" w:rsidRDefault="00000000" w:rsidP="00843A5E">
            <w:pPr>
              <w:spacing w:before="0" w:after="0" w:line="240" w:lineRule="auto"/>
              <w:ind w:left="60" w:right="60"/>
              <w:jc w:val="right"/>
            </w:pPr>
            <w:r>
              <w:t>22.36</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54" w14:textId="77777777" w:rsidR="009E4375" w:rsidRDefault="00000000" w:rsidP="00843A5E">
            <w:pPr>
              <w:spacing w:before="0" w:after="0" w:line="240" w:lineRule="auto"/>
              <w:ind w:left="60" w:right="60"/>
              <w:jc w:val="right"/>
            </w:pPr>
            <w:r>
              <w:t>99</w:t>
            </w:r>
          </w:p>
        </w:tc>
      </w:tr>
      <w:tr w:rsidR="009E4375" w14:paraId="10CF6B5B" w14:textId="77777777" w:rsidTr="00843A5E">
        <w:trPr>
          <w:trHeight w:val="83"/>
        </w:trPr>
        <w:tc>
          <w:tcPr>
            <w:tcW w:w="2475" w:type="dxa"/>
            <w:vMerge/>
            <w:tcBorders>
              <w:top w:val="single" w:sz="6" w:space="0" w:color="434343"/>
              <w:left w:val="nil"/>
              <w:bottom w:val="single" w:sz="6" w:space="0" w:color="434343"/>
              <w:right w:val="nil"/>
            </w:tcBorders>
            <w:shd w:val="clear" w:color="auto" w:fill="FFFFFF"/>
            <w:tcMar>
              <w:top w:w="100" w:type="dxa"/>
              <w:left w:w="100" w:type="dxa"/>
              <w:bottom w:w="100" w:type="dxa"/>
              <w:right w:w="100" w:type="dxa"/>
            </w:tcMar>
          </w:tcPr>
          <w:p w14:paraId="10CF6B56"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57" w14:textId="77777777" w:rsidR="009E4375" w:rsidRDefault="00000000" w:rsidP="00843A5E">
            <w:pPr>
              <w:spacing w:before="0" w:after="0" w:line="240" w:lineRule="auto"/>
              <w:ind w:left="60" w:right="60"/>
            </w:pPr>
            <w:r>
              <w:t>Indian</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58" w14:textId="77777777" w:rsidR="009E4375" w:rsidRDefault="00000000" w:rsidP="00843A5E">
            <w:pPr>
              <w:spacing w:before="0" w:after="0" w:line="240" w:lineRule="auto"/>
              <w:ind w:left="60" w:right="60"/>
              <w:jc w:val="right"/>
            </w:pPr>
            <w:r>
              <w:t>53.10</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59" w14:textId="77777777" w:rsidR="009E4375" w:rsidRDefault="00000000" w:rsidP="00843A5E">
            <w:pPr>
              <w:spacing w:before="0" w:after="0" w:line="240" w:lineRule="auto"/>
              <w:ind w:left="60" w:right="60"/>
              <w:jc w:val="right"/>
            </w:pPr>
            <w:r>
              <w:t>18.11</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5A" w14:textId="77777777" w:rsidR="009E4375" w:rsidRDefault="00000000" w:rsidP="00843A5E">
            <w:pPr>
              <w:spacing w:before="0" w:after="0" w:line="240" w:lineRule="auto"/>
              <w:ind w:left="60" w:right="60"/>
              <w:jc w:val="right"/>
            </w:pPr>
            <w:r>
              <w:t>10</w:t>
            </w:r>
          </w:p>
        </w:tc>
      </w:tr>
      <w:tr w:rsidR="009E4375" w14:paraId="10CF6B61" w14:textId="77777777" w:rsidTr="00843A5E">
        <w:trPr>
          <w:trHeight w:val="20"/>
        </w:trPr>
        <w:tc>
          <w:tcPr>
            <w:tcW w:w="2475" w:type="dxa"/>
            <w:vMerge/>
            <w:tcBorders>
              <w:top w:val="single" w:sz="6" w:space="0" w:color="434343"/>
              <w:left w:val="nil"/>
              <w:bottom w:val="single" w:sz="6" w:space="0" w:color="434343"/>
              <w:right w:val="nil"/>
            </w:tcBorders>
            <w:shd w:val="clear" w:color="auto" w:fill="FFFFFF"/>
            <w:tcMar>
              <w:top w:w="100" w:type="dxa"/>
              <w:left w:w="100" w:type="dxa"/>
              <w:bottom w:w="100" w:type="dxa"/>
              <w:right w:w="100" w:type="dxa"/>
            </w:tcMar>
          </w:tcPr>
          <w:p w14:paraId="10CF6B5C" w14:textId="77777777" w:rsidR="009E4375" w:rsidRDefault="009E4375" w:rsidP="00843A5E">
            <w:pPr>
              <w:spacing w:before="0" w:after="0" w:line="240" w:lineRule="auto"/>
            </w:pPr>
          </w:p>
        </w:tc>
        <w:tc>
          <w:tcPr>
            <w:tcW w:w="1545" w:type="dxa"/>
            <w:tcBorders>
              <w:top w:val="nil"/>
              <w:left w:val="nil"/>
              <w:bottom w:val="single" w:sz="6" w:space="0" w:color="434343"/>
              <w:right w:val="nil"/>
            </w:tcBorders>
            <w:shd w:val="clear" w:color="auto" w:fill="FFFFFF"/>
            <w:tcMar>
              <w:top w:w="0" w:type="dxa"/>
              <w:left w:w="0" w:type="dxa"/>
              <w:bottom w:w="0" w:type="dxa"/>
              <w:right w:w="0" w:type="dxa"/>
            </w:tcMar>
          </w:tcPr>
          <w:p w14:paraId="10CF6B5D" w14:textId="77777777" w:rsidR="009E4375" w:rsidRDefault="00000000" w:rsidP="00843A5E">
            <w:pPr>
              <w:spacing w:before="0" w:after="0" w:line="240" w:lineRule="auto"/>
              <w:ind w:left="60" w:right="60"/>
            </w:pPr>
            <w:r>
              <w:t>Total</w:t>
            </w:r>
          </w:p>
        </w:tc>
        <w:tc>
          <w:tcPr>
            <w:tcW w:w="1230" w:type="dxa"/>
            <w:tcBorders>
              <w:top w:val="nil"/>
              <w:left w:val="nil"/>
              <w:bottom w:val="single" w:sz="6" w:space="0" w:color="434343"/>
              <w:right w:val="nil"/>
            </w:tcBorders>
            <w:shd w:val="clear" w:color="auto" w:fill="F9F9FB"/>
            <w:tcMar>
              <w:top w:w="0" w:type="dxa"/>
              <w:left w:w="0" w:type="dxa"/>
              <w:bottom w:w="0" w:type="dxa"/>
              <w:right w:w="0" w:type="dxa"/>
            </w:tcMar>
          </w:tcPr>
          <w:p w14:paraId="10CF6B5E" w14:textId="77777777" w:rsidR="009E4375" w:rsidRDefault="00000000" w:rsidP="00843A5E">
            <w:pPr>
              <w:spacing w:before="0" w:after="0" w:line="240" w:lineRule="auto"/>
              <w:ind w:left="60" w:right="60"/>
              <w:jc w:val="right"/>
            </w:pPr>
            <w:r>
              <w:t>38.64</w:t>
            </w:r>
          </w:p>
        </w:tc>
        <w:tc>
          <w:tcPr>
            <w:tcW w:w="189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5F" w14:textId="77777777" w:rsidR="009E4375" w:rsidRDefault="00000000" w:rsidP="00843A5E">
            <w:pPr>
              <w:spacing w:before="0" w:after="0" w:line="240" w:lineRule="auto"/>
              <w:ind w:left="60" w:right="60"/>
              <w:jc w:val="right"/>
            </w:pPr>
            <w:r>
              <w:t>22.43</w:t>
            </w:r>
          </w:p>
        </w:tc>
        <w:tc>
          <w:tcPr>
            <w:tcW w:w="1320" w:type="dxa"/>
            <w:tcBorders>
              <w:top w:val="nil"/>
              <w:left w:val="single" w:sz="6" w:space="0" w:color="434343"/>
              <w:bottom w:val="single" w:sz="6" w:space="0" w:color="434343"/>
              <w:right w:val="nil"/>
            </w:tcBorders>
            <w:shd w:val="clear" w:color="auto" w:fill="F9F9FB"/>
            <w:tcMar>
              <w:top w:w="0" w:type="dxa"/>
              <w:left w:w="0" w:type="dxa"/>
              <w:bottom w:w="0" w:type="dxa"/>
              <w:right w:w="0" w:type="dxa"/>
            </w:tcMar>
          </w:tcPr>
          <w:p w14:paraId="10CF6B60" w14:textId="77777777" w:rsidR="009E4375" w:rsidRDefault="00000000" w:rsidP="00843A5E">
            <w:pPr>
              <w:spacing w:before="0" w:after="0" w:line="240" w:lineRule="auto"/>
              <w:ind w:left="60" w:right="60"/>
              <w:jc w:val="right"/>
            </w:pPr>
            <w:r>
              <w:t>206</w:t>
            </w:r>
          </w:p>
        </w:tc>
      </w:tr>
    </w:tbl>
    <w:p w14:paraId="049D68B0" w14:textId="77777777" w:rsidR="0081771D" w:rsidRDefault="0081771D"/>
    <w:p w14:paraId="39B84A14" w14:textId="77777777" w:rsidR="00897D9F" w:rsidRDefault="00897D9F"/>
    <w:p w14:paraId="5D5D4F02" w14:textId="77777777" w:rsidR="00897D9F" w:rsidRDefault="00897D9F"/>
    <w:p w14:paraId="090034DD" w14:textId="77777777" w:rsidR="00897D9F" w:rsidRDefault="00897D9F"/>
    <w:p w14:paraId="4B95892F" w14:textId="77777777" w:rsidR="00897D9F" w:rsidRDefault="00897D9F"/>
    <w:p w14:paraId="5B1FC40F" w14:textId="77777777" w:rsidR="00897D9F" w:rsidRDefault="00897D9F"/>
    <w:p w14:paraId="68D222D9" w14:textId="77777777" w:rsidR="00897D9F" w:rsidRDefault="00897D9F"/>
    <w:p w14:paraId="05086C06" w14:textId="77777777" w:rsidR="00897D9F" w:rsidRDefault="00897D9F"/>
    <w:p w14:paraId="10CF6B63" w14:textId="77777777" w:rsidR="009E4375" w:rsidRDefault="00000000">
      <w:pPr>
        <w:spacing w:before="0" w:after="200"/>
      </w:pPr>
      <w:r>
        <w:rPr>
          <w:b/>
          <w:bCs/>
        </w:rPr>
        <w:lastRenderedPageBreak/>
        <w:t>Table 6</w:t>
      </w:r>
    </w:p>
    <w:p w14:paraId="10CF6B64" w14:textId="77777777" w:rsidR="009E4375" w:rsidRDefault="00000000">
      <w:pPr>
        <w:widowControl w:val="0"/>
        <w:spacing w:before="0" w:after="200" w:line="288" w:lineRule="auto"/>
      </w:pPr>
      <w:r>
        <w:t>Post-hoc Least Significant Difference (LSD) Test by Subdomain and Race</w:t>
      </w:r>
    </w:p>
    <w:tbl>
      <w:tblPr>
        <w:tblStyle w:val="a4"/>
        <w:tblW w:w="97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75"/>
        <w:gridCol w:w="1095"/>
        <w:gridCol w:w="1140"/>
        <w:gridCol w:w="1305"/>
        <w:gridCol w:w="1125"/>
        <w:gridCol w:w="900"/>
        <w:gridCol w:w="1335"/>
        <w:gridCol w:w="1305"/>
      </w:tblGrid>
      <w:tr w:rsidR="009E4375" w14:paraId="10CF6B66" w14:textId="77777777">
        <w:trPr>
          <w:trHeight w:val="152"/>
        </w:trPr>
        <w:tc>
          <w:tcPr>
            <w:tcW w:w="9780" w:type="dxa"/>
            <w:gridSpan w:val="8"/>
            <w:tcBorders>
              <w:top w:val="nil"/>
              <w:left w:val="nil"/>
              <w:bottom w:val="nil"/>
              <w:right w:val="nil"/>
            </w:tcBorders>
            <w:shd w:val="clear" w:color="auto" w:fill="FFFFFF"/>
            <w:tcMar>
              <w:top w:w="0" w:type="dxa"/>
              <w:left w:w="0" w:type="dxa"/>
              <w:bottom w:w="0" w:type="dxa"/>
              <w:right w:w="0" w:type="dxa"/>
            </w:tcMar>
          </w:tcPr>
          <w:p w14:paraId="10CF6B65" w14:textId="77777777" w:rsidR="009E4375" w:rsidRDefault="00000000">
            <w:pPr>
              <w:spacing w:before="0" w:after="0" w:line="276" w:lineRule="auto"/>
              <w:ind w:left="60" w:right="60"/>
              <w:jc w:val="center"/>
              <w:rPr>
                <w:b/>
                <w:bCs/>
                <w:sz w:val="26"/>
                <w:szCs w:val="26"/>
              </w:rPr>
            </w:pPr>
            <w:r>
              <w:rPr>
                <w:b/>
                <w:bCs/>
                <w:sz w:val="26"/>
                <w:szCs w:val="26"/>
              </w:rPr>
              <w:t>Multiple Comparisons</w:t>
            </w:r>
          </w:p>
        </w:tc>
      </w:tr>
      <w:tr w:rsidR="009E4375" w14:paraId="10CF6B6E" w14:textId="77777777">
        <w:trPr>
          <w:trHeight w:val="543"/>
        </w:trPr>
        <w:tc>
          <w:tcPr>
            <w:tcW w:w="1575" w:type="dxa"/>
            <w:vMerge w:val="restart"/>
            <w:tcBorders>
              <w:top w:val="nil"/>
              <w:left w:val="nil"/>
              <w:bottom w:val="nil"/>
              <w:right w:val="nil"/>
            </w:tcBorders>
            <w:shd w:val="clear" w:color="auto" w:fill="FFFFFF"/>
            <w:tcMar>
              <w:top w:w="0" w:type="dxa"/>
              <w:left w:w="0" w:type="dxa"/>
              <w:bottom w:w="0" w:type="dxa"/>
              <w:right w:w="0" w:type="dxa"/>
            </w:tcMar>
            <w:vAlign w:val="bottom"/>
          </w:tcPr>
          <w:p w14:paraId="10CF6B67" w14:textId="77777777" w:rsidR="009E4375" w:rsidRDefault="00000000">
            <w:pPr>
              <w:spacing w:before="0" w:after="0" w:line="276" w:lineRule="auto"/>
              <w:ind w:left="60" w:right="60"/>
            </w:pPr>
            <w:r>
              <w:t>Dependent Variable</w:t>
            </w:r>
          </w:p>
        </w:tc>
        <w:tc>
          <w:tcPr>
            <w:tcW w:w="1095" w:type="dxa"/>
            <w:vMerge w:val="restart"/>
            <w:tcBorders>
              <w:top w:val="nil"/>
              <w:left w:val="nil"/>
              <w:bottom w:val="nil"/>
              <w:right w:val="nil"/>
            </w:tcBorders>
            <w:shd w:val="clear" w:color="auto" w:fill="FFFFFF"/>
            <w:tcMar>
              <w:top w:w="0" w:type="dxa"/>
              <w:left w:w="0" w:type="dxa"/>
              <w:bottom w:w="0" w:type="dxa"/>
              <w:right w:w="0" w:type="dxa"/>
            </w:tcMar>
            <w:vAlign w:val="bottom"/>
          </w:tcPr>
          <w:p w14:paraId="10CF6B68" w14:textId="77777777" w:rsidR="009E4375" w:rsidRDefault="00000000">
            <w:pPr>
              <w:spacing w:before="0" w:after="0" w:line="276" w:lineRule="auto"/>
              <w:ind w:left="60" w:right="60"/>
            </w:pPr>
            <w:r>
              <w:t>(I) Race</w:t>
            </w:r>
          </w:p>
        </w:tc>
        <w:tc>
          <w:tcPr>
            <w:tcW w:w="1140" w:type="dxa"/>
            <w:vMerge w:val="restart"/>
            <w:tcBorders>
              <w:top w:val="nil"/>
              <w:left w:val="nil"/>
              <w:bottom w:val="nil"/>
              <w:right w:val="nil"/>
            </w:tcBorders>
            <w:shd w:val="clear" w:color="auto" w:fill="FFFFFF"/>
            <w:tcMar>
              <w:top w:w="0" w:type="dxa"/>
              <w:left w:w="0" w:type="dxa"/>
              <w:bottom w:w="0" w:type="dxa"/>
              <w:right w:w="0" w:type="dxa"/>
            </w:tcMar>
            <w:vAlign w:val="bottom"/>
          </w:tcPr>
          <w:p w14:paraId="10CF6B69" w14:textId="77777777" w:rsidR="009E4375" w:rsidRDefault="00000000">
            <w:pPr>
              <w:spacing w:before="0" w:after="0" w:line="276" w:lineRule="auto"/>
              <w:ind w:left="60" w:right="60"/>
            </w:pPr>
            <w:r>
              <w:t>(J) Race</w:t>
            </w:r>
          </w:p>
        </w:tc>
        <w:tc>
          <w:tcPr>
            <w:tcW w:w="1305" w:type="dxa"/>
            <w:vMerge w:val="restart"/>
            <w:tcBorders>
              <w:top w:val="nil"/>
              <w:left w:val="nil"/>
              <w:bottom w:val="nil"/>
              <w:right w:val="nil"/>
            </w:tcBorders>
            <w:shd w:val="clear" w:color="auto" w:fill="FFFFFF"/>
            <w:tcMar>
              <w:top w:w="0" w:type="dxa"/>
              <w:left w:w="0" w:type="dxa"/>
              <w:bottom w:w="0" w:type="dxa"/>
              <w:right w:w="0" w:type="dxa"/>
            </w:tcMar>
            <w:vAlign w:val="bottom"/>
          </w:tcPr>
          <w:p w14:paraId="10CF6B6A" w14:textId="77777777" w:rsidR="009E4375" w:rsidRDefault="00000000">
            <w:pPr>
              <w:spacing w:before="0" w:after="0" w:line="276" w:lineRule="auto"/>
              <w:ind w:left="60" w:right="60"/>
              <w:jc w:val="center"/>
            </w:pPr>
            <w:r>
              <w:t>Mean Difference (I-J)</w:t>
            </w:r>
          </w:p>
        </w:tc>
        <w:tc>
          <w:tcPr>
            <w:tcW w:w="1125" w:type="dxa"/>
            <w:vMerge w:val="restart"/>
            <w:tcBorders>
              <w:top w:val="nil"/>
              <w:left w:val="single" w:sz="6" w:space="0" w:color="E0E0E0"/>
              <w:bottom w:val="nil"/>
              <w:right w:val="nil"/>
            </w:tcBorders>
            <w:shd w:val="clear" w:color="auto" w:fill="FFFFFF"/>
            <w:tcMar>
              <w:top w:w="0" w:type="dxa"/>
              <w:left w:w="0" w:type="dxa"/>
              <w:bottom w:w="0" w:type="dxa"/>
              <w:right w:w="0" w:type="dxa"/>
            </w:tcMar>
            <w:vAlign w:val="bottom"/>
          </w:tcPr>
          <w:p w14:paraId="10CF6B6B" w14:textId="77777777" w:rsidR="009E4375" w:rsidRDefault="00000000">
            <w:pPr>
              <w:spacing w:before="0" w:after="0" w:line="276" w:lineRule="auto"/>
              <w:ind w:left="60" w:right="60"/>
              <w:jc w:val="center"/>
            </w:pPr>
            <w:r>
              <w:t>Std. Error</w:t>
            </w:r>
          </w:p>
        </w:tc>
        <w:tc>
          <w:tcPr>
            <w:tcW w:w="900" w:type="dxa"/>
            <w:vMerge w:val="restart"/>
            <w:tcBorders>
              <w:top w:val="nil"/>
              <w:left w:val="single" w:sz="6" w:space="0" w:color="E0E0E0"/>
              <w:bottom w:val="nil"/>
              <w:right w:val="single" w:sz="6" w:space="0" w:color="E0E0E0"/>
            </w:tcBorders>
            <w:shd w:val="clear" w:color="auto" w:fill="FFFFFF"/>
            <w:tcMar>
              <w:top w:w="0" w:type="dxa"/>
              <w:left w:w="0" w:type="dxa"/>
              <w:bottom w:w="0" w:type="dxa"/>
              <w:right w:w="0" w:type="dxa"/>
            </w:tcMar>
            <w:vAlign w:val="bottom"/>
          </w:tcPr>
          <w:p w14:paraId="10CF6B6C" w14:textId="77777777" w:rsidR="009E4375" w:rsidRDefault="00000000">
            <w:pPr>
              <w:spacing w:before="0" w:after="0" w:line="276" w:lineRule="auto"/>
              <w:ind w:left="60" w:right="60"/>
              <w:jc w:val="center"/>
            </w:pPr>
            <w:r>
              <w:t>Sig.</w:t>
            </w:r>
          </w:p>
        </w:tc>
        <w:tc>
          <w:tcPr>
            <w:tcW w:w="2640" w:type="dxa"/>
            <w:gridSpan w:val="2"/>
            <w:tcBorders>
              <w:top w:val="nil"/>
              <w:left w:val="nil"/>
              <w:bottom w:val="nil"/>
              <w:right w:val="nil"/>
            </w:tcBorders>
            <w:shd w:val="clear" w:color="auto" w:fill="FFFFFF"/>
            <w:tcMar>
              <w:top w:w="0" w:type="dxa"/>
              <w:left w:w="0" w:type="dxa"/>
              <w:bottom w:w="0" w:type="dxa"/>
              <w:right w:w="0" w:type="dxa"/>
            </w:tcMar>
            <w:vAlign w:val="bottom"/>
          </w:tcPr>
          <w:p w14:paraId="10CF6B6D" w14:textId="77777777" w:rsidR="009E4375" w:rsidRDefault="00000000">
            <w:pPr>
              <w:spacing w:before="0" w:after="0" w:line="276" w:lineRule="auto"/>
              <w:ind w:left="60" w:right="60"/>
              <w:jc w:val="center"/>
            </w:pPr>
            <w:r>
              <w:t>95% Confidence Interval</w:t>
            </w:r>
          </w:p>
        </w:tc>
      </w:tr>
      <w:tr w:rsidR="009E4375" w14:paraId="10CF6B77" w14:textId="77777777">
        <w:trPr>
          <w:trHeight w:val="570"/>
        </w:trPr>
        <w:tc>
          <w:tcPr>
            <w:tcW w:w="1575" w:type="dxa"/>
            <w:vMerge/>
            <w:tcBorders>
              <w:top w:val="nil"/>
              <w:left w:val="nil"/>
              <w:bottom w:val="nil"/>
              <w:right w:val="nil"/>
            </w:tcBorders>
            <w:tcMar>
              <w:top w:w="100" w:type="dxa"/>
              <w:left w:w="100" w:type="dxa"/>
              <w:bottom w:w="100" w:type="dxa"/>
              <w:right w:w="100" w:type="dxa"/>
            </w:tcMar>
          </w:tcPr>
          <w:p w14:paraId="10CF6B6F" w14:textId="77777777" w:rsidR="009E4375" w:rsidRDefault="009E4375"/>
        </w:tc>
        <w:tc>
          <w:tcPr>
            <w:tcW w:w="1095" w:type="dxa"/>
            <w:vMerge/>
            <w:tcBorders>
              <w:top w:val="nil"/>
              <w:left w:val="nil"/>
              <w:bottom w:val="nil"/>
              <w:right w:val="nil"/>
            </w:tcBorders>
            <w:tcMar>
              <w:top w:w="100" w:type="dxa"/>
              <w:left w:w="100" w:type="dxa"/>
              <w:bottom w:w="100" w:type="dxa"/>
              <w:right w:w="100" w:type="dxa"/>
            </w:tcMar>
          </w:tcPr>
          <w:p w14:paraId="10CF6B70" w14:textId="77777777" w:rsidR="009E4375" w:rsidRDefault="009E4375"/>
        </w:tc>
        <w:tc>
          <w:tcPr>
            <w:tcW w:w="1140" w:type="dxa"/>
            <w:vMerge/>
            <w:tcBorders>
              <w:top w:val="nil"/>
              <w:left w:val="nil"/>
              <w:bottom w:val="nil"/>
              <w:right w:val="nil"/>
            </w:tcBorders>
            <w:tcMar>
              <w:top w:w="100" w:type="dxa"/>
              <w:left w:w="100" w:type="dxa"/>
              <w:bottom w:w="100" w:type="dxa"/>
              <w:right w:w="100" w:type="dxa"/>
            </w:tcMar>
          </w:tcPr>
          <w:p w14:paraId="10CF6B71" w14:textId="77777777" w:rsidR="009E4375" w:rsidRDefault="009E4375"/>
        </w:tc>
        <w:tc>
          <w:tcPr>
            <w:tcW w:w="1305" w:type="dxa"/>
            <w:vMerge/>
            <w:tcBorders>
              <w:top w:val="nil"/>
              <w:left w:val="nil"/>
              <w:bottom w:val="nil"/>
              <w:right w:val="nil"/>
            </w:tcBorders>
            <w:tcMar>
              <w:top w:w="100" w:type="dxa"/>
              <w:left w:w="100" w:type="dxa"/>
              <w:bottom w:w="100" w:type="dxa"/>
              <w:right w:w="100" w:type="dxa"/>
            </w:tcMar>
          </w:tcPr>
          <w:p w14:paraId="10CF6B72" w14:textId="77777777" w:rsidR="009E4375" w:rsidRDefault="009E4375"/>
        </w:tc>
        <w:tc>
          <w:tcPr>
            <w:tcW w:w="1125" w:type="dxa"/>
            <w:vMerge/>
            <w:tcBorders>
              <w:top w:val="nil"/>
              <w:left w:val="single" w:sz="6" w:space="0" w:color="E0E0E0"/>
              <w:bottom w:val="nil"/>
              <w:right w:val="nil"/>
            </w:tcBorders>
            <w:tcMar>
              <w:top w:w="100" w:type="dxa"/>
              <w:left w:w="100" w:type="dxa"/>
              <w:bottom w:w="100" w:type="dxa"/>
              <w:right w:w="100" w:type="dxa"/>
            </w:tcMar>
          </w:tcPr>
          <w:p w14:paraId="10CF6B73" w14:textId="77777777" w:rsidR="009E4375" w:rsidRDefault="009E4375"/>
        </w:tc>
        <w:tc>
          <w:tcPr>
            <w:tcW w:w="900" w:type="dxa"/>
            <w:vMerge/>
            <w:tcBorders>
              <w:top w:val="nil"/>
              <w:left w:val="single" w:sz="6" w:space="0" w:color="E0E0E0"/>
              <w:bottom w:val="nil"/>
              <w:right w:val="single" w:sz="6" w:space="0" w:color="E0E0E0"/>
            </w:tcBorders>
            <w:tcMar>
              <w:top w:w="100" w:type="dxa"/>
              <w:left w:w="100" w:type="dxa"/>
              <w:bottom w:w="100" w:type="dxa"/>
              <w:right w:w="100" w:type="dxa"/>
            </w:tcMar>
          </w:tcPr>
          <w:p w14:paraId="10CF6B74" w14:textId="77777777" w:rsidR="009E4375" w:rsidRDefault="009E4375"/>
        </w:tc>
        <w:tc>
          <w:tcPr>
            <w:tcW w:w="1335" w:type="dxa"/>
            <w:tcBorders>
              <w:top w:val="nil"/>
              <w:left w:val="nil"/>
              <w:bottom w:val="single" w:sz="6" w:space="0" w:color="152935"/>
              <w:right w:val="nil"/>
            </w:tcBorders>
            <w:shd w:val="clear" w:color="auto" w:fill="FFFFFF"/>
            <w:tcMar>
              <w:top w:w="0" w:type="dxa"/>
              <w:left w:w="0" w:type="dxa"/>
              <w:bottom w:w="0" w:type="dxa"/>
              <w:right w:w="0" w:type="dxa"/>
            </w:tcMar>
            <w:vAlign w:val="bottom"/>
          </w:tcPr>
          <w:p w14:paraId="10CF6B75" w14:textId="77777777" w:rsidR="009E4375" w:rsidRDefault="00000000">
            <w:pPr>
              <w:spacing w:before="0" w:after="0" w:line="276" w:lineRule="auto"/>
              <w:ind w:left="60" w:right="60"/>
              <w:jc w:val="center"/>
            </w:pPr>
            <w:r>
              <w:t>Lower Bound</w:t>
            </w:r>
          </w:p>
        </w:tc>
        <w:tc>
          <w:tcPr>
            <w:tcW w:w="1305" w:type="dxa"/>
            <w:tcBorders>
              <w:top w:val="nil"/>
              <w:left w:val="single" w:sz="6" w:space="0" w:color="E0E0E0"/>
              <w:bottom w:val="single" w:sz="6" w:space="0" w:color="152935"/>
              <w:right w:val="nil"/>
            </w:tcBorders>
            <w:shd w:val="clear" w:color="auto" w:fill="FFFFFF"/>
            <w:tcMar>
              <w:top w:w="0" w:type="dxa"/>
              <w:left w:w="0" w:type="dxa"/>
              <w:bottom w:w="0" w:type="dxa"/>
              <w:right w:w="0" w:type="dxa"/>
            </w:tcMar>
            <w:vAlign w:val="bottom"/>
          </w:tcPr>
          <w:p w14:paraId="10CF6B76" w14:textId="77777777" w:rsidR="009E4375" w:rsidRDefault="00000000">
            <w:pPr>
              <w:spacing w:before="0" w:after="0" w:line="276" w:lineRule="auto"/>
              <w:ind w:left="60" w:right="60"/>
              <w:jc w:val="center"/>
            </w:pPr>
            <w:r>
              <w:t>Upper Bound</w:t>
            </w:r>
          </w:p>
        </w:tc>
      </w:tr>
      <w:tr w:rsidR="009E4375" w14:paraId="10CF6B80" w14:textId="77777777">
        <w:trPr>
          <w:trHeight w:val="386"/>
        </w:trPr>
        <w:tc>
          <w:tcPr>
            <w:tcW w:w="1575" w:type="dxa"/>
            <w:vMerge w:val="restart"/>
            <w:tcBorders>
              <w:top w:val="single" w:sz="6" w:space="0" w:color="152935"/>
              <w:left w:val="nil"/>
              <w:bottom w:val="nil"/>
              <w:right w:val="nil"/>
            </w:tcBorders>
            <w:shd w:val="clear" w:color="auto" w:fill="E0E0E0"/>
            <w:tcMar>
              <w:top w:w="0" w:type="dxa"/>
              <w:left w:w="0" w:type="dxa"/>
              <w:bottom w:w="0" w:type="dxa"/>
              <w:right w:w="0" w:type="dxa"/>
            </w:tcMar>
          </w:tcPr>
          <w:p w14:paraId="10CF6B78" w14:textId="77777777" w:rsidR="009E4375" w:rsidRDefault="00000000">
            <w:pPr>
              <w:spacing w:before="0" w:after="0" w:line="276" w:lineRule="auto"/>
              <w:ind w:left="60" w:right="60"/>
            </w:pPr>
            <w:proofErr w:type="spellStart"/>
            <w:r>
              <w:t>Self Acceptance</w:t>
            </w:r>
            <w:proofErr w:type="spellEnd"/>
            <w:r>
              <w:t xml:space="preserve"> / Advocacy</w:t>
            </w:r>
          </w:p>
        </w:tc>
        <w:tc>
          <w:tcPr>
            <w:tcW w:w="1095" w:type="dxa"/>
            <w:vMerge w:val="restart"/>
            <w:tcBorders>
              <w:top w:val="single" w:sz="6" w:space="0" w:color="152935"/>
              <w:left w:val="nil"/>
              <w:bottom w:val="nil"/>
              <w:right w:val="nil"/>
            </w:tcBorders>
            <w:shd w:val="clear" w:color="auto" w:fill="E0E0E0"/>
            <w:tcMar>
              <w:top w:w="0" w:type="dxa"/>
              <w:left w:w="0" w:type="dxa"/>
              <w:bottom w:w="0" w:type="dxa"/>
              <w:right w:w="0" w:type="dxa"/>
            </w:tcMar>
          </w:tcPr>
          <w:p w14:paraId="10CF6B79" w14:textId="77777777" w:rsidR="009E4375" w:rsidRDefault="00000000">
            <w:pPr>
              <w:spacing w:before="0" w:after="0" w:line="276" w:lineRule="auto"/>
              <w:ind w:left="60" w:right="60"/>
            </w:pPr>
            <w:r>
              <w:t>Malay</w:t>
            </w:r>
          </w:p>
        </w:tc>
        <w:tc>
          <w:tcPr>
            <w:tcW w:w="1140" w:type="dxa"/>
            <w:tcBorders>
              <w:top w:val="single" w:sz="6" w:space="0" w:color="152935"/>
              <w:left w:val="nil"/>
              <w:bottom w:val="single" w:sz="6" w:space="0" w:color="AEAEAE"/>
              <w:right w:val="nil"/>
            </w:tcBorders>
            <w:shd w:val="clear" w:color="auto" w:fill="E0E0E0"/>
            <w:tcMar>
              <w:top w:w="0" w:type="dxa"/>
              <w:left w:w="0" w:type="dxa"/>
              <w:bottom w:w="0" w:type="dxa"/>
              <w:right w:w="0" w:type="dxa"/>
            </w:tcMar>
          </w:tcPr>
          <w:p w14:paraId="10CF6B7A" w14:textId="77777777" w:rsidR="009E4375" w:rsidRDefault="00000000">
            <w:pPr>
              <w:spacing w:before="0" w:after="0" w:line="276" w:lineRule="auto"/>
              <w:ind w:left="60" w:right="60"/>
            </w:pPr>
            <w:r>
              <w:t>Chinese</w:t>
            </w:r>
          </w:p>
        </w:tc>
        <w:tc>
          <w:tcPr>
            <w:tcW w:w="1305" w:type="dxa"/>
            <w:tcBorders>
              <w:top w:val="single" w:sz="6" w:space="0" w:color="152935"/>
              <w:left w:val="nil"/>
              <w:bottom w:val="single" w:sz="6" w:space="0" w:color="AEAEAE"/>
              <w:right w:val="nil"/>
            </w:tcBorders>
            <w:shd w:val="clear" w:color="auto" w:fill="F9F9FB"/>
            <w:tcMar>
              <w:top w:w="0" w:type="dxa"/>
              <w:left w:w="0" w:type="dxa"/>
              <w:bottom w:w="0" w:type="dxa"/>
              <w:right w:w="0" w:type="dxa"/>
            </w:tcMar>
          </w:tcPr>
          <w:p w14:paraId="10CF6B7B" w14:textId="77777777" w:rsidR="009E4375" w:rsidRDefault="00000000">
            <w:pPr>
              <w:spacing w:before="0" w:after="0" w:line="276" w:lineRule="auto"/>
              <w:ind w:left="60" w:right="60"/>
              <w:jc w:val="right"/>
              <w:rPr>
                <w:vertAlign w:val="superscript"/>
              </w:rPr>
            </w:pPr>
            <w:r>
              <w:t>5.5867</w:t>
            </w:r>
            <w:r>
              <w:rPr>
                <w:vertAlign w:val="superscript"/>
              </w:rPr>
              <w:t>*</w:t>
            </w:r>
          </w:p>
        </w:tc>
        <w:tc>
          <w:tcPr>
            <w:tcW w:w="1125" w:type="dxa"/>
            <w:tcBorders>
              <w:top w:val="single" w:sz="6" w:space="0" w:color="152935"/>
              <w:left w:val="single" w:sz="6" w:space="0" w:color="E0E0E0"/>
              <w:bottom w:val="single" w:sz="6" w:space="0" w:color="AEAEAE"/>
              <w:right w:val="nil"/>
            </w:tcBorders>
            <w:shd w:val="clear" w:color="auto" w:fill="F9F9FB"/>
            <w:tcMar>
              <w:top w:w="0" w:type="dxa"/>
              <w:left w:w="0" w:type="dxa"/>
              <w:bottom w:w="0" w:type="dxa"/>
              <w:right w:w="0" w:type="dxa"/>
            </w:tcMar>
          </w:tcPr>
          <w:p w14:paraId="10CF6B7C" w14:textId="77777777" w:rsidR="009E4375" w:rsidRDefault="00000000">
            <w:pPr>
              <w:spacing w:before="0" w:after="0" w:line="276" w:lineRule="auto"/>
              <w:ind w:left="60" w:right="60"/>
              <w:jc w:val="right"/>
            </w:pPr>
            <w:r>
              <w:t>2.53489</w:t>
            </w:r>
          </w:p>
        </w:tc>
        <w:tc>
          <w:tcPr>
            <w:tcW w:w="900" w:type="dxa"/>
            <w:tcBorders>
              <w:top w:val="single" w:sz="6" w:space="0" w:color="152935"/>
              <w:left w:val="single" w:sz="6" w:space="0" w:color="E0E0E0"/>
              <w:bottom w:val="single" w:sz="6" w:space="0" w:color="AEAEAE"/>
              <w:right w:val="single" w:sz="6" w:space="0" w:color="E0E0E0"/>
            </w:tcBorders>
            <w:tcMar>
              <w:top w:w="0" w:type="dxa"/>
              <w:left w:w="0" w:type="dxa"/>
              <w:bottom w:w="0" w:type="dxa"/>
              <w:right w:w="0" w:type="dxa"/>
            </w:tcMar>
          </w:tcPr>
          <w:p w14:paraId="10CF6B7D" w14:textId="77777777" w:rsidR="009E4375" w:rsidRDefault="00000000">
            <w:pPr>
              <w:spacing w:before="0" w:after="0" w:line="276" w:lineRule="auto"/>
              <w:ind w:left="60" w:right="60"/>
              <w:jc w:val="right"/>
            </w:pPr>
            <w:r>
              <w:t>.029</w:t>
            </w:r>
          </w:p>
        </w:tc>
        <w:tc>
          <w:tcPr>
            <w:tcW w:w="1335" w:type="dxa"/>
            <w:tcBorders>
              <w:top w:val="nil"/>
              <w:left w:val="nil"/>
              <w:bottom w:val="single" w:sz="6" w:space="0" w:color="AEAEAE"/>
              <w:right w:val="nil"/>
            </w:tcBorders>
            <w:shd w:val="clear" w:color="auto" w:fill="F9F9FB"/>
            <w:tcMar>
              <w:top w:w="0" w:type="dxa"/>
              <w:left w:w="0" w:type="dxa"/>
              <w:bottom w:w="0" w:type="dxa"/>
              <w:right w:w="0" w:type="dxa"/>
            </w:tcMar>
          </w:tcPr>
          <w:p w14:paraId="10CF6B7E" w14:textId="77777777" w:rsidR="009E4375" w:rsidRDefault="00000000">
            <w:pPr>
              <w:spacing w:before="0" w:after="0" w:line="276" w:lineRule="auto"/>
              <w:ind w:left="60" w:right="60"/>
              <w:jc w:val="right"/>
            </w:pPr>
            <w:r>
              <w:t>.5886</w:t>
            </w:r>
          </w:p>
        </w:tc>
        <w:tc>
          <w:tcPr>
            <w:tcW w:w="1305" w:type="dxa"/>
            <w:tcBorders>
              <w:top w:val="nil"/>
              <w:left w:val="single" w:sz="6" w:space="0" w:color="E0E0E0"/>
              <w:bottom w:val="single" w:sz="6" w:space="0" w:color="AEAEAE"/>
              <w:right w:val="nil"/>
            </w:tcBorders>
            <w:shd w:val="clear" w:color="auto" w:fill="F9F9FB"/>
            <w:tcMar>
              <w:top w:w="0" w:type="dxa"/>
              <w:left w:w="0" w:type="dxa"/>
              <w:bottom w:w="0" w:type="dxa"/>
              <w:right w:w="0" w:type="dxa"/>
            </w:tcMar>
          </w:tcPr>
          <w:p w14:paraId="10CF6B7F" w14:textId="77777777" w:rsidR="009E4375" w:rsidRDefault="00000000">
            <w:pPr>
              <w:spacing w:before="0" w:after="0" w:line="276" w:lineRule="auto"/>
              <w:ind w:left="60" w:right="60"/>
              <w:jc w:val="right"/>
            </w:pPr>
            <w:r>
              <w:t>10.5848</w:t>
            </w:r>
          </w:p>
        </w:tc>
      </w:tr>
      <w:tr w:rsidR="009E4375" w14:paraId="10CF6B89" w14:textId="77777777">
        <w:trPr>
          <w:trHeight w:val="386"/>
        </w:trPr>
        <w:tc>
          <w:tcPr>
            <w:tcW w:w="1575" w:type="dxa"/>
            <w:vMerge/>
            <w:tcBorders>
              <w:top w:val="single" w:sz="6" w:space="0" w:color="152935"/>
              <w:left w:val="nil"/>
              <w:bottom w:val="nil"/>
              <w:right w:val="nil"/>
            </w:tcBorders>
            <w:tcMar>
              <w:top w:w="100" w:type="dxa"/>
              <w:left w:w="100" w:type="dxa"/>
              <w:bottom w:w="100" w:type="dxa"/>
              <w:right w:w="100" w:type="dxa"/>
            </w:tcMar>
          </w:tcPr>
          <w:p w14:paraId="10CF6B81" w14:textId="77777777" w:rsidR="009E4375" w:rsidRDefault="009E4375"/>
        </w:tc>
        <w:tc>
          <w:tcPr>
            <w:tcW w:w="1095" w:type="dxa"/>
            <w:vMerge/>
            <w:tcBorders>
              <w:top w:val="single" w:sz="6" w:space="0" w:color="152935"/>
              <w:left w:val="nil"/>
              <w:bottom w:val="nil"/>
              <w:right w:val="nil"/>
            </w:tcBorders>
            <w:tcMar>
              <w:top w:w="100" w:type="dxa"/>
              <w:left w:w="100" w:type="dxa"/>
              <w:bottom w:w="100" w:type="dxa"/>
              <w:right w:w="100" w:type="dxa"/>
            </w:tcMar>
          </w:tcPr>
          <w:p w14:paraId="10CF6B82" w14:textId="77777777" w:rsidR="009E4375" w:rsidRDefault="009E4375"/>
        </w:tc>
        <w:tc>
          <w:tcPr>
            <w:tcW w:w="1140" w:type="dxa"/>
            <w:tcBorders>
              <w:top w:val="nil"/>
              <w:left w:val="nil"/>
              <w:bottom w:val="nil"/>
              <w:right w:val="nil"/>
            </w:tcBorders>
            <w:shd w:val="clear" w:color="auto" w:fill="E0E0E0"/>
            <w:tcMar>
              <w:top w:w="0" w:type="dxa"/>
              <w:left w:w="0" w:type="dxa"/>
              <w:bottom w:w="0" w:type="dxa"/>
              <w:right w:w="0" w:type="dxa"/>
            </w:tcMar>
          </w:tcPr>
          <w:p w14:paraId="10CF6B83" w14:textId="77777777" w:rsidR="009E4375" w:rsidRDefault="00000000">
            <w:pPr>
              <w:spacing w:before="0" w:after="0" w:line="276" w:lineRule="auto"/>
              <w:ind w:left="60" w:right="60"/>
            </w:pPr>
            <w:r>
              <w:t>Indian</w:t>
            </w:r>
          </w:p>
        </w:tc>
        <w:tc>
          <w:tcPr>
            <w:tcW w:w="1305" w:type="dxa"/>
            <w:tcBorders>
              <w:top w:val="nil"/>
              <w:left w:val="nil"/>
              <w:bottom w:val="nil"/>
              <w:right w:val="nil"/>
            </w:tcBorders>
            <w:shd w:val="clear" w:color="auto" w:fill="F9F9FB"/>
            <w:tcMar>
              <w:top w:w="0" w:type="dxa"/>
              <w:left w:w="0" w:type="dxa"/>
              <w:bottom w:w="0" w:type="dxa"/>
              <w:right w:w="0" w:type="dxa"/>
            </w:tcMar>
          </w:tcPr>
          <w:p w14:paraId="10CF6B84" w14:textId="77777777" w:rsidR="009E4375" w:rsidRDefault="00000000">
            <w:pPr>
              <w:spacing w:before="0" w:after="0" w:line="276" w:lineRule="auto"/>
              <w:ind w:left="60" w:right="60"/>
              <w:jc w:val="right"/>
            </w:pPr>
            <w:r>
              <w:t>9.6856</w:t>
            </w:r>
          </w:p>
        </w:tc>
        <w:tc>
          <w:tcPr>
            <w:tcW w:w="1125" w:type="dxa"/>
            <w:tcBorders>
              <w:top w:val="nil"/>
              <w:left w:val="single" w:sz="6" w:space="0" w:color="E0E0E0"/>
              <w:bottom w:val="nil"/>
              <w:right w:val="nil"/>
            </w:tcBorders>
            <w:shd w:val="clear" w:color="auto" w:fill="F9F9FB"/>
            <w:tcMar>
              <w:top w:w="0" w:type="dxa"/>
              <w:left w:w="0" w:type="dxa"/>
              <w:bottom w:w="0" w:type="dxa"/>
              <w:right w:w="0" w:type="dxa"/>
            </w:tcMar>
          </w:tcPr>
          <w:p w14:paraId="10CF6B85" w14:textId="77777777" w:rsidR="009E4375" w:rsidRDefault="00000000">
            <w:pPr>
              <w:spacing w:before="0" w:after="0" w:line="276" w:lineRule="auto"/>
              <w:ind w:left="60" w:right="60"/>
              <w:jc w:val="right"/>
            </w:pPr>
            <w:r>
              <w:t>5.89305</w:t>
            </w:r>
          </w:p>
        </w:tc>
        <w:tc>
          <w:tcPr>
            <w:tcW w:w="900" w:type="dxa"/>
            <w:tcBorders>
              <w:top w:val="nil"/>
              <w:left w:val="single" w:sz="6" w:space="0" w:color="E0E0E0"/>
              <w:bottom w:val="nil"/>
              <w:right w:val="single" w:sz="6" w:space="0" w:color="E0E0E0"/>
            </w:tcBorders>
            <w:tcMar>
              <w:top w:w="0" w:type="dxa"/>
              <w:left w:w="0" w:type="dxa"/>
              <w:bottom w:w="0" w:type="dxa"/>
              <w:right w:w="0" w:type="dxa"/>
            </w:tcMar>
          </w:tcPr>
          <w:p w14:paraId="10CF6B86" w14:textId="77777777" w:rsidR="009E4375" w:rsidRDefault="00000000">
            <w:pPr>
              <w:spacing w:before="0" w:after="0" w:line="276" w:lineRule="auto"/>
              <w:ind w:left="60" w:right="60"/>
              <w:jc w:val="right"/>
            </w:pPr>
            <w:r>
              <w:t>.102</w:t>
            </w:r>
          </w:p>
        </w:tc>
        <w:tc>
          <w:tcPr>
            <w:tcW w:w="1335" w:type="dxa"/>
            <w:tcBorders>
              <w:top w:val="nil"/>
              <w:left w:val="nil"/>
              <w:bottom w:val="nil"/>
              <w:right w:val="nil"/>
            </w:tcBorders>
            <w:shd w:val="clear" w:color="auto" w:fill="F9F9FB"/>
            <w:tcMar>
              <w:top w:w="0" w:type="dxa"/>
              <w:left w:w="0" w:type="dxa"/>
              <w:bottom w:w="0" w:type="dxa"/>
              <w:right w:w="0" w:type="dxa"/>
            </w:tcMar>
          </w:tcPr>
          <w:p w14:paraId="10CF6B87" w14:textId="77777777" w:rsidR="009E4375" w:rsidRDefault="00000000">
            <w:pPr>
              <w:spacing w:before="0" w:after="0" w:line="276" w:lineRule="auto"/>
              <w:ind w:left="60" w:right="60"/>
              <w:jc w:val="right"/>
            </w:pPr>
            <w:r>
              <w:t>-1.9339</w:t>
            </w:r>
          </w:p>
        </w:tc>
        <w:tc>
          <w:tcPr>
            <w:tcW w:w="1305" w:type="dxa"/>
            <w:tcBorders>
              <w:top w:val="nil"/>
              <w:left w:val="single" w:sz="6" w:space="0" w:color="E0E0E0"/>
              <w:bottom w:val="nil"/>
              <w:right w:val="nil"/>
            </w:tcBorders>
            <w:shd w:val="clear" w:color="auto" w:fill="F9F9FB"/>
            <w:tcMar>
              <w:top w:w="0" w:type="dxa"/>
              <w:left w:w="0" w:type="dxa"/>
              <w:bottom w:w="0" w:type="dxa"/>
              <w:right w:w="0" w:type="dxa"/>
            </w:tcMar>
          </w:tcPr>
          <w:p w14:paraId="10CF6B88" w14:textId="77777777" w:rsidR="009E4375" w:rsidRDefault="00000000">
            <w:pPr>
              <w:spacing w:before="0" w:after="0" w:line="276" w:lineRule="auto"/>
              <w:ind w:left="60" w:right="60"/>
              <w:jc w:val="right"/>
            </w:pPr>
            <w:r>
              <w:t>21.3050</w:t>
            </w:r>
          </w:p>
        </w:tc>
      </w:tr>
      <w:tr w:rsidR="009E4375" w14:paraId="10CF6B92" w14:textId="77777777">
        <w:trPr>
          <w:trHeight w:val="324"/>
        </w:trPr>
        <w:tc>
          <w:tcPr>
            <w:tcW w:w="1575" w:type="dxa"/>
            <w:vMerge/>
            <w:tcBorders>
              <w:top w:val="single" w:sz="6" w:space="0" w:color="152935"/>
              <w:left w:val="nil"/>
              <w:bottom w:val="nil"/>
              <w:right w:val="nil"/>
            </w:tcBorders>
            <w:tcMar>
              <w:top w:w="100" w:type="dxa"/>
              <w:left w:w="100" w:type="dxa"/>
              <w:bottom w:w="100" w:type="dxa"/>
              <w:right w:w="100" w:type="dxa"/>
            </w:tcMar>
          </w:tcPr>
          <w:p w14:paraId="10CF6B8A" w14:textId="77777777" w:rsidR="009E4375" w:rsidRDefault="009E4375"/>
        </w:tc>
        <w:tc>
          <w:tcPr>
            <w:tcW w:w="1095" w:type="dxa"/>
            <w:vMerge w:val="restart"/>
            <w:tcBorders>
              <w:top w:val="single" w:sz="6" w:space="0" w:color="AEAEAE"/>
              <w:left w:val="nil"/>
              <w:bottom w:val="nil"/>
              <w:right w:val="nil"/>
            </w:tcBorders>
            <w:shd w:val="clear" w:color="auto" w:fill="E0E0E0"/>
            <w:tcMar>
              <w:top w:w="0" w:type="dxa"/>
              <w:left w:w="0" w:type="dxa"/>
              <w:bottom w:w="0" w:type="dxa"/>
              <w:right w:w="0" w:type="dxa"/>
            </w:tcMar>
          </w:tcPr>
          <w:p w14:paraId="10CF6B8B" w14:textId="77777777" w:rsidR="009E4375" w:rsidRDefault="00000000">
            <w:pPr>
              <w:spacing w:before="0" w:after="0" w:line="276" w:lineRule="auto"/>
              <w:ind w:left="60" w:right="60"/>
            </w:pPr>
            <w:r>
              <w:t>Chinese</w:t>
            </w:r>
          </w:p>
        </w:tc>
        <w:tc>
          <w:tcPr>
            <w:tcW w:w="1140" w:type="dxa"/>
            <w:tcBorders>
              <w:top w:val="single" w:sz="6" w:space="0" w:color="AEAEAE"/>
              <w:left w:val="nil"/>
              <w:bottom w:val="single" w:sz="6" w:space="0" w:color="AEAEAE"/>
              <w:right w:val="nil"/>
            </w:tcBorders>
            <w:shd w:val="clear" w:color="auto" w:fill="E0E0E0"/>
            <w:tcMar>
              <w:top w:w="0" w:type="dxa"/>
              <w:left w:w="0" w:type="dxa"/>
              <w:bottom w:w="0" w:type="dxa"/>
              <w:right w:w="0" w:type="dxa"/>
            </w:tcMar>
          </w:tcPr>
          <w:p w14:paraId="10CF6B8C" w14:textId="77777777" w:rsidR="009E4375" w:rsidRDefault="00000000">
            <w:pPr>
              <w:spacing w:before="0" w:after="0" w:line="276" w:lineRule="auto"/>
              <w:ind w:left="60" w:right="60"/>
            </w:pPr>
            <w:r>
              <w:t>Malay</w:t>
            </w:r>
          </w:p>
        </w:tc>
        <w:tc>
          <w:tcPr>
            <w:tcW w:w="130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8D" w14:textId="77777777" w:rsidR="009E4375" w:rsidRDefault="00000000">
            <w:pPr>
              <w:spacing w:before="0" w:after="0" w:line="276" w:lineRule="auto"/>
              <w:ind w:left="60" w:right="60"/>
              <w:jc w:val="right"/>
              <w:rPr>
                <w:vertAlign w:val="superscript"/>
              </w:rPr>
            </w:pPr>
            <w:r>
              <w:t>-5.5867</w:t>
            </w:r>
            <w:r>
              <w:rPr>
                <w:vertAlign w:val="superscript"/>
              </w:rPr>
              <w:t>*</w:t>
            </w:r>
          </w:p>
        </w:tc>
        <w:tc>
          <w:tcPr>
            <w:tcW w:w="112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8E" w14:textId="77777777" w:rsidR="009E4375" w:rsidRDefault="00000000">
            <w:pPr>
              <w:spacing w:before="0" w:after="0" w:line="276" w:lineRule="auto"/>
              <w:ind w:left="60" w:right="60"/>
              <w:jc w:val="right"/>
            </w:pPr>
            <w:r>
              <w:t>2.53489</w:t>
            </w:r>
          </w:p>
        </w:tc>
        <w:tc>
          <w:tcPr>
            <w:tcW w:w="900" w:type="dxa"/>
            <w:tcBorders>
              <w:top w:val="single" w:sz="6" w:space="0" w:color="AEAEAE"/>
              <w:left w:val="single" w:sz="6" w:space="0" w:color="E0E0E0"/>
              <w:bottom w:val="single" w:sz="6" w:space="0" w:color="AEAEAE"/>
              <w:right w:val="single" w:sz="6" w:space="0" w:color="E0E0E0"/>
            </w:tcBorders>
            <w:tcMar>
              <w:top w:w="0" w:type="dxa"/>
              <w:left w:w="0" w:type="dxa"/>
              <w:bottom w:w="0" w:type="dxa"/>
              <w:right w:w="0" w:type="dxa"/>
            </w:tcMar>
          </w:tcPr>
          <w:p w14:paraId="10CF6B8F" w14:textId="77777777" w:rsidR="009E4375" w:rsidRDefault="00000000">
            <w:pPr>
              <w:spacing w:before="0" w:after="0" w:line="276" w:lineRule="auto"/>
              <w:ind w:left="60" w:right="60"/>
              <w:jc w:val="right"/>
            </w:pPr>
            <w:r>
              <w:t>.029</w:t>
            </w:r>
          </w:p>
        </w:tc>
        <w:tc>
          <w:tcPr>
            <w:tcW w:w="133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90" w14:textId="77777777" w:rsidR="009E4375" w:rsidRDefault="00000000">
            <w:pPr>
              <w:spacing w:before="0" w:after="0" w:line="276" w:lineRule="auto"/>
              <w:ind w:left="60" w:right="60"/>
              <w:jc w:val="right"/>
            </w:pPr>
            <w:r>
              <w:t>-10.5848</w:t>
            </w:r>
          </w:p>
        </w:tc>
        <w:tc>
          <w:tcPr>
            <w:tcW w:w="130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91" w14:textId="77777777" w:rsidR="009E4375" w:rsidRDefault="00000000">
            <w:pPr>
              <w:spacing w:before="0" w:after="0" w:line="276" w:lineRule="auto"/>
              <w:ind w:left="60" w:right="60"/>
              <w:jc w:val="right"/>
            </w:pPr>
            <w:r>
              <w:t>-.5886</w:t>
            </w:r>
          </w:p>
        </w:tc>
      </w:tr>
      <w:tr w:rsidR="009E4375" w14:paraId="10CF6B9B" w14:textId="77777777">
        <w:trPr>
          <w:trHeight w:val="370"/>
        </w:trPr>
        <w:tc>
          <w:tcPr>
            <w:tcW w:w="1575" w:type="dxa"/>
            <w:vMerge/>
            <w:tcBorders>
              <w:top w:val="single" w:sz="6" w:space="0" w:color="152935"/>
              <w:left w:val="nil"/>
              <w:bottom w:val="nil"/>
              <w:right w:val="nil"/>
            </w:tcBorders>
            <w:tcMar>
              <w:top w:w="100" w:type="dxa"/>
              <w:left w:w="100" w:type="dxa"/>
              <w:bottom w:w="100" w:type="dxa"/>
              <w:right w:w="100" w:type="dxa"/>
            </w:tcMar>
          </w:tcPr>
          <w:p w14:paraId="10CF6B93" w14:textId="77777777" w:rsidR="009E4375" w:rsidRDefault="009E4375"/>
        </w:tc>
        <w:tc>
          <w:tcPr>
            <w:tcW w:w="1095" w:type="dxa"/>
            <w:vMerge/>
            <w:tcBorders>
              <w:top w:val="single" w:sz="6" w:space="0" w:color="AEAEAE"/>
              <w:left w:val="nil"/>
              <w:bottom w:val="nil"/>
              <w:right w:val="nil"/>
            </w:tcBorders>
            <w:tcMar>
              <w:top w:w="100" w:type="dxa"/>
              <w:left w:w="100" w:type="dxa"/>
              <w:bottom w:w="100" w:type="dxa"/>
              <w:right w:w="100" w:type="dxa"/>
            </w:tcMar>
          </w:tcPr>
          <w:p w14:paraId="10CF6B94" w14:textId="77777777" w:rsidR="009E4375" w:rsidRDefault="009E4375"/>
        </w:tc>
        <w:tc>
          <w:tcPr>
            <w:tcW w:w="1140" w:type="dxa"/>
            <w:tcBorders>
              <w:top w:val="nil"/>
              <w:left w:val="nil"/>
              <w:bottom w:val="nil"/>
              <w:right w:val="nil"/>
            </w:tcBorders>
            <w:shd w:val="clear" w:color="auto" w:fill="E0E0E0"/>
            <w:tcMar>
              <w:top w:w="0" w:type="dxa"/>
              <w:left w:w="0" w:type="dxa"/>
              <w:bottom w:w="0" w:type="dxa"/>
              <w:right w:w="0" w:type="dxa"/>
            </w:tcMar>
          </w:tcPr>
          <w:p w14:paraId="10CF6B95" w14:textId="77777777" w:rsidR="009E4375" w:rsidRDefault="00000000">
            <w:pPr>
              <w:spacing w:before="0" w:after="0" w:line="276" w:lineRule="auto"/>
              <w:ind w:left="60" w:right="60"/>
            </w:pPr>
            <w:r>
              <w:t>Indian</w:t>
            </w:r>
          </w:p>
        </w:tc>
        <w:tc>
          <w:tcPr>
            <w:tcW w:w="1305" w:type="dxa"/>
            <w:tcBorders>
              <w:top w:val="nil"/>
              <w:left w:val="nil"/>
              <w:bottom w:val="nil"/>
              <w:right w:val="nil"/>
            </w:tcBorders>
            <w:shd w:val="clear" w:color="auto" w:fill="F9F9FB"/>
            <w:tcMar>
              <w:top w:w="0" w:type="dxa"/>
              <w:left w:w="0" w:type="dxa"/>
              <w:bottom w:w="0" w:type="dxa"/>
              <w:right w:w="0" w:type="dxa"/>
            </w:tcMar>
          </w:tcPr>
          <w:p w14:paraId="10CF6B96" w14:textId="77777777" w:rsidR="009E4375" w:rsidRDefault="00000000">
            <w:pPr>
              <w:spacing w:before="0" w:after="0" w:line="276" w:lineRule="auto"/>
              <w:ind w:left="60" w:right="60"/>
              <w:jc w:val="right"/>
            </w:pPr>
            <w:r>
              <w:t>4.0988</w:t>
            </w:r>
          </w:p>
        </w:tc>
        <w:tc>
          <w:tcPr>
            <w:tcW w:w="1125" w:type="dxa"/>
            <w:tcBorders>
              <w:top w:val="nil"/>
              <w:left w:val="single" w:sz="6" w:space="0" w:color="E0E0E0"/>
              <w:bottom w:val="nil"/>
              <w:right w:val="nil"/>
            </w:tcBorders>
            <w:shd w:val="clear" w:color="auto" w:fill="F9F9FB"/>
            <w:tcMar>
              <w:top w:w="0" w:type="dxa"/>
              <w:left w:w="0" w:type="dxa"/>
              <w:bottom w:w="0" w:type="dxa"/>
              <w:right w:w="0" w:type="dxa"/>
            </w:tcMar>
          </w:tcPr>
          <w:p w14:paraId="10CF6B97" w14:textId="77777777" w:rsidR="009E4375" w:rsidRDefault="00000000">
            <w:pPr>
              <w:spacing w:before="0" w:after="0" w:line="276" w:lineRule="auto"/>
              <w:ind w:left="60" w:right="60"/>
              <w:jc w:val="right"/>
            </w:pPr>
            <w:r>
              <w:t>5.88748</w:t>
            </w:r>
          </w:p>
        </w:tc>
        <w:tc>
          <w:tcPr>
            <w:tcW w:w="900" w:type="dxa"/>
            <w:tcBorders>
              <w:top w:val="nil"/>
              <w:left w:val="single" w:sz="6" w:space="0" w:color="E0E0E0"/>
              <w:bottom w:val="nil"/>
              <w:right w:val="single" w:sz="6" w:space="0" w:color="E0E0E0"/>
            </w:tcBorders>
            <w:tcMar>
              <w:top w:w="0" w:type="dxa"/>
              <w:left w:w="0" w:type="dxa"/>
              <w:bottom w:w="0" w:type="dxa"/>
              <w:right w:w="0" w:type="dxa"/>
            </w:tcMar>
          </w:tcPr>
          <w:p w14:paraId="10CF6B98" w14:textId="77777777" w:rsidR="009E4375" w:rsidRDefault="00000000">
            <w:pPr>
              <w:spacing w:before="0" w:after="0" w:line="276" w:lineRule="auto"/>
              <w:ind w:left="60" w:right="60"/>
              <w:jc w:val="right"/>
            </w:pPr>
            <w:r>
              <w:t>.487</w:t>
            </w:r>
          </w:p>
        </w:tc>
        <w:tc>
          <w:tcPr>
            <w:tcW w:w="1335" w:type="dxa"/>
            <w:tcBorders>
              <w:top w:val="nil"/>
              <w:left w:val="nil"/>
              <w:bottom w:val="nil"/>
              <w:right w:val="nil"/>
            </w:tcBorders>
            <w:shd w:val="clear" w:color="auto" w:fill="F9F9FB"/>
            <w:tcMar>
              <w:top w:w="0" w:type="dxa"/>
              <w:left w:w="0" w:type="dxa"/>
              <w:bottom w:w="0" w:type="dxa"/>
              <w:right w:w="0" w:type="dxa"/>
            </w:tcMar>
          </w:tcPr>
          <w:p w14:paraId="10CF6B99" w14:textId="77777777" w:rsidR="009E4375" w:rsidRDefault="00000000">
            <w:pPr>
              <w:spacing w:before="0" w:after="0" w:line="276" w:lineRule="auto"/>
              <w:ind w:left="60" w:right="60"/>
              <w:jc w:val="right"/>
            </w:pPr>
            <w:r>
              <w:t>-7.5096</w:t>
            </w:r>
          </w:p>
        </w:tc>
        <w:tc>
          <w:tcPr>
            <w:tcW w:w="1305" w:type="dxa"/>
            <w:tcBorders>
              <w:top w:val="nil"/>
              <w:left w:val="single" w:sz="6" w:space="0" w:color="E0E0E0"/>
              <w:bottom w:val="nil"/>
              <w:right w:val="nil"/>
            </w:tcBorders>
            <w:shd w:val="clear" w:color="auto" w:fill="F9F9FB"/>
            <w:tcMar>
              <w:top w:w="0" w:type="dxa"/>
              <w:left w:w="0" w:type="dxa"/>
              <w:bottom w:w="0" w:type="dxa"/>
              <w:right w:w="0" w:type="dxa"/>
            </w:tcMar>
          </w:tcPr>
          <w:p w14:paraId="10CF6B9A" w14:textId="77777777" w:rsidR="009E4375" w:rsidRDefault="00000000">
            <w:pPr>
              <w:spacing w:before="0" w:after="0" w:line="276" w:lineRule="auto"/>
              <w:ind w:left="60" w:right="60"/>
              <w:jc w:val="right"/>
            </w:pPr>
            <w:r>
              <w:t>15.7073</w:t>
            </w:r>
          </w:p>
        </w:tc>
      </w:tr>
      <w:tr w:rsidR="009E4375" w14:paraId="10CF6BA4" w14:textId="77777777">
        <w:trPr>
          <w:trHeight w:val="340"/>
        </w:trPr>
        <w:tc>
          <w:tcPr>
            <w:tcW w:w="1575" w:type="dxa"/>
            <w:vMerge/>
            <w:tcBorders>
              <w:top w:val="single" w:sz="6" w:space="0" w:color="152935"/>
              <w:left w:val="nil"/>
              <w:bottom w:val="nil"/>
              <w:right w:val="nil"/>
            </w:tcBorders>
            <w:tcMar>
              <w:top w:w="100" w:type="dxa"/>
              <w:left w:w="100" w:type="dxa"/>
              <w:bottom w:w="100" w:type="dxa"/>
              <w:right w:w="100" w:type="dxa"/>
            </w:tcMar>
          </w:tcPr>
          <w:p w14:paraId="10CF6B9C" w14:textId="77777777" w:rsidR="009E4375" w:rsidRDefault="009E4375"/>
        </w:tc>
        <w:tc>
          <w:tcPr>
            <w:tcW w:w="1095" w:type="dxa"/>
            <w:vMerge w:val="restart"/>
            <w:tcBorders>
              <w:top w:val="single" w:sz="6" w:space="0" w:color="AEAEAE"/>
              <w:left w:val="nil"/>
              <w:bottom w:val="nil"/>
              <w:right w:val="nil"/>
            </w:tcBorders>
            <w:shd w:val="clear" w:color="auto" w:fill="E0E0E0"/>
            <w:tcMar>
              <w:top w:w="0" w:type="dxa"/>
              <w:left w:w="0" w:type="dxa"/>
              <w:bottom w:w="0" w:type="dxa"/>
              <w:right w:w="0" w:type="dxa"/>
            </w:tcMar>
          </w:tcPr>
          <w:p w14:paraId="10CF6B9D" w14:textId="77777777" w:rsidR="009E4375" w:rsidRDefault="00000000">
            <w:pPr>
              <w:spacing w:before="0" w:after="0" w:line="276" w:lineRule="auto"/>
              <w:ind w:left="60" w:right="60"/>
            </w:pPr>
            <w:r>
              <w:t>Indian</w:t>
            </w:r>
          </w:p>
        </w:tc>
        <w:tc>
          <w:tcPr>
            <w:tcW w:w="1140" w:type="dxa"/>
            <w:tcBorders>
              <w:top w:val="single" w:sz="6" w:space="0" w:color="AEAEAE"/>
              <w:left w:val="nil"/>
              <w:bottom w:val="single" w:sz="6" w:space="0" w:color="AEAEAE"/>
              <w:right w:val="nil"/>
            </w:tcBorders>
            <w:shd w:val="clear" w:color="auto" w:fill="E0E0E0"/>
            <w:tcMar>
              <w:top w:w="0" w:type="dxa"/>
              <w:left w:w="0" w:type="dxa"/>
              <w:bottom w:w="0" w:type="dxa"/>
              <w:right w:w="0" w:type="dxa"/>
            </w:tcMar>
          </w:tcPr>
          <w:p w14:paraId="10CF6B9E" w14:textId="77777777" w:rsidR="009E4375" w:rsidRDefault="00000000">
            <w:pPr>
              <w:spacing w:before="0" w:after="0" w:line="276" w:lineRule="auto"/>
              <w:ind w:left="60" w:right="60"/>
            </w:pPr>
            <w:r>
              <w:t>Malay</w:t>
            </w:r>
          </w:p>
        </w:tc>
        <w:tc>
          <w:tcPr>
            <w:tcW w:w="130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9F" w14:textId="77777777" w:rsidR="009E4375" w:rsidRDefault="00000000">
            <w:pPr>
              <w:spacing w:before="0" w:after="0" w:line="276" w:lineRule="auto"/>
              <w:ind w:left="60" w:right="60"/>
              <w:jc w:val="right"/>
            </w:pPr>
            <w:r>
              <w:t>-9.6856</w:t>
            </w:r>
          </w:p>
        </w:tc>
        <w:tc>
          <w:tcPr>
            <w:tcW w:w="112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A0" w14:textId="77777777" w:rsidR="009E4375" w:rsidRDefault="00000000">
            <w:pPr>
              <w:spacing w:before="0" w:after="0" w:line="276" w:lineRule="auto"/>
              <w:ind w:left="60" w:right="60"/>
              <w:jc w:val="right"/>
            </w:pPr>
            <w:r>
              <w:t>5.89305</w:t>
            </w:r>
          </w:p>
        </w:tc>
        <w:tc>
          <w:tcPr>
            <w:tcW w:w="900" w:type="dxa"/>
            <w:tcBorders>
              <w:top w:val="single" w:sz="6" w:space="0" w:color="AEAEAE"/>
              <w:left w:val="single" w:sz="6" w:space="0" w:color="E0E0E0"/>
              <w:bottom w:val="single" w:sz="6" w:space="0" w:color="AEAEAE"/>
              <w:right w:val="single" w:sz="6" w:space="0" w:color="E0E0E0"/>
            </w:tcBorders>
            <w:tcMar>
              <w:top w:w="0" w:type="dxa"/>
              <w:left w:w="0" w:type="dxa"/>
              <w:bottom w:w="0" w:type="dxa"/>
              <w:right w:w="0" w:type="dxa"/>
            </w:tcMar>
          </w:tcPr>
          <w:p w14:paraId="10CF6BA1" w14:textId="77777777" w:rsidR="009E4375" w:rsidRDefault="00000000">
            <w:pPr>
              <w:spacing w:before="0" w:after="0" w:line="276" w:lineRule="auto"/>
              <w:ind w:left="60" w:right="60"/>
              <w:jc w:val="right"/>
            </w:pPr>
            <w:r>
              <w:t>.102</w:t>
            </w:r>
          </w:p>
        </w:tc>
        <w:tc>
          <w:tcPr>
            <w:tcW w:w="133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A2" w14:textId="77777777" w:rsidR="009E4375" w:rsidRDefault="00000000">
            <w:pPr>
              <w:spacing w:before="0" w:after="0" w:line="276" w:lineRule="auto"/>
              <w:ind w:left="60" w:right="60"/>
              <w:jc w:val="right"/>
            </w:pPr>
            <w:r>
              <w:t>-21.3050</w:t>
            </w:r>
          </w:p>
        </w:tc>
        <w:tc>
          <w:tcPr>
            <w:tcW w:w="130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A3" w14:textId="77777777" w:rsidR="009E4375" w:rsidRDefault="00000000">
            <w:pPr>
              <w:spacing w:before="0" w:after="0" w:line="276" w:lineRule="auto"/>
              <w:ind w:left="60" w:right="60"/>
              <w:jc w:val="right"/>
            </w:pPr>
            <w:r>
              <w:t>1.9339</w:t>
            </w:r>
          </w:p>
        </w:tc>
      </w:tr>
      <w:tr w:rsidR="009E4375" w14:paraId="10CF6BAD" w14:textId="77777777">
        <w:trPr>
          <w:trHeight w:val="370"/>
        </w:trPr>
        <w:tc>
          <w:tcPr>
            <w:tcW w:w="1575" w:type="dxa"/>
            <w:vMerge/>
            <w:tcBorders>
              <w:top w:val="single" w:sz="6" w:space="0" w:color="152935"/>
              <w:left w:val="nil"/>
              <w:bottom w:val="nil"/>
              <w:right w:val="nil"/>
            </w:tcBorders>
            <w:tcMar>
              <w:top w:w="100" w:type="dxa"/>
              <w:left w:w="100" w:type="dxa"/>
              <w:bottom w:w="100" w:type="dxa"/>
              <w:right w:w="100" w:type="dxa"/>
            </w:tcMar>
          </w:tcPr>
          <w:p w14:paraId="10CF6BA5" w14:textId="77777777" w:rsidR="009E4375" w:rsidRDefault="009E4375"/>
        </w:tc>
        <w:tc>
          <w:tcPr>
            <w:tcW w:w="1095" w:type="dxa"/>
            <w:vMerge/>
            <w:tcBorders>
              <w:top w:val="single" w:sz="6" w:space="0" w:color="AEAEAE"/>
              <w:left w:val="nil"/>
              <w:bottom w:val="nil"/>
              <w:right w:val="nil"/>
            </w:tcBorders>
            <w:tcMar>
              <w:top w:w="100" w:type="dxa"/>
              <w:left w:w="100" w:type="dxa"/>
              <w:bottom w:w="100" w:type="dxa"/>
              <w:right w:w="100" w:type="dxa"/>
            </w:tcMar>
          </w:tcPr>
          <w:p w14:paraId="10CF6BA6" w14:textId="77777777" w:rsidR="009E4375" w:rsidRDefault="009E4375"/>
        </w:tc>
        <w:tc>
          <w:tcPr>
            <w:tcW w:w="1140" w:type="dxa"/>
            <w:tcBorders>
              <w:top w:val="nil"/>
              <w:left w:val="nil"/>
              <w:bottom w:val="nil"/>
              <w:right w:val="nil"/>
            </w:tcBorders>
            <w:shd w:val="clear" w:color="auto" w:fill="E0E0E0"/>
            <w:tcMar>
              <w:top w:w="0" w:type="dxa"/>
              <w:left w:w="0" w:type="dxa"/>
              <w:bottom w:w="0" w:type="dxa"/>
              <w:right w:w="0" w:type="dxa"/>
            </w:tcMar>
          </w:tcPr>
          <w:p w14:paraId="10CF6BA7" w14:textId="77777777" w:rsidR="009E4375" w:rsidRDefault="00000000">
            <w:pPr>
              <w:spacing w:before="0" w:after="0" w:line="276" w:lineRule="auto"/>
              <w:ind w:left="60" w:right="60"/>
            </w:pPr>
            <w:r>
              <w:t>Chinese</w:t>
            </w:r>
          </w:p>
        </w:tc>
        <w:tc>
          <w:tcPr>
            <w:tcW w:w="1305" w:type="dxa"/>
            <w:tcBorders>
              <w:top w:val="nil"/>
              <w:left w:val="nil"/>
              <w:bottom w:val="nil"/>
              <w:right w:val="nil"/>
            </w:tcBorders>
            <w:shd w:val="clear" w:color="auto" w:fill="F9F9FB"/>
            <w:tcMar>
              <w:top w:w="0" w:type="dxa"/>
              <w:left w:w="0" w:type="dxa"/>
              <w:bottom w:w="0" w:type="dxa"/>
              <w:right w:w="0" w:type="dxa"/>
            </w:tcMar>
          </w:tcPr>
          <w:p w14:paraId="10CF6BA8" w14:textId="77777777" w:rsidR="009E4375" w:rsidRDefault="00000000">
            <w:pPr>
              <w:spacing w:before="0" w:after="0" w:line="276" w:lineRule="auto"/>
              <w:ind w:left="60" w:right="60"/>
              <w:jc w:val="right"/>
            </w:pPr>
            <w:r>
              <w:t>-4.0988</w:t>
            </w:r>
          </w:p>
        </w:tc>
        <w:tc>
          <w:tcPr>
            <w:tcW w:w="1125" w:type="dxa"/>
            <w:tcBorders>
              <w:top w:val="nil"/>
              <w:left w:val="single" w:sz="6" w:space="0" w:color="E0E0E0"/>
              <w:bottom w:val="nil"/>
              <w:right w:val="nil"/>
            </w:tcBorders>
            <w:shd w:val="clear" w:color="auto" w:fill="F9F9FB"/>
            <w:tcMar>
              <w:top w:w="0" w:type="dxa"/>
              <w:left w:w="0" w:type="dxa"/>
              <w:bottom w:w="0" w:type="dxa"/>
              <w:right w:w="0" w:type="dxa"/>
            </w:tcMar>
          </w:tcPr>
          <w:p w14:paraId="10CF6BA9" w14:textId="77777777" w:rsidR="009E4375" w:rsidRDefault="00000000">
            <w:pPr>
              <w:spacing w:before="0" w:after="0" w:line="276" w:lineRule="auto"/>
              <w:ind w:left="60" w:right="60"/>
              <w:jc w:val="right"/>
            </w:pPr>
            <w:r>
              <w:t>5.88748</w:t>
            </w:r>
          </w:p>
        </w:tc>
        <w:tc>
          <w:tcPr>
            <w:tcW w:w="900" w:type="dxa"/>
            <w:tcBorders>
              <w:top w:val="nil"/>
              <w:left w:val="single" w:sz="6" w:space="0" w:color="E0E0E0"/>
              <w:bottom w:val="nil"/>
              <w:right w:val="single" w:sz="6" w:space="0" w:color="E0E0E0"/>
            </w:tcBorders>
            <w:tcMar>
              <w:top w:w="0" w:type="dxa"/>
              <w:left w:w="0" w:type="dxa"/>
              <w:bottom w:w="0" w:type="dxa"/>
              <w:right w:w="0" w:type="dxa"/>
            </w:tcMar>
          </w:tcPr>
          <w:p w14:paraId="10CF6BAA" w14:textId="77777777" w:rsidR="009E4375" w:rsidRDefault="00000000">
            <w:pPr>
              <w:spacing w:before="0" w:after="0" w:line="276" w:lineRule="auto"/>
              <w:ind w:left="60" w:right="60"/>
              <w:jc w:val="right"/>
            </w:pPr>
            <w:r>
              <w:t>.487</w:t>
            </w:r>
          </w:p>
        </w:tc>
        <w:tc>
          <w:tcPr>
            <w:tcW w:w="1335" w:type="dxa"/>
            <w:tcBorders>
              <w:top w:val="nil"/>
              <w:left w:val="nil"/>
              <w:bottom w:val="nil"/>
              <w:right w:val="nil"/>
            </w:tcBorders>
            <w:shd w:val="clear" w:color="auto" w:fill="F9F9FB"/>
            <w:tcMar>
              <w:top w:w="0" w:type="dxa"/>
              <w:left w:w="0" w:type="dxa"/>
              <w:bottom w:w="0" w:type="dxa"/>
              <w:right w:w="0" w:type="dxa"/>
            </w:tcMar>
          </w:tcPr>
          <w:p w14:paraId="10CF6BAB" w14:textId="77777777" w:rsidR="009E4375" w:rsidRDefault="00000000">
            <w:pPr>
              <w:spacing w:before="0" w:after="0" w:line="276" w:lineRule="auto"/>
              <w:ind w:left="60" w:right="60"/>
              <w:jc w:val="right"/>
            </w:pPr>
            <w:r>
              <w:t>-15.7073</w:t>
            </w:r>
          </w:p>
        </w:tc>
        <w:tc>
          <w:tcPr>
            <w:tcW w:w="1305" w:type="dxa"/>
            <w:tcBorders>
              <w:top w:val="nil"/>
              <w:left w:val="single" w:sz="6" w:space="0" w:color="E0E0E0"/>
              <w:bottom w:val="nil"/>
              <w:right w:val="nil"/>
            </w:tcBorders>
            <w:shd w:val="clear" w:color="auto" w:fill="F9F9FB"/>
            <w:tcMar>
              <w:top w:w="0" w:type="dxa"/>
              <w:left w:w="0" w:type="dxa"/>
              <w:bottom w:w="0" w:type="dxa"/>
              <w:right w:w="0" w:type="dxa"/>
            </w:tcMar>
          </w:tcPr>
          <w:p w14:paraId="10CF6BAC" w14:textId="77777777" w:rsidR="009E4375" w:rsidRDefault="00000000">
            <w:pPr>
              <w:spacing w:before="0" w:after="0" w:line="276" w:lineRule="auto"/>
              <w:ind w:left="60" w:right="60"/>
              <w:jc w:val="right"/>
            </w:pPr>
            <w:r>
              <w:t>7.5096</w:t>
            </w:r>
          </w:p>
        </w:tc>
      </w:tr>
      <w:tr w:rsidR="009E4375" w14:paraId="10CF6BB6" w14:textId="77777777">
        <w:trPr>
          <w:trHeight w:val="417"/>
        </w:trPr>
        <w:tc>
          <w:tcPr>
            <w:tcW w:w="1575" w:type="dxa"/>
            <w:vMerge w:val="restart"/>
            <w:tcBorders>
              <w:top w:val="single" w:sz="6" w:space="0" w:color="AEAEAE"/>
              <w:left w:val="nil"/>
              <w:bottom w:val="nil"/>
              <w:right w:val="nil"/>
            </w:tcBorders>
            <w:shd w:val="clear" w:color="auto" w:fill="E0E0E0"/>
            <w:tcMar>
              <w:top w:w="0" w:type="dxa"/>
              <w:left w:w="0" w:type="dxa"/>
              <w:bottom w:w="0" w:type="dxa"/>
              <w:right w:w="0" w:type="dxa"/>
            </w:tcMar>
          </w:tcPr>
          <w:p w14:paraId="10CF6BAE" w14:textId="77777777" w:rsidR="009E4375" w:rsidRDefault="00000000">
            <w:pPr>
              <w:spacing w:before="0" w:after="0" w:line="276" w:lineRule="auto"/>
              <w:ind w:left="60" w:right="60"/>
            </w:pPr>
            <w:r>
              <w:t>Perceived Stigma</w:t>
            </w:r>
          </w:p>
        </w:tc>
        <w:tc>
          <w:tcPr>
            <w:tcW w:w="1095" w:type="dxa"/>
            <w:vMerge w:val="restart"/>
            <w:tcBorders>
              <w:top w:val="single" w:sz="6" w:space="0" w:color="AEAEAE"/>
              <w:left w:val="nil"/>
              <w:bottom w:val="nil"/>
              <w:right w:val="nil"/>
            </w:tcBorders>
            <w:shd w:val="clear" w:color="auto" w:fill="E0E0E0"/>
            <w:tcMar>
              <w:top w:w="0" w:type="dxa"/>
              <w:left w:w="0" w:type="dxa"/>
              <w:bottom w:w="0" w:type="dxa"/>
              <w:right w:w="0" w:type="dxa"/>
            </w:tcMar>
          </w:tcPr>
          <w:p w14:paraId="10CF6BAF" w14:textId="77777777" w:rsidR="009E4375" w:rsidRDefault="00000000">
            <w:pPr>
              <w:spacing w:before="0" w:after="0" w:line="276" w:lineRule="auto"/>
              <w:ind w:left="60" w:right="60"/>
            </w:pPr>
            <w:r>
              <w:t>Malay</w:t>
            </w:r>
          </w:p>
        </w:tc>
        <w:tc>
          <w:tcPr>
            <w:tcW w:w="1140" w:type="dxa"/>
            <w:tcBorders>
              <w:top w:val="single" w:sz="6" w:space="0" w:color="AEAEAE"/>
              <w:left w:val="nil"/>
              <w:bottom w:val="single" w:sz="6" w:space="0" w:color="AEAEAE"/>
              <w:right w:val="nil"/>
            </w:tcBorders>
            <w:shd w:val="clear" w:color="auto" w:fill="E0E0E0"/>
            <w:tcMar>
              <w:top w:w="0" w:type="dxa"/>
              <w:left w:w="0" w:type="dxa"/>
              <w:bottom w:w="0" w:type="dxa"/>
              <w:right w:w="0" w:type="dxa"/>
            </w:tcMar>
          </w:tcPr>
          <w:p w14:paraId="10CF6BB0" w14:textId="77777777" w:rsidR="009E4375" w:rsidRDefault="00000000">
            <w:pPr>
              <w:spacing w:before="0" w:after="0" w:line="276" w:lineRule="auto"/>
              <w:ind w:left="60" w:right="60"/>
            </w:pPr>
            <w:r>
              <w:t>Chinese</w:t>
            </w:r>
          </w:p>
        </w:tc>
        <w:tc>
          <w:tcPr>
            <w:tcW w:w="130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B1" w14:textId="77777777" w:rsidR="009E4375" w:rsidRDefault="00000000">
            <w:pPr>
              <w:spacing w:before="0" w:after="0" w:line="276" w:lineRule="auto"/>
              <w:ind w:left="60" w:right="60"/>
              <w:jc w:val="right"/>
            </w:pPr>
            <w:r>
              <w:t>-6.7895</w:t>
            </w:r>
          </w:p>
        </w:tc>
        <w:tc>
          <w:tcPr>
            <w:tcW w:w="112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B2" w14:textId="77777777" w:rsidR="009E4375" w:rsidRDefault="00000000">
            <w:pPr>
              <w:spacing w:before="0" w:after="0" w:line="276" w:lineRule="auto"/>
              <w:ind w:left="60" w:right="60"/>
              <w:jc w:val="right"/>
            </w:pPr>
            <w:r>
              <w:t>3.50108</w:t>
            </w:r>
          </w:p>
        </w:tc>
        <w:tc>
          <w:tcPr>
            <w:tcW w:w="900" w:type="dxa"/>
            <w:tcBorders>
              <w:top w:val="single" w:sz="6" w:space="0" w:color="AEAEAE"/>
              <w:left w:val="single" w:sz="6" w:space="0" w:color="E0E0E0"/>
              <w:bottom w:val="single" w:sz="6" w:space="0" w:color="AEAEAE"/>
              <w:right w:val="single" w:sz="6" w:space="0" w:color="E0E0E0"/>
            </w:tcBorders>
            <w:tcMar>
              <w:top w:w="0" w:type="dxa"/>
              <w:left w:w="0" w:type="dxa"/>
              <w:bottom w:w="0" w:type="dxa"/>
              <w:right w:w="0" w:type="dxa"/>
            </w:tcMar>
          </w:tcPr>
          <w:p w14:paraId="10CF6BB3" w14:textId="77777777" w:rsidR="009E4375" w:rsidRDefault="00000000">
            <w:pPr>
              <w:spacing w:before="0" w:after="0" w:line="276" w:lineRule="auto"/>
              <w:ind w:left="60" w:right="60"/>
              <w:jc w:val="right"/>
            </w:pPr>
            <w:r>
              <w:t>.054</w:t>
            </w:r>
          </w:p>
        </w:tc>
        <w:tc>
          <w:tcPr>
            <w:tcW w:w="133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B4" w14:textId="77777777" w:rsidR="009E4375" w:rsidRDefault="00000000">
            <w:pPr>
              <w:spacing w:before="0" w:after="0" w:line="276" w:lineRule="auto"/>
              <w:ind w:left="60" w:right="60"/>
              <w:jc w:val="right"/>
            </w:pPr>
            <w:r>
              <w:t>-13.6927</w:t>
            </w:r>
          </w:p>
        </w:tc>
        <w:tc>
          <w:tcPr>
            <w:tcW w:w="130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B5" w14:textId="77777777" w:rsidR="009E4375" w:rsidRDefault="00000000">
            <w:pPr>
              <w:spacing w:before="0" w:after="0" w:line="276" w:lineRule="auto"/>
              <w:ind w:left="60" w:right="60"/>
              <w:jc w:val="right"/>
            </w:pPr>
            <w:r>
              <w:t>.1136</w:t>
            </w:r>
          </w:p>
        </w:tc>
      </w:tr>
      <w:tr w:rsidR="009E4375" w14:paraId="10CF6BBF" w14:textId="77777777">
        <w:trPr>
          <w:trHeight w:val="401"/>
        </w:trPr>
        <w:tc>
          <w:tcPr>
            <w:tcW w:w="1575" w:type="dxa"/>
            <w:vMerge/>
            <w:tcBorders>
              <w:top w:val="single" w:sz="6" w:space="0" w:color="AEAEAE"/>
              <w:left w:val="nil"/>
              <w:bottom w:val="nil"/>
              <w:right w:val="nil"/>
            </w:tcBorders>
            <w:tcMar>
              <w:top w:w="100" w:type="dxa"/>
              <w:left w:w="100" w:type="dxa"/>
              <w:bottom w:w="100" w:type="dxa"/>
              <w:right w:w="100" w:type="dxa"/>
            </w:tcMar>
          </w:tcPr>
          <w:p w14:paraId="10CF6BB7" w14:textId="77777777" w:rsidR="009E4375" w:rsidRDefault="009E4375"/>
        </w:tc>
        <w:tc>
          <w:tcPr>
            <w:tcW w:w="1095" w:type="dxa"/>
            <w:vMerge/>
            <w:tcBorders>
              <w:top w:val="single" w:sz="6" w:space="0" w:color="AEAEAE"/>
              <w:left w:val="nil"/>
              <w:bottom w:val="nil"/>
              <w:right w:val="nil"/>
            </w:tcBorders>
            <w:tcMar>
              <w:top w:w="100" w:type="dxa"/>
              <w:left w:w="100" w:type="dxa"/>
              <w:bottom w:w="100" w:type="dxa"/>
              <w:right w:w="100" w:type="dxa"/>
            </w:tcMar>
          </w:tcPr>
          <w:p w14:paraId="10CF6BB8" w14:textId="77777777" w:rsidR="009E4375" w:rsidRDefault="009E4375"/>
        </w:tc>
        <w:tc>
          <w:tcPr>
            <w:tcW w:w="1140" w:type="dxa"/>
            <w:tcBorders>
              <w:top w:val="nil"/>
              <w:left w:val="nil"/>
              <w:bottom w:val="nil"/>
              <w:right w:val="nil"/>
            </w:tcBorders>
            <w:shd w:val="clear" w:color="auto" w:fill="E0E0E0"/>
            <w:tcMar>
              <w:top w:w="0" w:type="dxa"/>
              <w:left w:w="0" w:type="dxa"/>
              <w:bottom w:w="0" w:type="dxa"/>
              <w:right w:w="0" w:type="dxa"/>
            </w:tcMar>
          </w:tcPr>
          <w:p w14:paraId="10CF6BB9" w14:textId="77777777" w:rsidR="009E4375" w:rsidRDefault="00000000">
            <w:pPr>
              <w:spacing w:before="0" w:after="0" w:line="276" w:lineRule="auto"/>
              <w:ind w:left="60" w:right="60"/>
            </w:pPr>
            <w:r>
              <w:t>Indian</w:t>
            </w:r>
          </w:p>
        </w:tc>
        <w:tc>
          <w:tcPr>
            <w:tcW w:w="1305" w:type="dxa"/>
            <w:tcBorders>
              <w:top w:val="nil"/>
              <w:left w:val="nil"/>
              <w:bottom w:val="nil"/>
              <w:right w:val="nil"/>
            </w:tcBorders>
            <w:shd w:val="clear" w:color="auto" w:fill="F9F9FB"/>
            <w:tcMar>
              <w:top w:w="0" w:type="dxa"/>
              <w:left w:w="0" w:type="dxa"/>
              <w:bottom w:w="0" w:type="dxa"/>
              <w:right w:w="0" w:type="dxa"/>
            </w:tcMar>
          </w:tcPr>
          <w:p w14:paraId="10CF6BBA" w14:textId="77777777" w:rsidR="009E4375" w:rsidRDefault="00000000">
            <w:pPr>
              <w:spacing w:before="0" w:after="0" w:line="276" w:lineRule="auto"/>
              <w:ind w:left="60" w:right="60"/>
              <w:jc w:val="right"/>
              <w:rPr>
                <w:vertAlign w:val="superscript"/>
              </w:rPr>
            </w:pPr>
            <w:r>
              <w:t>-18.7075</w:t>
            </w:r>
            <w:r>
              <w:rPr>
                <w:vertAlign w:val="superscript"/>
              </w:rPr>
              <w:t>*</w:t>
            </w:r>
          </w:p>
        </w:tc>
        <w:tc>
          <w:tcPr>
            <w:tcW w:w="1125" w:type="dxa"/>
            <w:tcBorders>
              <w:top w:val="nil"/>
              <w:left w:val="single" w:sz="6" w:space="0" w:color="E0E0E0"/>
              <w:bottom w:val="nil"/>
              <w:right w:val="nil"/>
            </w:tcBorders>
            <w:shd w:val="clear" w:color="auto" w:fill="F9F9FB"/>
            <w:tcMar>
              <w:top w:w="0" w:type="dxa"/>
              <w:left w:w="0" w:type="dxa"/>
              <w:bottom w:w="0" w:type="dxa"/>
              <w:right w:w="0" w:type="dxa"/>
            </w:tcMar>
          </w:tcPr>
          <w:p w14:paraId="10CF6BBB" w14:textId="77777777" w:rsidR="009E4375" w:rsidRDefault="00000000">
            <w:pPr>
              <w:spacing w:before="0" w:after="0" w:line="276" w:lineRule="auto"/>
              <w:ind w:left="60" w:right="60"/>
              <w:jc w:val="right"/>
            </w:pPr>
            <w:r>
              <w:t>8.13923</w:t>
            </w:r>
          </w:p>
        </w:tc>
        <w:tc>
          <w:tcPr>
            <w:tcW w:w="900" w:type="dxa"/>
            <w:tcBorders>
              <w:top w:val="nil"/>
              <w:left w:val="single" w:sz="6" w:space="0" w:color="E0E0E0"/>
              <w:bottom w:val="nil"/>
              <w:right w:val="single" w:sz="6" w:space="0" w:color="E0E0E0"/>
            </w:tcBorders>
            <w:tcMar>
              <w:top w:w="0" w:type="dxa"/>
              <w:left w:w="0" w:type="dxa"/>
              <w:bottom w:w="0" w:type="dxa"/>
              <w:right w:w="0" w:type="dxa"/>
            </w:tcMar>
          </w:tcPr>
          <w:p w14:paraId="10CF6BBC" w14:textId="77777777" w:rsidR="009E4375" w:rsidRDefault="00000000">
            <w:pPr>
              <w:spacing w:before="0" w:after="0" w:line="276" w:lineRule="auto"/>
              <w:ind w:left="60" w:right="60"/>
              <w:jc w:val="right"/>
            </w:pPr>
            <w:r>
              <w:t>.023</w:t>
            </w:r>
          </w:p>
        </w:tc>
        <w:tc>
          <w:tcPr>
            <w:tcW w:w="1335" w:type="dxa"/>
            <w:tcBorders>
              <w:top w:val="nil"/>
              <w:left w:val="nil"/>
              <w:bottom w:val="nil"/>
              <w:right w:val="nil"/>
            </w:tcBorders>
            <w:shd w:val="clear" w:color="auto" w:fill="F9F9FB"/>
            <w:tcMar>
              <w:top w:w="0" w:type="dxa"/>
              <w:left w:w="0" w:type="dxa"/>
              <w:bottom w:w="0" w:type="dxa"/>
              <w:right w:w="0" w:type="dxa"/>
            </w:tcMar>
          </w:tcPr>
          <w:p w14:paraId="10CF6BBD" w14:textId="77777777" w:rsidR="009E4375" w:rsidRDefault="00000000">
            <w:pPr>
              <w:spacing w:before="0" w:after="0" w:line="276" w:lineRule="auto"/>
              <w:ind w:left="60" w:right="60"/>
              <w:jc w:val="right"/>
            </w:pPr>
            <w:r>
              <w:t>-34.7558</w:t>
            </w:r>
          </w:p>
        </w:tc>
        <w:tc>
          <w:tcPr>
            <w:tcW w:w="1305" w:type="dxa"/>
            <w:tcBorders>
              <w:top w:val="nil"/>
              <w:left w:val="single" w:sz="6" w:space="0" w:color="E0E0E0"/>
              <w:bottom w:val="nil"/>
              <w:right w:val="nil"/>
            </w:tcBorders>
            <w:shd w:val="clear" w:color="auto" w:fill="F9F9FB"/>
            <w:tcMar>
              <w:top w:w="0" w:type="dxa"/>
              <w:left w:w="0" w:type="dxa"/>
              <w:bottom w:w="0" w:type="dxa"/>
              <w:right w:w="0" w:type="dxa"/>
            </w:tcMar>
          </w:tcPr>
          <w:p w14:paraId="10CF6BBE" w14:textId="77777777" w:rsidR="009E4375" w:rsidRDefault="00000000">
            <w:pPr>
              <w:spacing w:before="0" w:after="0" w:line="276" w:lineRule="auto"/>
              <w:ind w:left="60" w:right="60"/>
              <w:jc w:val="right"/>
            </w:pPr>
            <w:r>
              <w:t>-2.6592</w:t>
            </w:r>
          </w:p>
        </w:tc>
      </w:tr>
      <w:tr w:rsidR="009E4375" w14:paraId="10CF6BC8" w14:textId="77777777">
        <w:trPr>
          <w:trHeight w:val="355"/>
        </w:trPr>
        <w:tc>
          <w:tcPr>
            <w:tcW w:w="1575" w:type="dxa"/>
            <w:vMerge/>
            <w:tcBorders>
              <w:top w:val="single" w:sz="6" w:space="0" w:color="AEAEAE"/>
              <w:left w:val="nil"/>
              <w:bottom w:val="nil"/>
              <w:right w:val="nil"/>
            </w:tcBorders>
            <w:tcMar>
              <w:top w:w="100" w:type="dxa"/>
              <w:left w:w="100" w:type="dxa"/>
              <w:bottom w:w="100" w:type="dxa"/>
              <w:right w:w="100" w:type="dxa"/>
            </w:tcMar>
          </w:tcPr>
          <w:p w14:paraId="10CF6BC0" w14:textId="77777777" w:rsidR="009E4375" w:rsidRDefault="009E4375"/>
        </w:tc>
        <w:tc>
          <w:tcPr>
            <w:tcW w:w="1095" w:type="dxa"/>
            <w:vMerge w:val="restart"/>
            <w:tcBorders>
              <w:top w:val="single" w:sz="6" w:space="0" w:color="AEAEAE"/>
              <w:left w:val="nil"/>
              <w:bottom w:val="nil"/>
              <w:right w:val="nil"/>
            </w:tcBorders>
            <w:shd w:val="clear" w:color="auto" w:fill="E0E0E0"/>
            <w:tcMar>
              <w:top w:w="0" w:type="dxa"/>
              <w:left w:w="0" w:type="dxa"/>
              <w:bottom w:w="0" w:type="dxa"/>
              <w:right w:w="0" w:type="dxa"/>
            </w:tcMar>
          </w:tcPr>
          <w:p w14:paraId="10CF6BC1" w14:textId="77777777" w:rsidR="009E4375" w:rsidRDefault="00000000">
            <w:pPr>
              <w:spacing w:before="0" w:after="0" w:line="276" w:lineRule="auto"/>
              <w:ind w:left="60" w:right="60"/>
            </w:pPr>
            <w:r>
              <w:t>Chinese</w:t>
            </w:r>
          </w:p>
        </w:tc>
        <w:tc>
          <w:tcPr>
            <w:tcW w:w="1140" w:type="dxa"/>
            <w:tcBorders>
              <w:top w:val="single" w:sz="6" w:space="0" w:color="AEAEAE"/>
              <w:left w:val="nil"/>
              <w:bottom w:val="single" w:sz="6" w:space="0" w:color="AEAEAE"/>
              <w:right w:val="nil"/>
            </w:tcBorders>
            <w:shd w:val="clear" w:color="auto" w:fill="E0E0E0"/>
            <w:tcMar>
              <w:top w:w="0" w:type="dxa"/>
              <w:left w:w="0" w:type="dxa"/>
              <w:bottom w:w="0" w:type="dxa"/>
              <w:right w:w="0" w:type="dxa"/>
            </w:tcMar>
          </w:tcPr>
          <w:p w14:paraId="10CF6BC2" w14:textId="77777777" w:rsidR="009E4375" w:rsidRDefault="00000000">
            <w:pPr>
              <w:spacing w:before="0" w:after="0" w:line="276" w:lineRule="auto"/>
              <w:ind w:left="60" w:right="60"/>
            </w:pPr>
            <w:r>
              <w:t>Malay</w:t>
            </w:r>
          </w:p>
        </w:tc>
        <w:tc>
          <w:tcPr>
            <w:tcW w:w="130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C3" w14:textId="77777777" w:rsidR="009E4375" w:rsidRDefault="00000000">
            <w:pPr>
              <w:spacing w:before="0" w:after="0" w:line="276" w:lineRule="auto"/>
              <w:ind w:left="60" w:right="60"/>
              <w:jc w:val="right"/>
            </w:pPr>
            <w:r>
              <w:t>6.7895</w:t>
            </w:r>
          </w:p>
        </w:tc>
        <w:tc>
          <w:tcPr>
            <w:tcW w:w="112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C4" w14:textId="77777777" w:rsidR="009E4375" w:rsidRDefault="00000000">
            <w:pPr>
              <w:spacing w:before="0" w:after="0" w:line="276" w:lineRule="auto"/>
              <w:ind w:left="60" w:right="60"/>
              <w:jc w:val="right"/>
            </w:pPr>
            <w:r>
              <w:t>3.50108</w:t>
            </w:r>
          </w:p>
        </w:tc>
        <w:tc>
          <w:tcPr>
            <w:tcW w:w="900" w:type="dxa"/>
            <w:tcBorders>
              <w:top w:val="single" w:sz="6" w:space="0" w:color="AEAEAE"/>
              <w:left w:val="single" w:sz="6" w:space="0" w:color="E0E0E0"/>
              <w:bottom w:val="single" w:sz="6" w:space="0" w:color="AEAEAE"/>
              <w:right w:val="single" w:sz="6" w:space="0" w:color="E0E0E0"/>
            </w:tcBorders>
            <w:tcMar>
              <w:top w:w="0" w:type="dxa"/>
              <w:left w:w="0" w:type="dxa"/>
              <w:bottom w:w="0" w:type="dxa"/>
              <w:right w:w="0" w:type="dxa"/>
            </w:tcMar>
          </w:tcPr>
          <w:p w14:paraId="10CF6BC5" w14:textId="77777777" w:rsidR="009E4375" w:rsidRDefault="00000000">
            <w:pPr>
              <w:spacing w:before="0" w:after="0" w:line="276" w:lineRule="auto"/>
              <w:ind w:left="60" w:right="60"/>
              <w:jc w:val="right"/>
            </w:pPr>
            <w:r>
              <w:t>.054</w:t>
            </w:r>
          </w:p>
        </w:tc>
        <w:tc>
          <w:tcPr>
            <w:tcW w:w="133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C6" w14:textId="77777777" w:rsidR="009E4375" w:rsidRDefault="00000000">
            <w:pPr>
              <w:spacing w:before="0" w:after="0" w:line="276" w:lineRule="auto"/>
              <w:ind w:left="60" w:right="60"/>
              <w:jc w:val="right"/>
            </w:pPr>
            <w:r>
              <w:t>-.1136</w:t>
            </w:r>
          </w:p>
        </w:tc>
        <w:tc>
          <w:tcPr>
            <w:tcW w:w="130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C7" w14:textId="77777777" w:rsidR="009E4375" w:rsidRDefault="00000000">
            <w:pPr>
              <w:spacing w:before="0" w:after="0" w:line="276" w:lineRule="auto"/>
              <w:ind w:left="60" w:right="60"/>
              <w:jc w:val="right"/>
            </w:pPr>
            <w:r>
              <w:t>13.6927</w:t>
            </w:r>
          </w:p>
        </w:tc>
      </w:tr>
      <w:tr w:rsidR="009E4375" w14:paraId="10CF6BD1" w14:textId="77777777">
        <w:trPr>
          <w:trHeight w:val="309"/>
        </w:trPr>
        <w:tc>
          <w:tcPr>
            <w:tcW w:w="1575" w:type="dxa"/>
            <w:vMerge/>
            <w:tcBorders>
              <w:top w:val="single" w:sz="6" w:space="0" w:color="AEAEAE"/>
              <w:left w:val="nil"/>
              <w:bottom w:val="nil"/>
              <w:right w:val="nil"/>
            </w:tcBorders>
            <w:tcMar>
              <w:top w:w="100" w:type="dxa"/>
              <w:left w:w="100" w:type="dxa"/>
              <w:bottom w:w="100" w:type="dxa"/>
              <w:right w:w="100" w:type="dxa"/>
            </w:tcMar>
          </w:tcPr>
          <w:p w14:paraId="10CF6BC9" w14:textId="77777777" w:rsidR="009E4375" w:rsidRDefault="009E4375"/>
        </w:tc>
        <w:tc>
          <w:tcPr>
            <w:tcW w:w="1095" w:type="dxa"/>
            <w:vMerge/>
            <w:tcBorders>
              <w:top w:val="single" w:sz="6" w:space="0" w:color="AEAEAE"/>
              <w:left w:val="nil"/>
              <w:bottom w:val="nil"/>
              <w:right w:val="nil"/>
            </w:tcBorders>
            <w:tcMar>
              <w:top w:w="100" w:type="dxa"/>
              <w:left w:w="100" w:type="dxa"/>
              <w:bottom w:w="100" w:type="dxa"/>
              <w:right w:w="100" w:type="dxa"/>
            </w:tcMar>
          </w:tcPr>
          <w:p w14:paraId="10CF6BCA" w14:textId="77777777" w:rsidR="009E4375" w:rsidRDefault="009E4375"/>
        </w:tc>
        <w:tc>
          <w:tcPr>
            <w:tcW w:w="1140" w:type="dxa"/>
            <w:tcBorders>
              <w:top w:val="nil"/>
              <w:left w:val="nil"/>
              <w:bottom w:val="nil"/>
              <w:right w:val="nil"/>
            </w:tcBorders>
            <w:shd w:val="clear" w:color="auto" w:fill="E0E0E0"/>
            <w:tcMar>
              <w:top w:w="0" w:type="dxa"/>
              <w:left w:w="0" w:type="dxa"/>
              <w:bottom w:w="0" w:type="dxa"/>
              <w:right w:w="0" w:type="dxa"/>
            </w:tcMar>
          </w:tcPr>
          <w:p w14:paraId="10CF6BCB" w14:textId="77777777" w:rsidR="009E4375" w:rsidRDefault="00000000">
            <w:pPr>
              <w:spacing w:before="0" w:after="0" w:line="276" w:lineRule="auto"/>
              <w:ind w:left="60" w:right="60"/>
            </w:pPr>
            <w:r>
              <w:t>Indian</w:t>
            </w:r>
          </w:p>
        </w:tc>
        <w:tc>
          <w:tcPr>
            <w:tcW w:w="1305" w:type="dxa"/>
            <w:tcBorders>
              <w:top w:val="nil"/>
              <w:left w:val="nil"/>
              <w:bottom w:val="nil"/>
              <w:right w:val="nil"/>
            </w:tcBorders>
            <w:shd w:val="clear" w:color="auto" w:fill="F9F9FB"/>
            <w:tcMar>
              <w:top w:w="0" w:type="dxa"/>
              <w:left w:w="0" w:type="dxa"/>
              <w:bottom w:w="0" w:type="dxa"/>
              <w:right w:w="0" w:type="dxa"/>
            </w:tcMar>
          </w:tcPr>
          <w:p w14:paraId="10CF6BCC" w14:textId="77777777" w:rsidR="009E4375" w:rsidRDefault="00000000">
            <w:pPr>
              <w:spacing w:before="0" w:after="0" w:line="276" w:lineRule="auto"/>
              <w:ind w:left="60" w:right="60"/>
              <w:jc w:val="right"/>
            </w:pPr>
            <w:r>
              <w:t>-11.9179</w:t>
            </w:r>
          </w:p>
        </w:tc>
        <w:tc>
          <w:tcPr>
            <w:tcW w:w="1125" w:type="dxa"/>
            <w:tcBorders>
              <w:top w:val="nil"/>
              <w:left w:val="single" w:sz="6" w:space="0" w:color="E0E0E0"/>
              <w:bottom w:val="nil"/>
              <w:right w:val="nil"/>
            </w:tcBorders>
            <w:shd w:val="clear" w:color="auto" w:fill="F9F9FB"/>
            <w:tcMar>
              <w:top w:w="0" w:type="dxa"/>
              <w:left w:w="0" w:type="dxa"/>
              <w:bottom w:w="0" w:type="dxa"/>
              <w:right w:w="0" w:type="dxa"/>
            </w:tcMar>
          </w:tcPr>
          <w:p w14:paraId="10CF6BCD" w14:textId="77777777" w:rsidR="009E4375" w:rsidRDefault="00000000">
            <w:pPr>
              <w:spacing w:before="0" w:after="0" w:line="276" w:lineRule="auto"/>
              <w:ind w:left="60" w:right="60"/>
              <w:jc w:val="right"/>
            </w:pPr>
            <w:r>
              <w:t>8.13155</w:t>
            </w:r>
          </w:p>
        </w:tc>
        <w:tc>
          <w:tcPr>
            <w:tcW w:w="900" w:type="dxa"/>
            <w:tcBorders>
              <w:top w:val="nil"/>
              <w:left w:val="single" w:sz="6" w:space="0" w:color="E0E0E0"/>
              <w:bottom w:val="nil"/>
              <w:right w:val="single" w:sz="6" w:space="0" w:color="E0E0E0"/>
            </w:tcBorders>
            <w:tcMar>
              <w:top w:w="0" w:type="dxa"/>
              <w:left w:w="0" w:type="dxa"/>
              <w:bottom w:w="0" w:type="dxa"/>
              <w:right w:w="0" w:type="dxa"/>
            </w:tcMar>
          </w:tcPr>
          <w:p w14:paraId="10CF6BCE" w14:textId="77777777" w:rsidR="009E4375" w:rsidRDefault="00000000">
            <w:pPr>
              <w:spacing w:before="0" w:after="0" w:line="276" w:lineRule="auto"/>
              <w:ind w:left="60" w:right="60"/>
              <w:jc w:val="right"/>
            </w:pPr>
            <w:r>
              <w:t>.144</w:t>
            </w:r>
          </w:p>
        </w:tc>
        <w:tc>
          <w:tcPr>
            <w:tcW w:w="1335" w:type="dxa"/>
            <w:tcBorders>
              <w:top w:val="nil"/>
              <w:left w:val="nil"/>
              <w:bottom w:val="nil"/>
              <w:right w:val="nil"/>
            </w:tcBorders>
            <w:shd w:val="clear" w:color="auto" w:fill="F9F9FB"/>
            <w:tcMar>
              <w:top w:w="0" w:type="dxa"/>
              <w:left w:w="0" w:type="dxa"/>
              <w:bottom w:w="0" w:type="dxa"/>
              <w:right w:w="0" w:type="dxa"/>
            </w:tcMar>
          </w:tcPr>
          <w:p w14:paraId="10CF6BCF" w14:textId="77777777" w:rsidR="009E4375" w:rsidRDefault="00000000">
            <w:pPr>
              <w:spacing w:before="0" w:after="0" w:line="276" w:lineRule="auto"/>
              <w:ind w:left="60" w:right="60"/>
              <w:jc w:val="right"/>
            </w:pPr>
            <w:r>
              <w:t>-27.9511</w:t>
            </w:r>
          </w:p>
        </w:tc>
        <w:tc>
          <w:tcPr>
            <w:tcW w:w="1305" w:type="dxa"/>
            <w:tcBorders>
              <w:top w:val="nil"/>
              <w:left w:val="single" w:sz="6" w:space="0" w:color="E0E0E0"/>
              <w:bottom w:val="nil"/>
              <w:right w:val="nil"/>
            </w:tcBorders>
            <w:shd w:val="clear" w:color="auto" w:fill="F9F9FB"/>
            <w:tcMar>
              <w:top w:w="0" w:type="dxa"/>
              <w:left w:w="0" w:type="dxa"/>
              <w:bottom w:w="0" w:type="dxa"/>
              <w:right w:w="0" w:type="dxa"/>
            </w:tcMar>
          </w:tcPr>
          <w:p w14:paraId="10CF6BD0" w14:textId="77777777" w:rsidR="009E4375" w:rsidRDefault="00000000">
            <w:pPr>
              <w:spacing w:before="0" w:after="0" w:line="276" w:lineRule="auto"/>
              <w:ind w:left="60" w:right="60"/>
              <w:jc w:val="right"/>
            </w:pPr>
            <w:r>
              <w:t>4.1152</w:t>
            </w:r>
          </w:p>
        </w:tc>
      </w:tr>
      <w:tr w:rsidR="009E4375" w14:paraId="10CF6BDA" w14:textId="77777777">
        <w:trPr>
          <w:trHeight w:val="401"/>
        </w:trPr>
        <w:tc>
          <w:tcPr>
            <w:tcW w:w="1575" w:type="dxa"/>
            <w:vMerge/>
            <w:tcBorders>
              <w:top w:val="single" w:sz="6" w:space="0" w:color="AEAEAE"/>
              <w:left w:val="nil"/>
              <w:bottom w:val="nil"/>
              <w:right w:val="nil"/>
            </w:tcBorders>
            <w:tcMar>
              <w:top w:w="100" w:type="dxa"/>
              <w:left w:w="100" w:type="dxa"/>
              <w:bottom w:w="100" w:type="dxa"/>
              <w:right w:w="100" w:type="dxa"/>
            </w:tcMar>
          </w:tcPr>
          <w:p w14:paraId="10CF6BD2" w14:textId="77777777" w:rsidR="009E4375" w:rsidRDefault="009E4375"/>
        </w:tc>
        <w:tc>
          <w:tcPr>
            <w:tcW w:w="1095" w:type="dxa"/>
            <w:vMerge w:val="restart"/>
            <w:tcBorders>
              <w:top w:val="single" w:sz="6" w:space="0" w:color="AEAEAE"/>
              <w:left w:val="nil"/>
              <w:bottom w:val="nil"/>
              <w:right w:val="nil"/>
            </w:tcBorders>
            <w:shd w:val="clear" w:color="auto" w:fill="E0E0E0"/>
            <w:tcMar>
              <w:top w:w="0" w:type="dxa"/>
              <w:left w:w="0" w:type="dxa"/>
              <w:bottom w:w="0" w:type="dxa"/>
              <w:right w:w="0" w:type="dxa"/>
            </w:tcMar>
          </w:tcPr>
          <w:p w14:paraId="10CF6BD3" w14:textId="77777777" w:rsidR="009E4375" w:rsidRDefault="00000000">
            <w:pPr>
              <w:spacing w:before="0" w:after="0" w:line="276" w:lineRule="auto"/>
              <w:ind w:left="60" w:right="60"/>
            </w:pPr>
            <w:r>
              <w:t>Indian</w:t>
            </w:r>
          </w:p>
        </w:tc>
        <w:tc>
          <w:tcPr>
            <w:tcW w:w="1140" w:type="dxa"/>
            <w:tcBorders>
              <w:top w:val="single" w:sz="6" w:space="0" w:color="AEAEAE"/>
              <w:left w:val="nil"/>
              <w:bottom w:val="single" w:sz="6" w:space="0" w:color="AEAEAE"/>
              <w:right w:val="nil"/>
            </w:tcBorders>
            <w:shd w:val="clear" w:color="auto" w:fill="E0E0E0"/>
            <w:tcMar>
              <w:top w:w="0" w:type="dxa"/>
              <w:left w:w="0" w:type="dxa"/>
              <w:bottom w:w="0" w:type="dxa"/>
              <w:right w:w="0" w:type="dxa"/>
            </w:tcMar>
          </w:tcPr>
          <w:p w14:paraId="10CF6BD4" w14:textId="77777777" w:rsidR="009E4375" w:rsidRDefault="00000000">
            <w:pPr>
              <w:spacing w:before="0" w:after="0" w:line="276" w:lineRule="auto"/>
              <w:ind w:left="60" w:right="60"/>
            </w:pPr>
            <w:r>
              <w:t>Malay</w:t>
            </w:r>
          </w:p>
        </w:tc>
        <w:tc>
          <w:tcPr>
            <w:tcW w:w="130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D5" w14:textId="77777777" w:rsidR="009E4375" w:rsidRDefault="00000000">
            <w:pPr>
              <w:spacing w:before="0" w:after="0" w:line="276" w:lineRule="auto"/>
              <w:ind w:left="60" w:right="60"/>
              <w:jc w:val="right"/>
              <w:rPr>
                <w:vertAlign w:val="superscript"/>
              </w:rPr>
            </w:pPr>
            <w:r>
              <w:t>18.7075</w:t>
            </w:r>
            <w:r>
              <w:rPr>
                <w:vertAlign w:val="superscript"/>
              </w:rPr>
              <w:t>*</w:t>
            </w:r>
          </w:p>
        </w:tc>
        <w:tc>
          <w:tcPr>
            <w:tcW w:w="112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D6" w14:textId="77777777" w:rsidR="009E4375" w:rsidRDefault="00000000">
            <w:pPr>
              <w:spacing w:before="0" w:after="0" w:line="276" w:lineRule="auto"/>
              <w:ind w:left="60" w:right="60"/>
              <w:jc w:val="right"/>
            </w:pPr>
            <w:r>
              <w:t>8.13923</w:t>
            </w:r>
          </w:p>
        </w:tc>
        <w:tc>
          <w:tcPr>
            <w:tcW w:w="900" w:type="dxa"/>
            <w:tcBorders>
              <w:top w:val="single" w:sz="6" w:space="0" w:color="AEAEAE"/>
              <w:left w:val="single" w:sz="6" w:space="0" w:color="E0E0E0"/>
              <w:bottom w:val="single" w:sz="6" w:space="0" w:color="AEAEAE"/>
              <w:right w:val="single" w:sz="6" w:space="0" w:color="E0E0E0"/>
            </w:tcBorders>
            <w:shd w:val="clear" w:color="auto" w:fill="F9F9FB"/>
            <w:tcMar>
              <w:top w:w="0" w:type="dxa"/>
              <w:left w:w="0" w:type="dxa"/>
              <w:bottom w:w="0" w:type="dxa"/>
              <w:right w:w="0" w:type="dxa"/>
            </w:tcMar>
          </w:tcPr>
          <w:p w14:paraId="10CF6BD7" w14:textId="77777777" w:rsidR="009E4375" w:rsidRDefault="00000000">
            <w:pPr>
              <w:spacing w:before="0" w:after="0" w:line="276" w:lineRule="auto"/>
              <w:ind w:left="60" w:right="60"/>
              <w:jc w:val="right"/>
            </w:pPr>
            <w:r>
              <w:t>.023</w:t>
            </w:r>
          </w:p>
        </w:tc>
        <w:tc>
          <w:tcPr>
            <w:tcW w:w="1335" w:type="dxa"/>
            <w:tcBorders>
              <w:top w:val="single" w:sz="6" w:space="0" w:color="AEAEAE"/>
              <w:left w:val="nil"/>
              <w:bottom w:val="single" w:sz="6" w:space="0" w:color="AEAEAE"/>
              <w:right w:val="nil"/>
            </w:tcBorders>
            <w:shd w:val="clear" w:color="auto" w:fill="F9F9FB"/>
            <w:tcMar>
              <w:top w:w="0" w:type="dxa"/>
              <w:left w:w="0" w:type="dxa"/>
              <w:bottom w:w="0" w:type="dxa"/>
              <w:right w:w="0" w:type="dxa"/>
            </w:tcMar>
          </w:tcPr>
          <w:p w14:paraId="10CF6BD8" w14:textId="77777777" w:rsidR="009E4375" w:rsidRDefault="00000000">
            <w:pPr>
              <w:spacing w:before="0" w:after="0" w:line="276" w:lineRule="auto"/>
              <w:ind w:left="60" w:right="60"/>
              <w:jc w:val="right"/>
            </w:pPr>
            <w:r>
              <w:t>2.6592</w:t>
            </w:r>
          </w:p>
        </w:tc>
        <w:tc>
          <w:tcPr>
            <w:tcW w:w="1305" w:type="dxa"/>
            <w:tcBorders>
              <w:top w:val="single" w:sz="6" w:space="0" w:color="AEAEAE"/>
              <w:left w:val="single" w:sz="6" w:space="0" w:color="E0E0E0"/>
              <w:bottom w:val="single" w:sz="6" w:space="0" w:color="AEAEAE"/>
              <w:right w:val="nil"/>
            </w:tcBorders>
            <w:shd w:val="clear" w:color="auto" w:fill="F9F9FB"/>
            <w:tcMar>
              <w:top w:w="0" w:type="dxa"/>
              <w:left w:w="0" w:type="dxa"/>
              <w:bottom w:w="0" w:type="dxa"/>
              <w:right w:w="0" w:type="dxa"/>
            </w:tcMar>
          </w:tcPr>
          <w:p w14:paraId="10CF6BD9" w14:textId="77777777" w:rsidR="009E4375" w:rsidRDefault="00000000">
            <w:pPr>
              <w:spacing w:before="0" w:after="0" w:line="276" w:lineRule="auto"/>
              <w:ind w:left="60" w:right="60"/>
              <w:jc w:val="right"/>
            </w:pPr>
            <w:r>
              <w:t>34.7558</w:t>
            </w:r>
          </w:p>
        </w:tc>
      </w:tr>
      <w:tr w:rsidR="009E4375" w14:paraId="10CF6BE4" w14:textId="77777777">
        <w:trPr>
          <w:trHeight w:val="355"/>
        </w:trPr>
        <w:tc>
          <w:tcPr>
            <w:tcW w:w="1575" w:type="dxa"/>
            <w:vMerge/>
            <w:tcBorders>
              <w:top w:val="single" w:sz="6" w:space="0" w:color="AEAEAE"/>
              <w:left w:val="nil"/>
              <w:bottom w:val="nil"/>
              <w:right w:val="nil"/>
            </w:tcBorders>
            <w:tcMar>
              <w:top w:w="100" w:type="dxa"/>
              <w:left w:w="100" w:type="dxa"/>
              <w:bottom w:w="100" w:type="dxa"/>
              <w:right w:w="100" w:type="dxa"/>
            </w:tcMar>
          </w:tcPr>
          <w:p w14:paraId="10CF6BDB" w14:textId="77777777" w:rsidR="009E4375" w:rsidRDefault="009E4375"/>
        </w:tc>
        <w:tc>
          <w:tcPr>
            <w:tcW w:w="1095" w:type="dxa"/>
            <w:vMerge/>
            <w:tcBorders>
              <w:top w:val="single" w:sz="6" w:space="0" w:color="AEAEAE"/>
              <w:left w:val="nil"/>
              <w:bottom w:val="nil"/>
              <w:right w:val="nil"/>
            </w:tcBorders>
            <w:tcMar>
              <w:top w:w="100" w:type="dxa"/>
              <w:left w:w="100" w:type="dxa"/>
              <w:bottom w:w="100" w:type="dxa"/>
              <w:right w:w="100" w:type="dxa"/>
            </w:tcMar>
          </w:tcPr>
          <w:p w14:paraId="10CF6BDC" w14:textId="77777777" w:rsidR="009E4375" w:rsidRDefault="009E4375"/>
        </w:tc>
        <w:tc>
          <w:tcPr>
            <w:tcW w:w="1140" w:type="dxa"/>
            <w:tcBorders>
              <w:top w:val="nil"/>
              <w:left w:val="nil"/>
              <w:bottom w:val="nil"/>
              <w:right w:val="nil"/>
            </w:tcBorders>
            <w:shd w:val="clear" w:color="auto" w:fill="E0E0E0"/>
            <w:tcMar>
              <w:top w:w="0" w:type="dxa"/>
              <w:left w:w="0" w:type="dxa"/>
              <w:bottom w:w="0" w:type="dxa"/>
              <w:right w:w="0" w:type="dxa"/>
            </w:tcMar>
          </w:tcPr>
          <w:p w14:paraId="10CF6BDD" w14:textId="77777777" w:rsidR="009E4375" w:rsidRDefault="00000000">
            <w:pPr>
              <w:spacing w:before="0" w:after="0" w:line="276" w:lineRule="auto"/>
              <w:ind w:left="60" w:right="60"/>
            </w:pPr>
            <w:r>
              <w:t>Chinese</w:t>
            </w:r>
          </w:p>
        </w:tc>
        <w:tc>
          <w:tcPr>
            <w:tcW w:w="1305" w:type="dxa"/>
            <w:tcBorders>
              <w:top w:val="nil"/>
              <w:left w:val="nil"/>
              <w:bottom w:val="nil"/>
              <w:right w:val="nil"/>
            </w:tcBorders>
            <w:shd w:val="clear" w:color="auto" w:fill="F9F9FB"/>
            <w:tcMar>
              <w:top w:w="0" w:type="dxa"/>
              <w:left w:w="0" w:type="dxa"/>
              <w:bottom w:w="0" w:type="dxa"/>
              <w:right w:w="0" w:type="dxa"/>
            </w:tcMar>
          </w:tcPr>
          <w:p w14:paraId="10CF6BDE" w14:textId="77777777" w:rsidR="009E4375" w:rsidRDefault="00000000">
            <w:pPr>
              <w:spacing w:before="0" w:after="0" w:line="276" w:lineRule="auto"/>
              <w:ind w:left="60" w:right="60"/>
              <w:jc w:val="right"/>
            </w:pPr>
            <w:r>
              <w:t>11.9179</w:t>
            </w:r>
          </w:p>
        </w:tc>
        <w:tc>
          <w:tcPr>
            <w:tcW w:w="1125" w:type="dxa"/>
            <w:tcBorders>
              <w:top w:val="nil"/>
              <w:left w:val="single" w:sz="6" w:space="0" w:color="E0E0E0"/>
              <w:bottom w:val="nil"/>
              <w:right w:val="nil"/>
            </w:tcBorders>
            <w:shd w:val="clear" w:color="auto" w:fill="F9F9FB"/>
            <w:tcMar>
              <w:top w:w="0" w:type="dxa"/>
              <w:left w:w="0" w:type="dxa"/>
              <w:bottom w:w="0" w:type="dxa"/>
              <w:right w:w="0" w:type="dxa"/>
            </w:tcMar>
          </w:tcPr>
          <w:p w14:paraId="10CF6BDF" w14:textId="77777777" w:rsidR="009E4375" w:rsidRDefault="00000000">
            <w:pPr>
              <w:spacing w:before="0" w:after="0" w:line="276" w:lineRule="auto"/>
              <w:ind w:left="60" w:right="60"/>
              <w:jc w:val="right"/>
            </w:pPr>
            <w:r>
              <w:t>8.13155</w:t>
            </w:r>
          </w:p>
        </w:tc>
        <w:tc>
          <w:tcPr>
            <w:tcW w:w="900" w:type="dxa"/>
            <w:tcBorders>
              <w:top w:val="nil"/>
              <w:left w:val="single" w:sz="6" w:space="0" w:color="E0E0E0"/>
              <w:bottom w:val="nil"/>
              <w:right w:val="single" w:sz="6" w:space="0" w:color="E0E0E0"/>
            </w:tcBorders>
            <w:shd w:val="clear" w:color="auto" w:fill="F9F9FB"/>
            <w:tcMar>
              <w:top w:w="0" w:type="dxa"/>
              <w:left w:w="0" w:type="dxa"/>
              <w:bottom w:w="0" w:type="dxa"/>
              <w:right w:w="0" w:type="dxa"/>
            </w:tcMar>
          </w:tcPr>
          <w:p w14:paraId="10CF6BE0" w14:textId="77777777" w:rsidR="009E4375" w:rsidRDefault="00000000">
            <w:pPr>
              <w:spacing w:before="0" w:after="0" w:line="276" w:lineRule="auto"/>
              <w:ind w:left="60" w:right="60"/>
              <w:jc w:val="right"/>
            </w:pPr>
            <w:r>
              <w:t>.144</w:t>
            </w:r>
          </w:p>
        </w:tc>
        <w:tc>
          <w:tcPr>
            <w:tcW w:w="1335" w:type="dxa"/>
            <w:tcBorders>
              <w:top w:val="nil"/>
              <w:left w:val="nil"/>
              <w:bottom w:val="nil"/>
              <w:right w:val="nil"/>
            </w:tcBorders>
            <w:shd w:val="clear" w:color="auto" w:fill="F9F9FB"/>
            <w:tcMar>
              <w:top w:w="0" w:type="dxa"/>
              <w:left w:w="0" w:type="dxa"/>
              <w:bottom w:w="0" w:type="dxa"/>
              <w:right w:w="0" w:type="dxa"/>
            </w:tcMar>
          </w:tcPr>
          <w:p w14:paraId="10CF6BE1" w14:textId="77777777" w:rsidR="009E4375" w:rsidRDefault="00000000">
            <w:pPr>
              <w:spacing w:before="0" w:after="0" w:line="276" w:lineRule="auto"/>
              <w:ind w:left="60" w:right="60"/>
              <w:jc w:val="right"/>
            </w:pPr>
            <w:r>
              <w:t>-4.1152</w:t>
            </w:r>
          </w:p>
        </w:tc>
        <w:tc>
          <w:tcPr>
            <w:tcW w:w="1305" w:type="dxa"/>
            <w:tcBorders>
              <w:top w:val="nil"/>
              <w:left w:val="single" w:sz="6" w:space="0" w:color="E0E0E0"/>
              <w:bottom w:val="nil"/>
              <w:right w:val="nil"/>
            </w:tcBorders>
            <w:shd w:val="clear" w:color="auto" w:fill="F9F9FB"/>
            <w:tcMar>
              <w:top w:w="0" w:type="dxa"/>
              <w:left w:w="0" w:type="dxa"/>
              <w:bottom w:w="0" w:type="dxa"/>
              <w:right w:w="0" w:type="dxa"/>
            </w:tcMar>
          </w:tcPr>
          <w:p w14:paraId="10CF6BE2" w14:textId="77777777" w:rsidR="009E4375" w:rsidRDefault="00000000">
            <w:pPr>
              <w:spacing w:before="0" w:after="0" w:line="276" w:lineRule="auto"/>
              <w:ind w:left="60" w:right="60"/>
              <w:jc w:val="right"/>
            </w:pPr>
            <w:r>
              <w:t>27.9511</w:t>
            </w:r>
          </w:p>
          <w:p w14:paraId="10CF6BE3" w14:textId="77777777" w:rsidR="009E4375" w:rsidRDefault="009E4375">
            <w:pPr>
              <w:spacing w:before="0" w:after="0" w:line="276" w:lineRule="auto"/>
              <w:ind w:left="60" w:right="60"/>
              <w:jc w:val="right"/>
            </w:pPr>
          </w:p>
        </w:tc>
      </w:tr>
      <w:tr w:rsidR="009E4375" w14:paraId="10CF6BE8" w14:textId="77777777">
        <w:trPr>
          <w:trHeight w:val="566"/>
        </w:trPr>
        <w:tc>
          <w:tcPr>
            <w:tcW w:w="9780" w:type="dxa"/>
            <w:gridSpan w:val="8"/>
            <w:tcBorders>
              <w:top w:val="nil"/>
              <w:left w:val="nil"/>
              <w:bottom w:val="nil"/>
              <w:right w:val="nil"/>
            </w:tcBorders>
            <w:shd w:val="clear" w:color="auto" w:fill="FFFFFF"/>
            <w:tcMar>
              <w:top w:w="0" w:type="dxa"/>
              <w:left w:w="0" w:type="dxa"/>
              <w:bottom w:w="0" w:type="dxa"/>
              <w:right w:w="0" w:type="dxa"/>
            </w:tcMar>
          </w:tcPr>
          <w:p w14:paraId="10CF6BE5" w14:textId="77777777" w:rsidR="009E4375" w:rsidRDefault="00000000">
            <w:pPr>
              <w:spacing w:before="0" w:after="0" w:line="276" w:lineRule="auto"/>
              <w:ind w:left="60" w:right="60"/>
              <w:rPr>
                <w:sz w:val="22"/>
                <w:szCs w:val="22"/>
              </w:rPr>
            </w:pPr>
            <w:r>
              <w:rPr>
                <w:i/>
                <w:iCs/>
                <w:sz w:val="22"/>
                <w:szCs w:val="22"/>
              </w:rPr>
              <w:t>Note</w:t>
            </w:r>
            <w:r>
              <w:rPr>
                <w:sz w:val="22"/>
                <w:szCs w:val="22"/>
              </w:rPr>
              <w:t>. Based on observed means.</w:t>
            </w:r>
          </w:p>
          <w:p w14:paraId="10CF6BE6" w14:textId="77777777" w:rsidR="009E4375" w:rsidRDefault="00000000">
            <w:pPr>
              <w:spacing w:before="0" w:after="0" w:line="276" w:lineRule="auto"/>
              <w:ind w:left="60" w:right="60"/>
              <w:rPr>
                <w:sz w:val="22"/>
                <w:szCs w:val="22"/>
              </w:rPr>
            </w:pPr>
            <w:r>
              <w:rPr>
                <w:sz w:val="22"/>
                <w:szCs w:val="22"/>
              </w:rPr>
              <w:t xml:space="preserve"> The error term is Mean </w:t>
            </w:r>
            <w:proofErr w:type="gramStart"/>
            <w:r>
              <w:rPr>
                <w:sz w:val="22"/>
                <w:szCs w:val="22"/>
              </w:rPr>
              <w:t>Square(</w:t>
            </w:r>
            <w:proofErr w:type="gramEnd"/>
            <w:r>
              <w:rPr>
                <w:sz w:val="22"/>
                <w:szCs w:val="22"/>
              </w:rPr>
              <w:t>Error) = 495.543.</w:t>
            </w:r>
          </w:p>
          <w:p w14:paraId="10CF6BE7" w14:textId="77777777" w:rsidR="009E4375" w:rsidRDefault="00000000">
            <w:pPr>
              <w:spacing w:before="0" w:after="0" w:line="276" w:lineRule="auto"/>
              <w:ind w:left="60" w:right="60"/>
              <w:rPr>
                <w:sz w:val="22"/>
                <w:szCs w:val="22"/>
              </w:rPr>
            </w:pPr>
            <w:r>
              <w:rPr>
                <w:sz w:val="22"/>
                <w:szCs w:val="22"/>
              </w:rPr>
              <w:t>*. The mean difference is significant at the .05 level.</w:t>
            </w:r>
          </w:p>
        </w:tc>
      </w:tr>
    </w:tbl>
    <w:p w14:paraId="10CF6BE9" w14:textId="77777777" w:rsidR="009E4375" w:rsidRDefault="009E4375">
      <w:pPr>
        <w:spacing w:before="0" w:after="0"/>
      </w:pPr>
    </w:p>
    <w:p w14:paraId="310C73DD" w14:textId="77777777" w:rsidR="0081771D" w:rsidRDefault="0081771D">
      <w:pPr>
        <w:spacing w:before="0" w:after="0"/>
      </w:pPr>
    </w:p>
    <w:p w14:paraId="4D5EEA83" w14:textId="77777777" w:rsidR="0081771D" w:rsidRDefault="0081771D">
      <w:pPr>
        <w:spacing w:before="0" w:after="0"/>
      </w:pPr>
    </w:p>
    <w:p w14:paraId="10CF6BEA" w14:textId="77777777" w:rsidR="009E4375" w:rsidRDefault="009E4375">
      <w:pPr>
        <w:spacing w:before="0" w:after="0"/>
      </w:pPr>
    </w:p>
    <w:p w14:paraId="10CF6BEB" w14:textId="77777777" w:rsidR="009E4375" w:rsidRDefault="00000000">
      <w:pPr>
        <w:spacing w:before="0" w:after="200"/>
      </w:pPr>
      <w:r>
        <w:lastRenderedPageBreak/>
        <w:t>1.4</w:t>
      </w:r>
      <w:r>
        <w:tab/>
        <w:t xml:space="preserve">Is there a difference in QOL among deaf adults based on deaf or hard of hearing identity? </w:t>
      </w:r>
    </w:p>
    <w:p w14:paraId="39031DC0" w14:textId="10B9B606" w:rsidR="00182CE1" w:rsidRDefault="00000000" w:rsidP="00182CE1">
      <w:pPr>
        <w:spacing w:before="0" w:after="0"/>
        <w:ind w:firstLine="720"/>
      </w:pPr>
      <w:r>
        <w:t>An independent t-test was conducted to compare two groups in Table 7. The independent t-test result indicated no significant difference between the deaf and hard of hearing [</w:t>
      </w:r>
      <w:proofErr w:type="gramStart"/>
      <w:r>
        <w:t>t(</w:t>
      </w:r>
      <w:proofErr w:type="gramEnd"/>
      <w:r>
        <w:t xml:space="preserve">218) = - 0.548, p = .584, Cohen’s d = .1, indicating a small effect]. </w:t>
      </w:r>
    </w:p>
    <w:p w14:paraId="65C3AE83" w14:textId="77777777" w:rsidR="00182CE1" w:rsidRDefault="00182CE1" w:rsidP="00182CE1">
      <w:pPr>
        <w:spacing w:before="0" w:after="0"/>
        <w:ind w:firstLine="720"/>
      </w:pPr>
      <w:r>
        <w:t xml:space="preserve">A multivariate analysis of variance (MANOVA) was used to compare two groups, such as deaf and hard of hearing, in each subdomain of the QOL. Table 8 indicates the means and standard deviations for each group. The results of the MANOVA indicate that there was no significant difference between deaf and hard of hearing, in each QOL subdomain at the p &lt; .05 for the two groups [Box’s M = 4.26, p = .660, MANOVA </w:t>
      </w:r>
      <w:proofErr w:type="gramStart"/>
      <w:r>
        <w:t>F(</w:t>
      </w:r>
      <w:proofErr w:type="gramEnd"/>
      <w:r>
        <w:t>3, 216) = 1.702, p = .</w:t>
      </w:r>
      <w:proofErr w:type="gramStart"/>
      <w:r>
        <w:t>168,  Wilk’s</w:t>
      </w:r>
      <w:proofErr w:type="gramEnd"/>
      <w:r>
        <w:t xml:space="preserve"> λ = .977, partial η</w:t>
      </w:r>
      <m:oMath>
        <m:r>
          <w:rPr>
            <w:rFonts w:ascii="Cambria Math" w:hAnsi="Cambria Math"/>
          </w:rPr>
          <m:t>2</m:t>
        </m:r>
      </m:oMath>
      <w:r>
        <w:t xml:space="preserve"> = .023].</w:t>
      </w:r>
    </w:p>
    <w:p w14:paraId="3EBB959C" w14:textId="77777777" w:rsidR="00182CE1" w:rsidRDefault="00182CE1" w:rsidP="00D02B44">
      <w:pPr>
        <w:spacing w:before="0" w:after="0"/>
      </w:pPr>
    </w:p>
    <w:p w14:paraId="10CF6BEE" w14:textId="77777777" w:rsidR="009E4375" w:rsidRDefault="00000000">
      <w:pPr>
        <w:spacing w:before="0" w:after="0"/>
        <w:rPr>
          <w:b/>
          <w:bCs/>
        </w:rPr>
      </w:pPr>
      <w:r>
        <w:rPr>
          <w:b/>
          <w:bCs/>
        </w:rPr>
        <w:t>Table 7</w:t>
      </w:r>
    </w:p>
    <w:p w14:paraId="10CF6BEF" w14:textId="77777777" w:rsidR="009E4375" w:rsidRDefault="00000000">
      <w:pPr>
        <w:spacing w:line="276" w:lineRule="auto"/>
      </w:pPr>
      <w:r>
        <w:rPr>
          <w:i/>
          <w:iCs/>
        </w:rPr>
        <w:t>Independent Samples T-Test Comparing Deaf and Hard of Hearing</w:t>
      </w:r>
    </w:p>
    <w:tbl>
      <w:tblPr>
        <w:tblStyle w:val="a5"/>
        <w:tblW w:w="92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560"/>
        <w:gridCol w:w="2040"/>
        <w:gridCol w:w="990"/>
        <w:gridCol w:w="1335"/>
        <w:gridCol w:w="1575"/>
        <w:gridCol w:w="1710"/>
      </w:tblGrid>
      <w:tr w:rsidR="009E4375" w14:paraId="10CF6BF1" w14:textId="77777777">
        <w:trPr>
          <w:trHeight w:val="315"/>
        </w:trPr>
        <w:tc>
          <w:tcPr>
            <w:tcW w:w="9210" w:type="dxa"/>
            <w:gridSpan w:val="6"/>
            <w:tcBorders>
              <w:top w:val="nil"/>
              <w:left w:val="nil"/>
              <w:bottom w:val="nil"/>
              <w:right w:val="nil"/>
            </w:tcBorders>
            <w:shd w:val="clear" w:color="auto" w:fill="FFFFFF"/>
            <w:tcMar>
              <w:top w:w="0" w:type="dxa"/>
              <w:left w:w="0" w:type="dxa"/>
              <w:bottom w:w="0" w:type="dxa"/>
              <w:right w:w="0" w:type="dxa"/>
            </w:tcMar>
          </w:tcPr>
          <w:p w14:paraId="10CF6BF0" w14:textId="77777777" w:rsidR="009E4375" w:rsidRDefault="00000000">
            <w:pPr>
              <w:spacing w:before="0" w:after="0" w:line="276" w:lineRule="auto"/>
              <w:ind w:left="60" w:right="60"/>
              <w:jc w:val="center"/>
              <w:rPr>
                <w:b/>
                <w:bCs/>
              </w:rPr>
            </w:pPr>
            <w:r>
              <w:rPr>
                <w:b/>
                <w:bCs/>
              </w:rPr>
              <w:t>Group Statistics</w:t>
            </w:r>
          </w:p>
        </w:tc>
      </w:tr>
      <w:tr w:rsidR="009E4375" w14:paraId="10CF6BF8" w14:textId="77777777">
        <w:trPr>
          <w:trHeight w:val="635"/>
        </w:trPr>
        <w:tc>
          <w:tcPr>
            <w:tcW w:w="1560" w:type="dxa"/>
            <w:tcBorders>
              <w:top w:val="nil"/>
              <w:left w:val="nil"/>
              <w:bottom w:val="nil"/>
              <w:right w:val="nil"/>
            </w:tcBorders>
            <w:tcMar>
              <w:top w:w="0" w:type="dxa"/>
              <w:left w:w="0" w:type="dxa"/>
              <w:bottom w:w="0" w:type="dxa"/>
              <w:right w:w="0" w:type="dxa"/>
            </w:tcMar>
          </w:tcPr>
          <w:p w14:paraId="10CF6BF2" w14:textId="77777777" w:rsidR="009E4375" w:rsidRDefault="009E4375">
            <w:pPr>
              <w:spacing w:before="0" w:after="0" w:line="276" w:lineRule="auto"/>
            </w:pPr>
          </w:p>
        </w:tc>
        <w:tc>
          <w:tcPr>
            <w:tcW w:w="204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BF3" w14:textId="77777777" w:rsidR="009E4375" w:rsidRDefault="00000000">
            <w:pPr>
              <w:spacing w:before="0" w:after="0" w:line="276" w:lineRule="auto"/>
              <w:ind w:right="60"/>
            </w:pPr>
            <w:r>
              <w:t>Hearing Status</w:t>
            </w:r>
          </w:p>
        </w:tc>
        <w:tc>
          <w:tcPr>
            <w:tcW w:w="99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BF4" w14:textId="77777777" w:rsidR="009E4375" w:rsidRDefault="00000000">
            <w:pPr>
              <w:spacing w:before="0" w:after="0" w:line="276" w:lineRule="auto"/>
              <w:ind w:left="60" w:right="60"/>
              <w:jc w:val="center"/>
            </w:pPr>
            <w:r>
              <w:t>N</w:t>
            </w:r>
          </w:p>
        </w:tc>
        <w:tc>
          <w:tcPr>
            <w:tcW w:w="1335"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BF5" w14:textId="77777777" w:rsidR="009E4375" w:rsidRDefault="00000000">
            <w:pPr>
              <w:spacing w:before="0" w:after="0" w:line="276" w:lineRule="auto"/>
              <w:ind w:left="60" w:right="60"/>
              <w:jc w:val="center"/>
            </w:pPr>
            <w:r>
              <w:t>Mean</w:t>
            </w:r>
          </w:p>
        </w:tc>
        <w:tc>
          <w:tcPr>
            <w:tcW w:w="1575"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BF6" w14:textId="77777777" w:rsidR="009E4375" w:rsidRDefault="00000000">
            <w:pPr>
              <w:spacing w:before="0" w:after="0" w:line="276" w:lineRule="auto"/>
              <w:ind w:right="60"/>
              <w:jc w:val="center"/>
            </w:pPr>
            <w:r>
              <w:t>Std. Deviation</w:t>
            </w:r>
          </w:p>
        </w:tc>
        <w:tc>
          <w:tcPr>
            <w:tcW w:w="171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BF7" w14:textId="77777777" w:rsidR="009E4375" w:rsidRDefault="00000000">
            <w:pPr>
              <w:spacing w:before="0" w:after="0" w:line="276" w:lineRule="auto"/>
              <w:ind w:left="60" w:right="60"/>
              <w:jc w:val="center"/>
            </w:pPr>
            <w:r>
              <w:t>Std. Error Mean</w:t>
            </w:r>
          </w:p>
        </w:tc>
      </w:tr>
      <w:tr w:rsidR="009E4375" w14:paraId="10CF6BFF" w14:textId="77777777">
        <w:trPr>
          <w:trHeight w:val="360"/>
        </w:trPr>
        <w:tc>
          <w:tcPr>
            <w:tcW w:w="1560" w:type="dxa"/>
            <w:vMerge w:val="restart"/>
            <w:tcBorders>
              <w:top w:val="single" w:sz="5" w:space="0" w:color="152935"/>
              <w:left w:val="nil"/>
              <w:bottom w:val="single" w:sz="5" w:space="0" w:color="152935"/>
              <w:right w:val="nil"/>
            </w:tcBorders>
            <w:shd w:val="clear" w:color="auto" w:fill="E0E0E0"/>
            <w:tcMar>
              <w:top w:w="0" w:type="dxa"/>
              <w:left w:w="0" w:type="dxa"/>
              <w:bottom w:w="0" w:type="dxa"/>
              <w:right w:w="0" w:type="dxa"/>
            </w:tcMar>
          </w:tcPr>
          <w:p w14:paraId="10CF6BF9" w14:textId="77777777" w:rsidR="009E4375" w:rsidRDefault="00000000">
            <w:pPr>
              <w:spacing w:before="0" w:after="0" w:line="276" w:lineRule="auto"/>
              <w:ind w:left="60" w:right="60"/>
            </w:pPr>
            <w:r>
              <w:t>Overall QOL</w:t>
            </w:r>
          </w:p>
        </w:tc>
        <w:tc>
          <w:tcPr>
            <w:tcW w:w="2040" w:type="dxa"/>
            <w:tcBorders>
              <w:top w:val="nil"/>
              <w:left w:val="nil"/>
              <w:bottom w:val="single" w:sz="5" w:space="0" w:color="AEAEAE"/>
              <w:right w:val="nil"/>
            </w:tcBorders>
            <w:shd w:val="clear" w:color="auto" w:fill="E0E0E0"/>
            <w:tcMar>
              <w:top w:w="0" w:type="dxa"/>
              <w:left w:w="0" w:type="dxa"/>
              <w:bottom w:w="0" w:type="dxa"/>
              <w:right w:w="0" w:type="dxa"/>
            </w:tcMar>
          </w:tcPr>
          <w:p w14:paraId="10CF6BFA" w14:textId="77777777" w:rsidR="009E4375" w:rsidRDefault="00000000">
            <w:pPr>
              <w:spacing w:before="0" w:after="0" w:line="276" w:lineRule="auto"/>
              <w:ind w:left="60" w:right="60"/>
            </w:pPr>
            <w:r>
              <w:t>Deaf</w:t>
            </w:r>
          </w:p>
        </w:tc>
        <w:tc>
          <w:tcPr>
            <w:tcW w:w="990" w:type="dxa"/>
            <w:tcBorders>
              <w:top w:val="nil"/>
              <w:left w:val="nil"/>
              <w:bottom w:val="single" w:sz="5" w:space="0" w:color="AEAEAE"/>
              <w:right w:val="nil"/>
            </w:tcBorders>
            <w:shd w:val="clear" w:color="auto" w:fill="F9F9FB"/>
            <w:tcMar>
              <w:top w:w="0" w:type="dxa"/>
              <w:left w:w="0" w:type="dxa"/>
              <w:bottom w:w="0" w:type="dxa"/>
              <w:right w:w="0" w:type="dxa"/>
            </w:tcMar>
          </w:tcPr>
          <w:p w14:paraId="10CF6BFB" w14:textId="77777777" w:rsidR="009E4375" w:rsidRDefault="00000000">
            <w:pPr>
              <w:spacing w:before="0" w:after="0" w:line="276" w:lineRule="auto"/>
              <w:ind w:left="60" w:right="60"/>
              <w:jc w:val="right"/>
            </w:pPr>
            <w:r>
              <w:t>185</w:t>
            </w:r>
          </w:p>
        </w:tc>
        <w:tc>
          <w:tcPr>
            <w:tcW w:w="133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BFC" w14:textId="77777777" w:rsidR="009E4375" w:rsidRDefault="00000000">
            <w:pPr>
              <w:spacing w:before="0" w:after="0" w:line="276" w:lineRule="auto"/>
              <w:ind w:left="60" w:right="60"/>
              <w:jc w:val="right"/>
            </w:pPr>
            <w:r>
              <w:t>54.19</w:t>
            </w:r>
          </w:p>
        </w:tc>
        <w:tc>
          <w:tcPr>
            <w:tcW w:w="157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BFD" w14:textId="77777777" w:rsidR="009E4375" w:rsidRDefault="00000000">
            <w:pPr>
              <w:spacing w:before="0" w:after="0" w:line="276" w:lineRule="auto"/>
              <w:ind w:left="60" w:right="60"/>
              <w:jc w:val="right"/>
            </w:pPr>
            <w:r>
              <w:t>12.74</w:t>
            </w:r>
          </w:p>
        </w:tc>
        <w:tc>
          <w:tcPr>
            <w:tcW w:w="171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BFE" w14:textId="77777777" w:rsidR="009E4375" w:rsidRDefault="00000000">
            <w:pPr>
              <w:spacing w:before="0" w:after="0" w:line="276" w:lineRule="auto"/>
              <w:ind w:left="60" w:right="60"/>
              <w:jc w:val="right"/>
            </w:pPr>
            <w:r>
              <w:t>.93702</w:t>
            </w:r>
          </w:p>
        </w:tc>
      </w:tr>
      <w:tr w:rsidR="009E4375" w14:paraId="10CF6C06" w14:textId="77777777" w:rsidTr="007427C2">
        <w:trPr>
          <w:trHeight w:val="248"/>
        </w:trPr>
        <w:tc>
          <w:tcPr>
            <w:tcW w:w="1560" w:type="dxa"/>
            <w:vMerge/>
            <w:tcBorders>
              <w:top w:val="single" w:sz="5" w:space="0" w:color="152935"/>
              <w:left w:val="nil"/>
              <w:bottom w:val="single" w:sz="5" w:space="0" w:color="152935"/>
              <w:right w:val="nil"/>
            </w:tcBorders>
            <w:tcMar>
              <w:top w:w="100" w:type="dxa"/>
              <w:left w:w="100" w:type="dxa"/>
              <w:bottom w:w="100" w:type="dxa"/>
              <w:right w:w="100" w:type="dxa"/>
            </w:tcMar>
          </w:tcPr>
          <w:p w14:paraId="10CF6C00" w14:textId="77777777" w:rsidR="009E4375" w:rsidRDefault="009E4375"/>
        </w:tc>
        <w:tc>
          <w:tcPr>
            <w:tcW w:w="2040" w:type="dxa"/>
            <w:tcBorders>
              <w:top w:val="nil"/>
              <w:left w:val="nil"/>
              <w:bottom w:val="single" w:sz="5" w:space="0" w:color="152935"/>
              <w:right w:val="nil"/>
            </w:tcBorders>
            <w:shd w:val="clear" w:color="auto" w:fill="E0E0E0"/>
            <w:tcMar>
              <w:top w:w="0" w:type="dxa"/>
              <w:left w:w="0" w:type="dxa"/>
              <w:bottom w:w="0" w:type="dxa"/>
              <w:right w:w="0" w:type="dxa"/>
            </w:tcMar>
          </w:tcPr>
          <w:p w14:paraId="10CF6C01" w14:textId="77777777" w:rsidR="009E4375" w:rsidRDefault="00000000">
            <w:pPr>
              <w:spacing w:before="0" w:after="0" w:line="276" w:lineRule="auto"/>
              <w:ind w:left="60" w:right="60"/>
            </w:pPr>
            <w:r>
              <w:t>Hard of Hearing</w:t>
            </w:r>
          </w:p>
        </w:tc>
        <w:tc>
          <w:tcPr>
            <w:tcW w:w="990" w:type="dxa"/>
            <w:tcBorders>
              <w:top w:val="nil"/>
              <w:left w:val="nil"/>
              <w:bottom w:val="single" w:sz="5" w:space="0" w:color="152935"/>
              <w:right w:val="nil"/>
            </w:tcBorders>
            <w:shd w:val="clear" w:color="auto" w:fill="F9F9FB"/>
            <w:tcMar>
              <w:top w:w="0" w:type="dxa"/>
              <w:left w:w="0" w:type="dxa"/>
              <w:bottom w:w="0" w:type="dxa"/>
              <w:right w:w="0" w:type="dxa"/>
            </w:tcMar>
          </w:tcPr>
          <w:p w14:paraId="10CF6C02" w14:textId="77777777" w:rsidR="009E4375" w:rsidRDefault="00000000">
            <w:pPr>
              <w:spacing w:before="0" w:after="0" w:line="276" w:lineRule="auto"/>
              <w:ind w:left="60" w:right="60"/>
              <w:jc w:val="right"/>
            </w:pPr>
            <w:r>
              <w:t>35</w:t>
            </w:r>
          </w:p>
        </w:tc>
        <w:tc>
          <w:tcPr>
            <w:tcW w:w="133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03" w14:textId="77777777" w:rsidR="009E4375" w:rsidRDefault="00000000">
            <w:pPr>
              <w:spacing w:before="0" w:after="0" w:line="276" w:lineRule="auto"/>
              <w:ind w:left="60" w:right="60"/>
              <w:jc w:val="right"/>
            </w:pPr>
            <w:r>
              <w:t>55.48</w:t>
            </w:r>
          </w:p>
        </w:tc>
        <w:tc>
          <w:tcPr>
            <w:tcW w:w="157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04" w14:textId="77777777" w:rsidR="009E4375" w:rsidRDefault="00000000">
            <w:pPr>
              <w:spacing w:before="0" w:after="0" w:line="276" w:lineRule="auto"/>
              <w:ind w:left="60" w:right="60"/>
              <w:jc w:val="right"/>
            </w:pPr>
            <w:r>
              <w:t>12.99</w:t>
            </w:r>
          </w:p>
        </w:tc>
        <w:tc>
          <w:tcPr>
            <w:tcW w:w="171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05" w14:textId="77777777" w:rsidR="009E4375" w:rsidRDefault="00000000">
            <w:pPr>
              <w:spacing w:before="0" w:after="0" w:line="276" w:lineRule="auto"/>
              <w:ind w:left="60" w:right="60"/>
              <w:jc w:val="right"/>
            </w:pPr>
            <w:r>
              <w:t>2.19650</w:t>
            </w:r>
          </w:p>
        </w:tc>
      </w:tr>
    </w:tbl>
    <w:p w14:paraId="10CF6C09" w14:textId="77777777" w:rsidR="009E4375" w:rsidRDefault="009E4375" w:rsidP="00046306">
      <w:pPr>
        <w:spacing w:before="0" w:after="0"/>
      </w:pPr>
      <w:bookmarkStart w:id="69" w:name="_5gid1jfu4491" w:colFirst="0" w:colLast="0"/>
      <w:bookmarkEnd w:id="69"/>
    </w:p>
    <w:p w14:paraId="1105B0D3" w14:textId="77777777" w:rsidR="007427C2" w:rsidRDefault="007427C2" w:rsidP="00046306">
      <w:pPr>
        <w:spacing w:before="0" w:after="0"/>
      </w:pPr>
    </w:p>
    <w:p w14:paraId="10CF6C0A" w14:textId="77777777" w:rsidR="009E4375" w:rsidRDefault="00000000">
      <w:pPr>
        <w:spacing w:before="0" w:after="200"/>
        <w:rPr>
          <w:b/>
          <w:bCs/>
        </w:rPr>
      </w:pPr>
      <w:r>
        <w:rPr>
          <w:b/>
          <w:bCs/>
        </w:rPr>
        <w:t>Table 8</w:t>
      </w:r>
    </w:p>
    <w:p w14:paraId="10CF6C0B" w14:textId="77777777" w:rsidR="009E4375" w:rsidRDefault="00000000">
      <w:pPr>
        <w:spacing w:before="0" w:after="200"/>
        <w:rPr>
          <w:i/>
          <w:iCs/>
        </w:rPr>
      </w:pPr>
      <w:r>
        <w:rPr>
          <w:i/>
          <w:iCs/>
        </w:rPr>
        <w:t>Mean and Standard Deviation of Subdomains of QOL by Hearing Status</w:t>
      </w:r>
    </w:p>
    <w:tbl>
      <w:tblPr>
        <w:tblStyle w:val="a6"/>
        <w:tblW w:w="86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90"/>
        <w:gridCol w:w="2565"/>
        <w:gridCol w:w="1185"/>
        <w:gridCol w:w="1725"/>
        <w:gridCol w:w="975"/>
      </w:tblGrid>
      <w:tr w:rsidR="009E4375" w14:paraId="10CF6C0D" w14:textId="77777777">
        <w:trPr>
          <w:trHeight w:val="295"/>
        </w:trPr>
        <w:tc>
          <w:tcPr>
            <w:tcW w:w="8640" w:type="dxa"/>
            <w:gridSpan w:val="5"/>
            <w:tcBorders>
              <w:top w:val="nil"/>
              <w:left w:val="nil"/>
              <w:bottom w:val="nil"/>
              <w:right w:val="nil"/>
            </w:tcBorders>
            <w:shd w:val="clear" w:color="auto" w:fill="FFFFFF"/>
            <w:tcMar>
              <w:top w:w="0" w:type="dxa"/>
              <w:left w:w="0" w:type="dxa"/>
              <w:bottom w:w="0" w:type="dxa"/>
              <w:right w:w="0" w:type="dxa"/>
            </w:tcMar>
          </w:tcPr>
          <w:p w14:paraId="10CF6C0C" w14:textId="77777777" w:rsidR="009E4375" w:rsidRDefault="00000000" w:rsidP="0081771D">
            <w:pPr>
              <w:spacing w:before="0" w:after="0" w:line="240" w:lineRule="auto"/>
              <w:ind w:left="60" w:right="60"/>
              <w:jc w:val="center"/>
              <w:rPr>
                <w:b/>
                <w:bCs/>
                <w:color w:val="010205"/>
              </w:rPr>
            </w:pPr>
            <w:r>
              <w:rPr>
                <w:b/>
                <w:bCs/>
                <w:color w:val="010205"/>
              </w:rPr>
              <w:t>Descriptive Statistics</w:t>
            </w:r>
          </w:p>
        </w:tc>
      </w:tr>
      <w:tr w:rsidR="009E4375" w14:paraId="10CF6C13" w14:textId="77777777">
        <w:trPr>
          <w:trHeight w:val="240"/>
        </w:trPr>
        <w:tc>
          <w:tcPr>
            <w:tcW w:w="2190" w:type="dxa"/>
            <w:tcBorders>
              <w:top w:val="nil"/>
              <w:left w:val="nil"/>
              <w:bottom w:val="single" w:sz="5" w:space="0" w:color="000000"/>
              <w:right w:val="nil"/>
            </w:tcBorders>
            <w:tcMar>
              <w:top w:w="0" w:type="dxa"/>
              <w:left w:w="0" w:type="dxa"/>
              <w:bottom w:w="0" w:type="dxa"/>
              <w:right w:w="0" w:type="dxa"/>
            </w:tcMar>
          </w:tcPr>
          <w:p w14:paraId="10CF6C0E" w14:textId="77777777" w:rsidR="009E4375" w:rsidRDefault="00000000" w:rsidP="0081771D">
            <w:pPr>
              <w:spacing w:before="0" w:after="0" w:line="276" w:lineRule="auto"/>
              <w:rPr>
                <w:sz w:val="28"/>
                <w:szCs w:val="28"/>
              </w:rPr>
            </w:pPr>
            <w:r>
              <w:rPr>
                <w:sz w:val="28"/>
                <w:szCs w:val="28"/>
              </w:rPr>
              <w:t xml:space="preserve"> </w:t>
            </w:r>
          </w:p>
        </w:tc>
        <w:tc>
          <w:tcPr>
            <w:tcW w:w="2565" w:type="dxa"/>
            <w:tcBorders>
              <w:top w:val="nil"/>
              <w:left w:val="nil"/>
              <w:bottom w:val="single" w:sz="5" w:space="0" w:color="000000"/>
              <w:right w:val="nil"/>
            </w:tcBorders>
            <w:shd w:val="clear" w:color="auto" w:fill="FFFFFF"/>
            <w:tcMar>
              <w:top w:w="0" w:type="dxa"/>
              <w:left w:w="0" w:type="dxa"/>
              <w:bottom w:w="0" w:type="dxa"/>
              <w:right w:w="0" w:type="dxa"/>
            </w:tcMar>
            <w:vAlign w:val="bottom"/>
          </w:tcPr>
          <w:p w14:paraId="10CF6C0F" w14:textId="77777777" w:rsidR="009E4375" w:rsidRDefault="00000000" w:rsidP="0081771D">
            <w:pPr>
              <w:spacing w:before="0" w:after="0" w:line="240" w:lineRule="auto"/>
              <w:ind w:left="60" w:right="60"/>
            </w:pPr>
            <w:r>
              <w:t>Hearing Status</w:t>
            </w:r>
          </w:p>
        </w:tc>
        <w:tc>
          <w:tcPr>
            <w:tcW w:w="1185" w:type="dxa"/>
            <w:tcBorders>
              <w:top w:val="nil"/>
              <w:left w:val="nil"/>
              <w:bottom w:val="single" w:sz="5" w:space="0" w:color="000000"/>
              <w:right w:val="nil"/>
            </w:tcBorders>
            <w:shd w:val="clear" w:color="auto" w:fill="FFFFFF"/>
            <w:tcMar>
              <w:top w:w="0" w:type="dxa"/>
              <w:left w:w="0" w:type="dxa"/>
              <w:bottom w:w="0" w:type="dxa"/>
              <w:right w:w="0" w:type="dxa"/>
            </w:tcMar>
            <w:vAlign w:val="bottom"/>
          </w:tcPr>
          <w:p w14:paraId="10CF6C10" w14:textId="77777777" w:rsidR="009E4375" w:rsidRDefault="00000000" w:rsidP="0081771D">
            <w:pPr>
              <w:spacing w:before="0" w:after="0" w:line="240" w:lineRule="auto"/>
              <w:ind w:left="60" w:right="60"/>
              <w:jc w:val="center"/>
            </w:pPr>
            <w:r>
              <w:t>Mean</w:t>
            </w:r>
          </w:p>
        </w:tc>
        <w:tc>
          <w:tcPr>
            <w:tcW w:w="1725" w:type="dxa"/>
            <w:tcBorders>
              <w:top w:val="nil"/>
              <w:left w:val="single" w:sz="5" w:space="0" w:color="E0E0E0"/>
              <w:bottom w:val="single" w:sz="5" w:space="0" w:color="000000"/>
              <w:right w:val="nil"/>
            </w:tcBorders>
            <w:shd w:val="clear" w:color="auto" w:fill="FFFFFF"/>
            <w:tcMar>
              <w:top w:w="0" w:type="dxa"/>
              <w:left w:w="0" w:type="dxa"/>
              <w:bottom w:w="0" w:type="dxa"/>
              <w:right w:w="0" w:type="dxa"/>
            </w:tcMar>
            <w:vAlign w:val="bottom"/>
          </w:tcPr>
          <w:p w14:paraId="10CF6C11" w14:textId="77777777" w:rsidR="009E4375" w:rsidRDefault="00000000" w:rsidP="0081771D">
            <w:pPr>
              <w:spacing w:before="0" w:after="0" w:line="240" w:lineRule="auto"/>
              <w:ind w:left="60" w:right="60"/>
              <w:jc w:val="center"/>
            </w:pPr>
            <w:r>
              <w:t>Std. Deviation</w:t>
            </w:r>
          </w:p>
        </w:tc>
        <w:tc>
          <w:tcPr>
            <w:tcW w:w="975" w:type="dxa"/>
            <w:tcBorders>
              <w:top w:val="nil"/>
              <w:left w:val="single" w:sz="5" w:space="0" w:color="E0E0E0"/>
              <w:bottom w:val="single" w:sz="5" w:space="0" w:color="000000"/>
              <w:right w:val="nil"/>
            </w:tcBorders>
            <w:shd w:val="clear" w:color="auto" w:fill="FFFFFF"/>
            <w:tcMar>
              <w:top w:w="0" w:type="dxa"/>
              <w:left w:w="0" w:type="dxa"/>
              <w:bottom w:w="0" w:type="dxa"/>
              <w:right w:w="0" w:type="dxa"/>
            </w:tcMar>
            <w:vAlign w:val="bottom"/>
          </w:tcPr>
          <w:p w14:paraId="10CF6C12" w14:textId="77777777" w:rsidR="009E4375" w:rsidRDefault="00000000" w:rsidP="0081771D">
            <w:pPr>
              <w:spacing w:before="0" w:after="0" w:line="240" w:lineRule="auto"/>
              <w:ind w:left="60" w:right="60"/>
              <w:jc w:val="center"/>
            </w:pPr>
            <w:r>
              <w:t>N</w:t>
            </w:r>
          </w:p>
        </w:tc>
      </w:tr>
      <w:tr w:rsidR="009E4375" w14:paraId="10CF6C19" w14:textId="77777777" w:rsidTr="007427C2">
        <w:trPr>
          <w:trHeight w:val="285"/>
        </w:trPr>
        <w:tc>
          <w:tcPr>
            <w:tcW w:w="2190" w:type="dxa"/>
            <w:vMerge w:val="restart"/>
            <w:tcBorders>
              <w:top w:val="single" w:sz="5" w:space="0" w:color="000000"/>
              <w:left w:val="nil"/>
              <w:bottom w:val="nil"/>
              <w:right w:val="nil"/>
            </w:tcBorders>
            <w:shd w:val="clear" w:color="auto" w:fill="E0E0E0"/>
            <w:tcMar>
              <w:top w:w="0" w:type="dxa"/>
              <w:left w:w="0" w:type="dxa"/>
              <w:bottom w:w="0" w:type="dxa"/>
              <w:right w:w="0" w:type="dxa"/>
            </w:tcMar>
          </w:tcPr>
          <w:p w14:paraId="10CF6C14" w14:textId="77777777" w:rsidR="009E4375" w:rsidRDefault="00000000" w:rsidP="0081771D">
            <w:pPr>
              <w:spacing w:before="0" w:after="0" w:line="276" w:lineRule="auto"/>
              <w:ind w:left="60" w:right="60"/>
            </w:pPr>
            <w:proofErr w:type="spellStart"/>
            <w:r>
              <w:t>Self Acceptance</w:t>
            </w:r>
            <w:proofErr w:type="spellEnd"/>
            <w:r>
              <w:t xml:space="preserve"> / Advocacy</w:t>
            </w:r>
          </w:p>
        </w:tc>
        <w:tc>
          <w:tcPr>
            <w:tcW w:w="2565" w:type="dxa"/>
            <w:tcBorders>
              <w:top w:val="single" w:sz="5" w:space="0" w:color="000000"/>
              <w:left w:val="nil"/>
              <w:bottom w:val="single" w:sz="5" w:space="0" w:color="AEAEAE"/>
              <w:right w:val="nil"/>
            </w:tcBorders>
            <w:shd w:val="clear" w:color="auto" w:fill="E0E0E0"/>
            <w:tcMar>
              <w:top w:w="0" w:type="dxa"/>
              <w:left w:w="0" w:type="dxa"/>
              <w:bottom w:w="0" w:type="dxa"/>
              <w:right w:w="0" w:type="dxa"/>
            </w:tcMar>
          </w:tcPr>
          <w:p w14:paraId="10CF6C15" w14:textId="77777777" w:rsidR="009E4375" w:rsidRDefault="00000000" w:rsidP="0081771D">
            <w:pPr>
              <w:spacing w:before="0" w:after="0" w:line="240" w:lineRule="auto"/>
              <w:ind w:left="60" w:right="60"/>
            </w:pPr>
            <w:r>
              <w:t>Deaf</w:t>
            </w:r>
          </w:p>
        </w:tc>
        <w:tc>
          <w:tcPr>
            <w:tcW w:w="1185" w:type="dxa"/>
            <w:tcBorders>
              <w:top w:val="single" w:sz="5" w:space="0" w:color="000000"/>
              <w:left w:val="nil"/>
              <w:bottom w:val="single" w:sz="5" w:space="0" w:color="AEAEAE"/>
              <w:right w:val="nil"/>
            </w:tcBorders>
            <w:shd w:val="clear" w:color="auto" w:fill="F9F9FB"/>
            <w:tcMar>
              <w:top w:w="0" w:type="dxa"/>
              <w:left w:w="0" w:type="dxa"/>
              <w:bottom w:w="0" w:type="dxa"/>
              <w:right w:w="0" w:type="dxa"/>
            </w:tcMar>
          </w:tcPr>
          <w:p w14:paraId="10CF6C16" w14:textId="77777777" w:rsidR="009E4375" w:rsidRDefault="00000000" w:rsidP="0081771D">
            <w:pPr>
              <w:spacing w:before="0" w:after="0" w:line="240" w:lineRule="auto"/>
              <w:ind w:left="60" w:right="60"/>
              <w:jc w:val="right"/>
            </w:pPr>
            <w:r>
              <w:t>69.32</w:t>
            </w:r>
          </w:p>
        </w:tc>
        <w:tc>
          <w:tcPr>
            <w:tcW w:w="1725" w:type="dxa"/>
            <w:tcBorders>
              <w:top w:val="single" w:sz="5" w:space="0" w:color="000000"/>
              <w:left w:val="single" w:sz="5" w:space="0" w:color="E0E0E0"/>
              <w:bottom w:val="single" w:sz="5" w:space="0" w:color="AEAEAE"/>
              <w:right w:val="nil"/>
            </w:tcBorders>
            <w:shd w:val="clear" w:color="auto" w:fill="F9F9FB"/>
            <w:tcMar>
              <w:top w:w="0" w:type="dxa"/>
              <w:left w:w="0" w:type="dxa"/>
              <w:bottom w:w="0" w:type="dxa"/>
              <w:right w:w="0" w:type="dxa"/>
            </w:tcMar>
          </w:tcPr>
          <w:p w14:paraId="10CF6C17" w14:textId="77777777" w:rsidR="009E4375" w:rsidRDefault="00000000" w:rsidP="0081771D">
            <w:pPr>
              <w:spacing w:before="0" w:after="0" w:line="240" w:lineRule="auto"/>
              <w:ind w:left="60" w:right="60"/>
              <w:jc w:val="right"/>
            </w:pPr>
            <w:r>
              <w:t>18.15</w:t>
            </w:r>
          </w:p>
        </w:tc>
        <w:tc>
          <w:tcPr>
            <w:tcW w:w="975" w:type="dxa"/>
            <w:tcBorders>
              <w:top w:val="single" w:sz="5" w:space="0" w:color="000000"/>
              <w:left w:val="single" w:sz="5" w:space="0" w:color="E0E0E0"/>
              <w:bottom w:val="single" w:sz="5" w:space="0" w:color="AEAEAE"/>
              <w:right w:val="nil"/>
            </w:tcBorders>
            <w:shd w:val="clear" w:color="auto" w:fill="F9F9FB"/>
            <w:tcMar>
              <w:top w:w="0" w:type="dxa"/>
              <w:left w:w="0" w:type="dxa"/>
              <w:bottom w:w="0" w:type="dxa"/>
              <w:right w:w="0" w:type="dxa"/>
            </w:tcMar>
          </w:tcPr>
          <w:p w14:paraId="10CF6C18" w14:textId="77777777" w:rsidR="009E4375" w:rsidRDefault="00000000" w:rsidP="0081771D">
            <w:pPr>
              <w:spacing w:before="0" w:after="0" w:line="240" w:lineRule="auto"/>
              <w:ind w:left="60" w:right="60"/>
              <w:jc w:val="right"/>
            </w:pPr>
            <w:r>
              <w:t>185</w:t>
            </w:r>
          </w:p>
        </w:tc>
      </w:tr>
      <w:tr w:rsidR="009E4375" w14:paraId="10CF6C1F" w14:textId="77777777" w:rsidTr="007427C2">
        <w:trPr>
          <w:trHeight w:val="158"/>
        </w:trPr>
        <w:tc>
          <w:tcPr>
            <w:tcW w:w="2190" w:type="dxa"/>
            <w:vMerge/>
            <w:tcBorders>
              <w:top w:val="single" w:sz="5" w:space="0" w:color="152935"/>
              <w:left w:val="nil"/>
              <w:bottom w:val="nil"/>
              <w:right w:val="nil"/>
            </w:tcBorders>
            <w:tcMar>
              <w:top w:w="100" w:type="dxa"/>
              <w:left w:w="100" w:type="dxa"/>
              <w:bottom w:w="100" w:type="dxa"/>
              <w:right w:w="100" w:type="dxa"/>
            </w:tcMar>
          </w:tcPr>
          <w:p w14:paraId="10CF6C1A" w14:textId="77777777" w:rsidR="009E4375" w:rsidRDefault="009E4375" w:rsidP="0081771D">
            <w:pPr>
              <w:spacing w:before="0"/>
            </w:pPr>
          </w:p>
        </w:tc>
        <w:tc>
          <w:tcPr>
            <w:tcW w:w="2565" w:type="dxa"/>
            <w:tcBorders>
              <w:top w:val="nil"/>
              <w:left w:val="nil"/>
              <w:bottom w:val="single" w:sz="5" w:space="0" w:color="AEAEAE"/>
              <w:right w:val="nil"/>
            </w:tcBorders>
            <w:shd w:val="clear" w:color="auto" w:fill="E0E0E0"/>
            <w:tcMar>
              <w:top w:w="0" w:type="dxa"/>
              <w:left w:w="0" w:type="dxa"/>
              <w:bottom w:w="0" w:type="dxa"/>
              <w:right w:w="0" w:type="dxa"/>
            </w:tcMar>
          </w:tcPr>
          <w:p w14:paraId="10CF6C1B" w14:textId="77777777" w:rsidR="009E4375" w:rsidRDefault="00000000" w:rsidP="0081771D">
            <w:pPr>
              <w:spacing w:before="0" w:after="0" w:line="240" w:lineRule="auto"/>
              <w:ind w:left="60" w:right="60"/>
            </w:pPr>
            <w:r>
              <w:t>Hard of Hearing</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C1C" w14:textId="77777777" w:rsidR="009E4375" w:rsidRDefault="00000000" w:rsidP="0081771D">
            <w:pPr>
              <w:spacing w:before="0" w:after="0" w:line="240" w:lineRule="auto"/>
              <w:ind w:left="60" w:right="60"/>
              <w:jc w:val="right"/>
            </w:pPr>
            <w:r>
              <w:t>63.92</w:t>
            </w:r>
          </w:p>
        </w:tc>
        <w:tc>
          <w:tcPr>
            <w:tcW w:w="17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1D" w14:textId="77777777" w:rsidR="009E4375" w:rsidRDefault="00000000" w:rsidP="0081771D">
            <w:pPr>
              <w:spacing w:before="0" w:after="0" w:line="240" w:lineRule="auto"/>
              <w:ind w:left="60" w:right="60"/>
              <w:jc w:val="right"/>
            </w:pPr>
            <w:r>
              <w:t>15.83</w:t>
            </w:r>
          </w:p>
        </w:tc>
        <w:tc>
          <w:tcPr>
            <w:tcW w:w="97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1E" w14:textId="77777777" w:rsidR="009E4375" w:rsidRDefault="00000000" w:rsidP="0081771D">
            <w:pPr>
              <w:spacing w:before="0" w:after="0" w:line="240" w:lineRule="auto"/>
              <w:ind w:left="60" w:right="60"/>
              <w:jc w:val="right"/>
            </w:pPr>
            <w:r>
              <w:t>35</w:t>
            </w:r>
          </w:p>
        </w:tc>
      </w:tr>
      <w:tr w:rsidR="009E4375" w14:paraId="10CF6C25" w14:textId="77777777" w:rsidTr="007427C2">
        <w:trPr>
          <w:trHeight w:val="41"/>
        </w:trPr>
        <w:tc>
          <w:tcPr>
            <w:tcW w:w="2190" w:type="dxa"/>
            <w:vMerge/>
            <w:tcBorders>
              <w:top w:val="single" w:sz="5" w:space="0" w:color="152935"/>
              <w:left w:val="nil"/>
              <w:bottom w:val="nil"/>
              <w:right w:val="nil"/>
            </w:tcBorders>
            <w:tcMar>
              <w:top w:w="100" w:type="dxa"/>
              <w:left w:w="100" w:type="dxa"/>
              <w:bottom w:w="100" w:type="dxa"/>
              <w:right w:w="100" w:type="dxa"/>
            </w:tcMar>
          </w:tcPr>
          <w:p w14:paraId="10CF6C20" w14:textId="77777777" w:rsidR="009E4375" w:rsidRDefault="009E4375" w:rsidP="0081771D">
            <w:pPr>
              <w:spacing w:before="0"/>
            </w:pPr>
          </w:p>
        </w:tc>
        <w:tc>
          <w:tcPr>
            <w:tcW w:w="2565" w:type="dxa"/>
            <w:tcBorders>
              <w:top w:val="nil"/>
              <w:left w:val="nil"/>
              <w:bottom w:val="nil"/>
              <w:right w:val="nil"/>
            </w:tcBorders>
            <w:shd w:val="clear" w:color="auto" w:fill="E0E0E0"/>
            <w:tcMar>
              <w:top w:w="0" w:type="dxa"/>
              <w:left w:w="0" w:type="dxa"/>
              <w:bottom w:w="0" w:type="dxa"/>
              <w:right w:w="0" w:type="dxa"/>
            </w:tcMar>
          </w:tcPr>
          <w:p w14:paraId="10CF6C21" w14:textId="77777777" w:rsidR="009E4375" w:rsidRDefault="00000000" w:rsidP="0081771D">
            <w:pPr>
              <w:spacing w:before="0" w:after="0" w:line="240" w:lineRule="auto"/>
              <w:ind w:left="60" w:right="60"/>
            </w:pPr>
            <w:r>
              <w:t>Total</w:t>
            </w:r>
          </w:p>
        </w:tc>
        <w:tc>
          <w:tcPr>
            <w:tcW w:w="1185" w:type="dxa"/>
            <w:tcBorders>
              <w:top w:val="nil"/>
              <w:left w:val="nil"/>
              <w:bottom w:val="nil"/>
              <w:right w:val="nil"/>
            </w:tcBorders>
            <w:shd w:val="clear" w:color="auto" w:fill="F9F9FB"/>
            <w:tcMar>
              <w:top w:w="0" w:type="dxa"/>
              <w:left w:w="0" w:type="dxa"/>
              <w:bottom w:w="0" w:type="dxa"/>
              <w:right w:w="0" w:type="dxa"/>
            </w:tcMar>
          </w:tcPr>
          <w:p w14:paraId="10CF6C22" w14:textId="77777777" w:rsidR="009E4375" w:rsidRDefault="00000000" w:rsidP="0081771D">
            <w:pPr>
              <w:spacing w:before="0" w:after="0" w:line="240" w:lineRule="auto"/>
              <w:ind w:left="60" w:right="60"/>
              <w:jc w:val="right"/>
            </w:pPr>
            <w:r>
              <w:t>68.46</w:t>
            </w:r>
          </w:p>
        </w:tc>
        <w:tc>
          <w:tcPr>
            <w:tcW w:w="1725" w:type="dxa"/>
            <w:tcBorders>
              <w:top w:val="nil"/>
              <w:left w:val="single" w:sz="5" w:space="0" w:color="E0E0E0"/>
              <w:bottom w:val="nil"/>
              <w:right w:val="nil"/>
            </w:tcBorders>
            <w:shd w:val="clear" w:color="auto" w:fill="F9F9FB"/>
            <w:tcMar>
              <w:top w:w="0" w:type="dxa"/>
              <w:left w:w="0" w:type="dxa"/>
              <w:bottom w:w="0" w:type="dxa"/>
              <w:right w:w="0" w:type="dxa"/>
            </w:tcMar>
          </w:tcPr>
          <w:p w14:paraId="10CF6C23" w14:textId="77777777" w:rsidR="009E4375" w:rsidRDefault="00000000" w:rsidP="0081771D">
            <w:pPr>
              <w:spacing w:before="0" w:after="0" w:line="240" w:lineRule="auto"/>
              <w:ind w:left="60" w:right="60"/>
              <w:jc w:val="right"/>
            </w:pPr>
            <w:r>
              <w:t>17.87</w:t>
            </w:r>
          </w:p>
        </w:tc>
        <w:tc>
          <w:tcPr>
            <w:tcW w:w="975" w:type="dxa"/>
            <w:tcBorders>
              <w:top w:val="nil"/>
              <w:left w:val="single" w:sz="5" w:space="0" w:color="E0E0E0"/>
              <w:bottom w:val="nil"/>
              <w:right w:val="nil"/>
            </w:tcBorders>
            <w:shd w:val="clear" w:color="auto" w:fill="F9F9FB"/>
            <w:tcMar>
              <w:top w:w="0" w:type="dxa"/>
              <w:left w:w="0" w:type="dxa"/>
              <w:bottom w:w="0" w:type="dxa"/>
              <w:right w:w="0" w:type="dxa"/>
            </w:tcMar>
          </w:tcPr>
          <w:p w14:paraId="10CF6C24" w14:textId="77777777" w:rsidR="009E4375" w:rsidRDefault="00000000" w:rsidP="0081771D">
            <w:pPr>
              <w:spacing w:before="0" w:after="0" w:line="240" w:lineRule="auto"/>
              <w:ind w:left="60" w:right="60"/>
              <w:jc w:val="right"/>
            </w:pPr>
            <w:r>
              <w:t>220</w:t>
            </w:r>
          </w:p>
        </w:tc>
      </w:tr>
      <w:tr w:rsidR="009E4375" w14:paraId="10CF6C2B" w14:textId="77777777" w:rsidTr="007427C2">
        <w:trPr>
          <w:trHeight w:val="105"/>
        </w:trPr>
        <w:tc>
          <w:tcPr>
            <w:tcW w:w="2190" w:type="dxa"/>
            <w:vMerge w:val="restart"/>
            <w:tcBorders>
              <w:top w:val="single" w:sz="5" w:space="0" w:color="AEAEAE"/>
              <w:left w:val="nil"/>
              <w:bottom w:val="nil"/>
              <w:right w:val="nil"/>
            </w:tcBorders>
            <w:shd w:val="clear" w:color="auto" w:fill="E0E0E0"/>
            <w:tcMar>
              <w:top w:w="0" w:type="dxa"/>
              <w:left w:w="0" w:type="dxa"/>
              <w:bottom w:w="0" w:type="dxa"/>
              <w:right w:w="0" w:type="dxa"/>
            </w:tcMar>
          </w:tcPr>
          <w:p w14:paraId="10CF6C26" w14:textId="77777777" w:rsidR="009E4375" w:rsidRDefault="00000000" w:rsidP="0081771D">
            <w:pPr>
              <w:spacing w:before="0" w:after="0" w:line="349" w:lineRule="auto"/>
              <w:ind w:left="60" w:right="60"/>
            </w:pPr>
            <w:r>
              <w:t>Perceived Stigma</w:t>
            </w:r>
          </w:p>
        </w:tc>
        <w:tc>
          <w:tcPr>
            <w:tcW w:w="256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C27" w14:textId="77777777" w:rsidR="009E4375" w:rsidRDefault="00000000" w:rsidP="0081771D">
            <w:pPr>
              <w:spacing w:before="0" w:after="0" w:line="240" w:lineRule="auto"/>
              <w:ind w:left="60" w:right="60"/>
            </w:pPr>
            <w:r>
              <w:t>Deaf</w:t>
            </w:r>
          </w:p>
        </w:tc>
        <w:tc>
          <w:tcPr>
            <w:tcW w:w="118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C28" w14:textId="77777777" w:rsidR="009E4375" w:rsidRDefault="00000000" w:rsidP="0081771D">
            <w:pPr>
              <w:spacing w:before="0" w:after="0" w:line="240" w:lineRule="auto"/>
              <w:ind w:left="60" w:right="60"/>
              <w:jc w:val="right"/>
            </w:pPr>
            <w:r>
              <w:t>48.73</w:t>
            </w:r>
          </w:p>
        </w:tc>
        <w:tc>
          <w:tcPr>
            <w:tcW w:w="1725"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C29" w14:textId="77777777" w:rsidR="009E4375" w:rsidRDefault="00000000" w:rsidP="0081771D">
            <w:pPr>
              <w:spacing w:before="0" w:after="0" w:line="240" w:lineRule="auto"/>
              <w:ind w:left="60" w:right="60"/>
              <w:jc w:val="right"/>
            </w:pPr>
            <w:r>
              <w:t>25.13</w:t>
            </w:r>
          </w:p>
        </w:tc>
        <w:tc>
          <w:tcPr>
            <w:tcW w:w="975"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C2A" w14:textId="77777777" w:rsidR="009E4375" w:rsidRDefault="00000000" w:rsidP="0081771D">
            <w:pPr>
              <w:spacing w:before="0" w:after="0" w:line="240" w:lineRule="auto"/>
              <w:ind w:left="60" w:right="60"/>
              <w:jc w:val="right"/>
            </w:pPr>
            <w:r>
              <w:t>185</w:t>
            </w:r>
          </w:p>
        </w:tc>
      </w:tr>
      <w:tr w:rsidR="009E4375" w14:paraId="10CF6C31" w14:textId="77777777" w:rsidTr="007427C2">
        <w:trPr>
          <w:trHeight w:val="131"/>
        </w:trPr>
        <w:tc>
          <w:tcPr>
            <w:tcW w:w="2190" w:type="dxa"/>
            <w:vMerge/>
            <w:tcBorders>
              <w:top w:val="single" w:sz="5" w:space="0" w:color="AEAEAE"/>
              <w:left w:val="nil"/>
              <w:bottom w:val="nil"/>
              <w:right w:val="nil"/>
            </w:tcBorders>
            <w:tcMar>
              <w:top w:w="100" w:type="dxa"/>
              <w:left w:w="100" w:type="dxa"/>
              <w:bottom w:w="100" w:type="dxa"/>
              <w:right w:w="100" w:type="dxa"/>
            </w:tcMar>
          </w:tcPr>
          <w:p w14:paraId="10CF6C2C" w14:textId="77777777" w:rsidR="009E4375" w:rsidRDefault="009E4375" w:rsidP="0081771D">
            <w:pPr>
              <w:spacing w:before="0"/>
            </w:pPr>
          </w:p>
        </w:tc>
        <w:tc>
          <w:tcPr>
            <w:tcW w:w="2565" w:type="dxa"/>
            <w:tcBorders>
              <w:top w:val="nil"/>
              <w:left w:val="nil"/>
              <w:bottom w:val="single" w:sz="5" w:space="0" w:color="AEAEAE"/>
              <w:right w:val="nil"/>
            </w:tcBorders>
            <w:shd w:val="clear" w:color="auto" w:fill="E0E0E0"/>
            <w:tcMar>
              <w:top w:w="0" w:type="dxa"/>
              <w:left w:w="0" w:type="dxa"/>
              <w:bottom w:w="0" w:type="dxa"/>
              <w:right w:w="0" w:type="dxa"/>
            </w:tcMar>
          </w:tcPr>
          <w:p w14:paraId="10CF6C2D" w14:textId="77777777" w:rsidR="009E4375" w:rsidRDefault="00000000" w:rsidP="0081771D">
            <w:pPr>
              <w:spacing w:before="0" w:after="0" w:line="240" w:lineRule="auto"/>
              <w:ind w:left="60" w:right="60"/>
            </w:pPr>
            <w:r>
              <w:t>Hard of Hearing</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C2E" w14:textId="77777777" w:rsidR="009E4375" w:rsidRDefault="00000000" w:rsidP="0081771D">
            <w:pPr>
              <w:spacing w:before="0" w:after="0" w:line="240" w:lineRule="auto"/>
              <w:ind w:left="60" w:right="60"/>
              <w:jc w:val="right"/>
            </w:pPr>
            <w:r>
              <w:t>53.54</w:t>
            </w:r>
          </w:p>
        </w:tc>
        <w:tc>
          <w:tcPr>
            <w:tcW w:w="17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2F" w14:textId="77777777" w:rsidR="009E4375" w:rsidRDefault="00000000" w:rsidP="0081771D">
            <w:pPr>
              <w:spacing w:before="0" w:after="0" w:line="240" w:lineRule="auto"/>
              <w:ind w:left="60" w:right="60"/>
              <w:jc w:val="right"/>
            </w:pPr>
            <w:r>
              <w:t>23.65</w:t>
            </w:r>
          </w:p>
        </w:tc>
        <w:tc>
          <w:tcPr>
            <w:tcW w:w="97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30" w14:textId="77777777" w:rsidR="009E4375" w:rsidRDefault="00000000" w:rsidP="0081771D">
            <w:pPr>
              <w:spacing w:before="0" w:after="0" w:line="240" w:lineRule="auto"/>
              <w:ind w:left="60" w:right="60"/>
              <w:jc w:val="right"/>
            </w:pPr>
            <w:r>
              <w:t>35</w:t>
            </w:r>
          </w:p>
        </w:tc>
      </w:tr>
      <w:tr w:rsidR="009E4375" w14:paraId="10CF6C37" w14:textId="77777777" w:rsidTr="007427C2">
        <w:trPr>
          <w:trHeight w:val="113"/>
        </w:trPr>
        <w:tc>
          <w:tcPr>
            <w:tcW w:w="2190" w:type="dxa"/>
            <w:vMerge/>
            <w:tcBorders>
              <w:top w:val="single" w:sz="5" w:space="0" w:color="AEAEAE"/>
              <w:left w:val="nil"/>
              <w:bottom w:val="nil"/>
              <w:right w:val="nil"/>
            </w:tcBorders>
            <w:tcMar>
              <w:top w:w="100" w:type="dxa"/>
              <w:left w:w="100" w:type="dxa"/>
              <w:bottom w:w="100" w:type="dxa"/>
              <w:right w:w="100" w:type="dxa"/>
            </w:tcMar>
          </w:tcPr>
          <w:p w14:paraId="10CF6C32" w14:textId="77777777" w:rsidR="009E4375" w:rsidRDefault="009E4375" w:rsidP="0081771D">
            <w:pPr>
              <w:spacing w:before="0"/>
            </w:pPr>
          </w:p>
        </w:tc>
        <w:tc>
          <w:tcPr>
            <w:tcW w:w="2565" w:type="dxa"/>
            <w:tcBorders>
              <w:top w:val="nil"/>
              <w:left w:val="nil"/>
              <w:bottom w:val="nil"/>
              <w:right w:val="nil"/>
            </w:tcBorders>
            <w:shd w:val="clear" w:color="auto" w:fill="E0E0E0"/>
            <w:tcMar>
              <w:top w:w="0" w:type="dxa"/>
              <w:left w:w="0" w:type="dxa"/>
              <w:bottom w:w="0" w:type="dxa"/>
              <w:right w:w="0" w:type="dxa"/>
            </w:tcMar>
          </w:tcPr>
          <w:p w14:paraId="10CF6C33" w14:textId="77777777" w:rsidR="009E4375" w:rsidRDefault="00000000" w:rsidP="0081771D">
            <w:pPr>
              <w:spacing w:before="0" w:after="0" w:line="240" w:lineRule="auto"/>
              <w:ind w:left="60" w:right="60"/>
            </w:pPr>
            <w:r>
              <w:t>Total</w:t>
            </w:r>
          </w:p>
        </w:tc>
        <w:tc>
          <w:tcPr>
            <w:tcW w:w="1185" w:type="dxa"/>
            <w:tcBorders>
              <w:top w:val="nil"/>
              <w:left w:val="nil"/>
              <w:bottom w:val="nil"/>
              <w:right w:val="nil"/>
            </w:tcBorders>
            <w:shd w:val="clear" w:color="auto" w:fill="F9F9FB"/>
            <w:tcMar>
              <w:top w:w="0" w:type="dxa"/>
              <w:left w:w="0" w:type="dxa"/>
              <w:bottom w:w="0" w:type="dxa"/>
              <w:right w:w="0" w:type="dxa"/>
            </w:tcMar>
          </w:tcPr>
          <w:p w14:paraId="10CF6C34" w14:textId="77777777" w:rsidR="009E4375" w:rsidRDefault="00000000" w:rsidP="0081771D">
            <w:pPr>
              <w:spacing w:before="0" w:after="0" w:line="240" w:lineRule="auto"/>
              <w:ind w:left="60" w:right="60"/>
              <w:jc w:val="right"/>
            </w:pPr>
            <w:r>
              <w:t>49.49</w:t>
            </w:r>
          </w:p>
        </w:tc>
        <w:tc>
          <w:tcPr>
            <w:tcW w:w="1725" w:type="dxa"/>
            <w:tcBorders>
              <w:top w:val="nil"/>
              <w:left w:val="single" w:sz="5" w:space="0" w:color="E0E0E0"/>
              <w:bottom w:val="nil"/>
              <w:right w:val="nil"/>
            </w:tcBorders>
            <w:shd w:val="clear" w:color="auto" w:fill="F9F9FB"/>
            <w:tcMar>
              <w:top w:w="0" w:type="dxa"/>
              <w:left w:w="0" w:type="dxa"/>
              <w:bottom w:w="0" w:type="dxa"/>
              <w:right w:w="0" w:type="dxa"/>
            </w:tcMar>
          </w:tcPr>
          <w:p w14:paraId="10CF6C35" w14:textId="77777777" w:rsidR="009E4375" w:rsidRDefault="00000000" w:rsidP="0081771D">
            <w:pPr>
              <w:spacing w:before="0" w:after="0" w:line="240" w:lineRule="auto"/>
              <w:ind w:left="60" w:right="60"/>
              <w:jc w:val="right"/>
            </w:pPr>
            <w:r>
              <w:t>24.91</w:t>
            </w:r>
          </w:p>
        </w:tc>
        <w:tc>
          <w:tcPr>
            <w:tcW w:w="975" w:type="dxa"/>
            <w:tcBorders>
              <w:top w:val="nil"/>
              <w:left w:val="single" w:sz="5" w:space="0" w:color="E0E0E0"/>
              <w:bottom w:val="nil"/>
              <w:right w:val="nil"/>
            </w:tcBorders>
            <w:shd w:val="clear" w:color="auto" w:fill="F9F9FB"/>
            <w:tcMar>
              <w:top w:w="0" w:type="dxa"/>
              <w:left w:w="0" w:type="dxa"/>
              <w:bottom w:w="0" w:type="dxa"/>
              <w:right w:w="0" w:type="dxa"/>
            </w:tcMar>
          </w:tcPr>
          <w:p w14:paraId="10CF6C36" w14:textId="77777777" w:rsidR="009E4375" w:rsidRDefault="00000000" w:rsidP="0081771D">
            <w:pPr>
              <w:spacing w:before="0" w:after="0" w:line="240" w:lineRule="auto"/>
              <w:ind w:left="60" w:right="60"/>
              <w:jc w:val="right"/>
            </w:pPr>
            <w:r>
              <w:t>220</w:t>
            </w:r>
          </w:p>
        </w:tc>
      </w:tr>
      <w:tr w:rsidR="009E4375" w14:paraId="10CF6C3D" w14:textId="77777777" w:rsidTr="007427C2">
        <w:trPr>
          <w:trHeight w:val="348"/>
        </w:trPr>
        <w:tc>
          <w:tcPr>
            <w:tcW w:w="2190" w:type="dxa"/>
            <w:vMerge w:val="restart"/>
            <w:tcBorders>
              <w:top w:val="single" w:sz="5" w:space="0" w:color="AEAEAE"/>
              <w:left w:val="nil"/>
              <w:bottom w:val="single" w:sz="5" w:space="0" w:color="152935"/>
              <w:right w:val="nil"/>
            </w:tcBorders>
            <w:shd w:val="clear" w:color="auto" w:fill="E0E0E0"/>
            <w:tcMar>
              <w:top w:w="0" w:type="dxa"/>
              <w:left w:w="0" w:type="dxa"/>
              <w:bottom w:w="0" w:type="dxa"/>
              <w:right w:w="0" w:type="dxa"/>
            </w:tcMar>
          </w:tcPr>
          <w:p w14:paraId="10CF6C38" w14:textId="77777777" w:rsidR="009E4375" w:rsidRDefault="00000000" w:rsidP="0081771D">
            <w:pPr>
              <w:spacing w:before="0" w:after="0" w:line="349" w:lineRule="auto"/>
              <w:ind w:left="60" w:right="60"/>
            </w:pPr>
            <w:r>
              <w:t>Participation</w:t>
            </w:r>
          </w:p>
        </w:tc>
        <w:tc>
          <w:tcPr>
            <w:tcW w:w="256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C39" w14:textId="77777777" w:rsidR="009E4375" w:rsidRDefault="00000000" w:rsidP="0081771D">
            <w:pPr>
              <w:spacing w:before="0" w:after="0" w:line="240" w:lineRule="auto"/>
              <w:ind w:left="60" w:right="60"/>
            </w:pPr>
            <w:r>
              <w:t>Deaf</w:t>
            </w:r>
          </w:p>
        </w:tc>
        <w:tc>
          <w:tcPr>
            <w:tcW w:w="118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C3A" w14:textId="77777777" w:rsidR="009E4375" w:rsidRDefault="00000000" w:rsidP="0081771D">
            <w:pPr>
              <w:spacing w:before="0" w:after="0" w:line="240" w:lineRule="auto"/>
              <w:ind w:left="60" w:right="60"/>
              <w:jc w:val="right"/>
            </w:pPr>
            <w:r>
              <w:t>37.37</w:t>
            </w:r>
          </w:p>
        </w:tc>
        <w:tc>
          <w:tcPr>
            <w:tcW w:w="1725"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C3B" w14:textId="77777777" w:rsidR="009E4375" w:rsidRDefault="00000000" w:rsidP="0081771D">
            <w:pPr>
              <w:spacing w:before="0" w:after="0" w:line="240" w:lineRule="auto"/>
              <w:ind w:left="60" w:right="60"/>
              <w:jc w:val="right"/>
            </w:pPr>
            <w:r>
              <w:t>22.43</w:t>
            </w:r>
          </w:p>
        </w:tc>
        <w:tc>
          <w:tcPr>
            <w:tcW w:w="975"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C3C" w14:textId="77777777" w:rsidR="009E4375" w:rsidRDefault="00000000" w:rsidP="0081771D">
            <w:pPr>
              <w:spacing w:before="0" w:after="0" w:line="240" w:lineRule="auto"/>
              <w:ind w:left="60" w:right="60"/>
              <w:jc w:val="right"/>
            </w:pPr>
            <w:r>
              <w:t>185</w:t>
            </w:r>
          </w:p>
        </w:tc>
      </w:tr>
      <w:tr w:rsidR="009E4375" w14:paraId="10CF6C43" w14:textId="77777777" w:rsidTr="007427C2">
        <w:trPr>
          <w:trHeight w:val="68"/>
        </w:trPr>
        <w:tc>
          <w:tcPr>
            <w:tcW w:w="219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C3E" w14:textId="77777777" w:rsidR="009E4375" w:rsidRDefault="009E4375" w:rsidP="0081771D">
            <w:pPr>
              <w:spacing w:before="0"/>
            </w:pPr>
          </w:p>
        </w:tc>
        <w:tc>
          <w:tcPr>
            <w:tcW w:w="2565" w:type="dxa"/>
            <w:tcBorders>
              <w:top w:val="nil"/>
              <w:left w:val="nil"/>
              <w:bottom w:val="single" w:sz="5" w:space="0" w:color="AEAEAE"/>
              <w:right w:val="nil"/>
            </w:tcBorders>
            <w:shd w:val="clear" w:color="auto" w:fill="E0E0E0"/>
            <w:tcMar>
              <w:top w:w="0" w:type="dxa"/>
              <w:left w:w="0" w:type="dxa"/>
              <w:bottom w:w="0" w:type="dxa"/>
              <w:right w:w="0" w:type="dxa"/>
            </w:tcMar>
          </w:tcPr>
          <w:p w14:paraId="10CF6C3F" w14:textId="77777777" w:rsidR="009E4375" w:rsidRDefault="00000000" w:rsidP="0081771D">
            <w:pPr>
              <w:spacing w:before="0" w:after="0" w:line="240" w:lineRule="auto"/>
              <w:ind w:left="60" w:right="60"/>
            </w:pPr>
            <w:r>
              <w:t>Hard of Hearing</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C40" w14:textId="77777777" w:rsidR="009E4375" w:rsidRDefault="00000000" w:rsidP="0081771D">
            <w:pPr>
              <w:spacing w:before="0" w:after="0" w:line="240" w:lineRule="auto"/>
              <w:ind w:left="60" w:right="60"/>
              <w:jc w:val="right"/>
            </w:pPr>
            <w:r>
              <w:t>45.23</w:t>
            </w:r>
          </w:p>
        </w:tc>
        <w:tc>
          <w:tcPr>
            <w:tcW w:w="17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41" w14:textId="77777777" w:rsidR="009E4375" w:rsidRDefault="00000000" w:rsidP="0081771D">
            <w:pPr>
              <w:spacing w:before="0" w:after="0" w:line="240" w:lineRule="auto"/>
              <w:ind w:left="60" w:right="60"/>
              <w:jc w:val="right"/>
            </w:pPr>
            <w:r>
              <w:t>21.61</w:t>
            </w:r>
          </w:p>
        </w:tc>
        <w:tc>
          <w:tcPr>
            <w:tcW w:w="97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42" w14:textId="77777777" w:rsidR="009E4375" w:rsidRDefault="00000000" w:rsidP="0081771D">
            <w:pPr>
              <w:spacing w:before="0" w:after="0" w:line="240" w:lineRule="auto"/>
              <w:ind w:left="60" w:right="60"/>
              <w:jc w:val="right"/>
            </w:pPr>
            <w:r>
              <w:t>35</w:t>
            </w:r>
          </w:p>
        </w:tc>
      </w:tr>
      <w:tr w:rsidR="009E4375" w14:paraId="10CF6C49" w14:textId="77777777" w:rsidTr="007427C2">
        <w:trPr>
          <w:trHeight w:val="20"/>
        </w:trPr>
        <w:tc>
          <w:tcPr>
            <w:tcW w:w="219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C44" w14:textId="77777777" w:rsidR="009E4375" w:rsidRDefault="009E4375" w:rsidP="0081771D">
            <w:pPr>
              <w:spacing w:before="0"/>
            </w:pPr>
          </w:p>
        </w:tc>
        <w:tc>
          <w:tcPr>
            <w:tcW w:w="2565" w:type="dxa"/>
            <w:tcBorders>
              <w:top w:val="nil"/>
              <w:left w:val="nil"/>
              <w:bottom w:val="single" w:sz="5" w:space="0" w:color="152935"/>
              <w:right w:val="nil"/>
            </w:tcBorders>
            <w:shd w:val="clear" w:color="auto" w:fill="E0E0E0"/>
            <w:tcMar>
              <w:top w:w="0" w:type="dxa"/>
              <w:left w:w="0" w:type="dxa"/>
              <w:bottom w:w="0" w:type="dxa"/>
              <w:right w:w="0" w:type="dxa"/>
            </w:tcMar>
          </w:tcPr>
          <w:p w14:paraId="10CF6C45" w14:textId="77777777" w:rsidR="009E4375" w:rsidRDefault="00000000" w:rsidP="0081771D">
            <w:pPr>
              <w:spacing w:before="0" w:after="0" w:line="240" w:lineRule="auto"/>
              <w:ind w:left="60" w:right="60"/>
            </w:pPr>
            <w:r>
              <w:t>Total</w:t>
            </w:r>
          </w:p>
        </w:tc>
        <w:tc>
          <w:tcPr>
            <w:tcW w:w="1185" w:type="dxa"/>
            <w:tcBorders>
              <w:top w:val="nil"/>
              <w:left w:val="nil"/>
              <w:bottom w:val="single" w:sz="5" w:space="0" w:color="152935"/>
              <w:right w:val="nil"/>
            </w:tcBorders>
            <w:shd w:val="clear" w:color="auto" w:fill="F9F9FB"/>
            <w:tcMar>
              <w:top w:w="0" w:type="dxa"/>
              <w:left w:w="0" w:type="dxa"/>
              <w:bottom w:w="0" w:type="dxa"/>
              <w:right w:w="0" w:type="dxa"/>
            </w:tcMar>
          </w:tcPr>
          <w:p w14:paraId="10CF6C46" w14:textId="77777777" w:rsidR="009E4375" w:rsidRDefault="00000000" w:rsidP="0081771D">
            <w:pPr>
              <w:spacing w:before="0" w:after="0" w:line="240" w:lineRule="auto"/>
              <w:ind w:left="60" w:right="60"/>
              <w:jc w:val="right"/>
            </w:pPr>
            <w:r>
              <w:t>38.62</w:t>
            </w:r>
          </w:p>
        </w:tc>
        <w:tc>
          <w:tcPr>
            <w:tcW w:w="172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47" w14:textId="77777777" w:rsidR="009E4375" w:rsidRDefault="00000000" w:rsidP="0081771D">
            <w:pPr>
              <w:spacing w:before="0" w:after="0" w:line="240" w:lineRule="auto"/>
              <w:ind w:left="60" w:right="60"/>
              <w:jc w:val="right"/>
            </w:pPr>
            <w:r>
              <w:t>22.44</w:t>
            </w:r>
          </w:p>
        </w:tc>
        <w:tc>
          <w:tcPr>
            <w:tcW w:w="97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48" w14:textId="77777777" w:rsidR="009E4375" w:rsidRDefault="00000000" w:rsidP="0081771D">
            <w:pPr>
              <w:spacing w:before="0" w:after="0" w:line="240" w:lineRule="auto"/>
              <w:ind w:left="60" w:right="60"/>
              <w:jc w:val="right"/>
            </w:pPr>
            <w:r>
              <w:t>220</w:t>
            </w:r>
          </w:p>
        </w:tc>
      </w:tr>
    </w:tbl>
    <w:p w14:paraId="08544F46" w14:textId="77777777" w:rsidR="00182CE1" w:rsidRDefault="00182CE1" w:rsidP="00046306">
      <w:pPr>
        <w:spacing w:before="0" w:after="200"/>
        <w:ind w:firstLine="720"/>
      </w:pPr>
      <w:bookmarkStart w:id="70" w:name="_1b3agim8gasr" w:colFirst="0" w:colLast="0"/>
      <w:bookmarkEnd w:id="70"/>
    </w:p>
    <w:p w14:paraId="10CF6C4C" w14:textId="4731208E" w:rsidR="009E4375" w:rsidRDefault="00000000">
      <w:pPr>
        <w:pStyle w:val="Heading4"/>
      </w:pPr>
      <w:bookmarkStart w:id="71" w:name="_Toc214490424"/>
      <w:r>
        <w:t>Research Question 2</w:t>
      </w:r>
      <w:bookmarkEnd w:id="71"/>
    </w:p>
    <w:p w14:paraId="10CF6C4D" w14:textId="77777777" w:rsidR="009E4375" w:rsidRDefault="00000000">
      <w:pPr>
        <w:spacing w:before="0" w:after="0"/>
      </w:pPr>
      <w:r>
        <w:t xml:space="preserve">2. </w:t>
      </w:r>
      <w:r>
        <w:tab/>
        <w:t>What is the relationship between deaf Malaysians’ satisfaction with the signed communication used during one’s formative school years and their QOL in adulthood?</w:t>
      </w:r>
    </w:p>
    <w:p w14:paraId="10CF6C4E" w14:textId="77777777" w:rsidR="009E4375" w:rsidRDefault="009E4375">
      <w:pPr>
        <w:spacing w:before="0" w:after="0"/>
      </w:pPr>
    </w:p>
    <w:p w14:paraId="10CF6C4F" w14:textId="77777777" w:rsidR="009E4375" w:rsidRDefault="00000000">
      <w:pPr>
        <w:spacing w:line="436" w:lineRule="auto"/>
        <w:ind w:firstLine="720"/>
      </w:pPr>
      <w:r>
        <w:t>Spearman’s rank-order correlations were used to examine the relationship between participants’ satisfaction with signed communication and their reported QOL. In Table 9, there was a significant relationship with overall QOL</w:t>
      </w:r>
      <w:r>
        <w:rPr>
          <w:rFonts w:ascii="Arial Unicode MS" w:eastAsia="Arial Unicode MS" w:hAnsi="Arial Unicode MS" w:cs="Arial Unicode MS"/>
        </w:rPr>
        <w:t xml:space="preserve"> with school (⍴ = .</w:t>
      </w:r>
      <w:r>
        <w:t>22</w:t>
      </w:r>
      <w:r>
        <w:rPr>
          <w:rFonts w:ascii="Arial Unicode MS" w:eastAsia="Arial Unicode MS" w:hAnsi="Arial Unicode MS" w:cs="Arial Unicode MS"/>
        </w:rPr>
        <w:t>, p = .001) and family (⍴ = .24, p &lt; .001),</w:t>
      </w:r>
      <w:r>
        <w:t xml:space="preserve"> but not with the dorm. Self-acceptance/advocacy was significantly related to school, family, and dorm.</w:t>
      </w:r>
    </w:p>
    <w:p w14:paraId="10CF6C50" w14:textId="77777777" w:rsidR="009E4375" w:rsidRDefault="009E4375">
      <w:pPr>
        <w:spacing w:before="0" w:after="200"/>
        <w:rPr>
          <w:b/>
          <w:bCs/>
        </w:rPr>
      </w:pPr>
    </w:p>
    <w:p w14:paraId="30903D73" w14:textId="77777777" w:rsidR="00897D9F" w:rsidRDefault="00897D9F">
      <w:pPr>
        <w:spacing w:before="0" w:after="200"/>
        <w:rPr>
          <w:b/>
          <w:bCs/>
        </w:rPr>
      </w:pPr>
    </w:p>
    <w:p w14:paraId="0BB89940" w14:textId="77777777" w:rsidR="00897D9F" w:rsidRDefault="00897D9F">
      <w:pPr>
        <w:spacing w:before="0" w:after="200"/>
        <w:rPr>
          <w:b/>
          <w:bCs/>
        </w:rPr>
      </w:pPr>
    </w:p>
    <w:p w14:paraId="63AD050D" w14:textId="77777777" w:rsidR="00897D9F" w:rsidRDefault="00897D9F">
      <w:pPr>
        <w:spacing w:before="0" w:after="200"/>
        <w:rPr>
          <w:b/>
          <w:bCs/>
        </w:rPr>
      </w:pPr>
    </w:p>
    <w:p w14:paraId="61CF2FDF" w14:textId="77777777" w:rsidR="00897D9F" w:rsidRDefault="00897D9F">
      <w:pPr>
        <w:spacing w:before="0" w:after="200"/>
        <w:rPr>
          <w:b/>
          <w:bCs/>
        </w:rPr>
      </w:pPr>
    </w:p>
    <w:p w14:paraId="2EBA721B" w14:textId="77777777" w:rsidR="00897D9F" w:rsidRDefault="00897D9F">
      <w:pPr>
        <w:spacing w:before="0" w:after="200"/>
        <w:rPr>
          <w:b/>
          <w:bCs/>
        </w:rPr>
      </w:pPr>
    </w:p>
    <w:p w14:paraId="54A6BE11" w14:textId="77777777" w:rsidR="00897D9F" w:rsidRDefault="00897D9F">
      <w:pPr>
        <w:spacing w:before="0" w:after="200"/>
        <w:rPr>
          <w:b/>
          <w:bCs/>
        </w:rPr>
      </w:pPr>
    </w:p>
    <w:p w14:paraId="0AFDB282" w14:textId="77777777" w:rsidR="00897D9F" w:rsidRDefault="00897D9F">
      <w:pPr>
        <w:spacing w:before="0" w:after="200"/>
        <w:rPr>
          <w:b/>
          <w:bCs/>
        </w:rPr>
      </w:pPr>
    </w:p>
    <w:p w14:paraId="7AD0E5D5" w14:textId="77777777" w:rsidR="00897D9F" w:rsidRDefault="00897D9F">
      <w:pPr>
        <w:spacing w:before="0" w:after="200"/>
        <w:rPr>
          <w:b/>
          <w:bCs/>
        </w:rPr>
      </w:pPr>
    </w:p>
    <w:p w14:paraId="10CF6C51" w14:textId="77777777" w:rsidR="009E4375" w:rsidRDefault="00000000">
      <w:pPr>
        <w:spacing w:before="0" w:after="200"/>
        <w:rPr>
          <w:b/>
          <w:bCs/>
        </w:rPr>
      </w:pPr>
      <w:r>
        <w:rPr>
          <w:b/>
          <w:bCs/>
        </w:rPr>
        <w:lastRenderedPageBreak/>
        <w:t>Table 9</w:t>
      </w:r>
    </w:p>
    <w:p w14:paraId="10CF6C52" w14:textId="77777777" w:rsidR="009E4375" w:rsidRDefault="00000000">
      <w:pPr>
        <w:widowControl w:val="0"/>
        <w:spacing w:before="0" w:after="200" w:line="240" w:lineRule="auto"/>
      </w:pPr>
      <w:r>
        <w:rPr>
          <w:i/>
          <w:iCs/>
        </w:rPr>
        <w:t>Nonparametric Correlations</w:t>
      </w:r>
    </w:p>
    <w:tbl>
      <w:tblPr>
        <w:tblStyle w:val="a7"/>
        <w:tblpPr w:leftFromText="180" w:rightFromText="180" w:topFromText="180" w:bottomFromText="180" w:vertAnchor="text" w:tblpX="15"/>
        <w:tblW w:w="912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6"/>
        <w:gridCol w:w="2145"/>
        <w:gridCol w:w="2700"/>
        <w:gridCol w:w="1260"/>
        <w:gridCol w:w="1518"/>
        <w:gridCol w:w="1391"/>
      </w:tblGrid>
      <w:tr w:rsidR="009E4375" w14:paraId="10CF6C57" w14:textId="77777777">
        <w:trPr>
          <w:trHeight w:val="363"/>
        </w:trPr>
        <w:tc>
          <w:tcPr>
            <w:tcW w:w="4950" w:type="dxa"/>
            <w:gridSpan w:val="3"/>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C53" w14:textId="77777777" w:rsidR="009E4375" w:rsidRDefault="009E4375">
            <w:pPr>
              <w:spacing w:before="0" w:after="0" w:line="276" w:lineRule="auto"/>
              <w:rPr>
                <w:rFonts w:ascii="Times New Roman" w:eastAsia="Times New Roman" w:hAnsi="Times New Roman" w:cs="Times New Roman"/>
                <w:sz w:val="2"/>
                <w:szCs w:val="2"/>
              </w:rPr>
            </w:pPr>
          </w:p>
        </w:tc>
        <w:tc>
          <w:tcPr>
            <w:tcW w:w="126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C54" w14:textId="77777777" w:rsidR="009E4375" w:rsidRDefault="00000000">
            <w:pPr>
              <w:spacing w:before="0" w:after="0" w:line="276" w:lineRule="auto"/>
              <w:ind w:right="60"/>
              <w:jc w:val="center"/>
            </w:pPr>
            <w:r>
              <w:t>School</w:t>
            </w:r>
          </w:p>
        </w:tc>
        <w:tc>
          <w:tcPr>
            <w:tcW w:w="1518" w:type="dxa"/>
            <w:tcBorders>
              <w:top w:val="nil"/>
              <w:left w:val="single" w:sz="5" w:space="0" w:color="E0E0E0"/>
              <w:bottom w:val="single" w:sz="5" w:space="0" w:color="152935"/>
              <w:right w:val="single" w:sz="5" w:space="0" w:color="E0E0E0"/>
            </w:tcBorders>
            <w:shd w:val="clear" w:color="auto" w:fill="FFFFFF"/>
            <w:tcMar>
              <w:top w:w="0" w:type="dxa"/>
              <w:left w:w="0" w:type="dxa"/>
              <w:bottom w:w="0" w:type="dxa"/>
              <w:right w:w="0" w:type="dxa"/>
            </w:tcMar>
            <w:vAlign w:val="bottom"/>
          </w:tcPr>
          <w:p w14:paraId="10CF6C55" w14:textId="77777777" w:rsidR="009E4375" w:rsidRDefault="00000000">
            <w:pPr>
              <w:spacing w:before="0" w:after="0" w:line="276" w:lineRule="auto"/>
              <w:ind w:left="60" w:right="60"/>
              <w:jc w:val="center"/>
            </w:pPr>
            <w:r>
              <w:t>Family</w:t>
            </w:r>
          </w:p>
        </w:tc>
        <w:tc>
          <w:tcPr>
            <w:tcW w:w="1391" w:type="dxa"/>
            <w:tcBorders>
              <w:top w:val="nil"/>
              <w:left w:val="single" w:sz="5" w:space="0" w:color="E0E0E0"/>
              <w:bottom w:val="single" w:sz="5" w:space="0" w:color="152935"/>
              <w:right w:val="single" w:sz="5" w:space="0" w:color="E0E0E0"/>
            </w:tcBorders>
            <w:shd w:val="clear" w:color="auto" w:fill="FFFFFF"/>
            <w:tcMar>
              <w:top w:w="0" w:type="dxa"/>
              <w:left w:w="0" w:type="dxa"/>
              <w:bottom w:w="0" w:type="dxa"/>
              <w:right w:w="0" w:type="dxa"/>
            </w:tcMar>
            <w:vAlign w:val="bottom"/>
          </w:tcPr>
          <w:p w14:paraId="10CF6C56" w14:textId="77777777" w:rsidR="009E4375" w:rsidRDefault="00000000">
            <w:pPr>
              <w:spacing w:before="0" w:after="0" w:line="276" w:lineRule="auto"/>
              <w:ind w:left="60" w:right="60"/>
              <w:jc w:val="center"/>
            </w:pPr>
            <w:r>
              <w:t>Dorm</w:t>
            </w:r>
          </w:p>
        </w:tc>
      </w:tr>
      <w:tr w:rsidR="009E4375" w14:paraId="10CF6C5E" w14:textId="77777777">
        <w:trPr>
          <w:trHeight w:val="405"/>
        </w:trPr>
        <w:tc>
          <w:tcPr>
            <w:tcW w:w="105" w:type="dxa"/>
            <w:vMerge w:val="restart"/>
            <w:tcBorders>
              <w:top w:val="single" w:sz="5" w:space="0" w:color="152935"/>
              <w:left w:val="nil"/>
              <w:bottom w:val="single" w:sz="5" w:space="0" w:color="152935"/>
              <w:right w:val="nil"/>
            </w:tcBorders>
            <w:tcMar>
              <w:top w:w="0" w:type="dxa"/>
              <w:left w:w="0" w:type="dxa"/>
              <w:bottom w:w="0" w:type="dxa"/>
              <w:right w:w="0" w:type="dxa"/>
            </w:tcMar>
          </w:tcPr>
          <w:p w14:paraId="10CF6C58" w14:textId="77777777" w:rsidR="009E4375" w:rsidRDefault="00000000">
            <w:pPr>
              <w:spacing w:line="276" w:lineRule="auto"/>
            </w:pPr>
            <w:r>
              <w:t xml:space="preserve"> </w:t>
            </w:r>
          </w:p>
        </w:tc>
        <w:tc>
          <w:tcPr>
            <w:tcW w:w="2145" w:type="dxa"/>
            <w:vMerge w:val="restart"/>
            <w:tcBorders>
              <w:top w:val="single" w:sz="5" w:space="0" w:color="152935"/>
              <w:left w:val="nil"/>
              <w:bottom w:val="nil"/>
              <w:right w:val="nil"/>
            </w:tcBorders>
            <w:tcMar>
              <w:top w:w="0" w:type="dxa"/>
              <w:left w:w="0" w:type="dxa"/>
              <w:bottom w:w="0" w:type="dxa"/>
              <w:right w:w="0" w:type="dxa"/>
            </w:tcMar>
          </w:tcPr>
          <w:p w14:paraId="10CF6C59" w14:textId="44528C64" w:rsidR="009E4375" w:rsidRDefault="007E2464">
            <w:pPr>
              <w:spacing w:before="0" w:after="0" w:line="276" w:lineRule="auto"/>
              <w:ind w:left="60" w:right="60"/>
            </w:pPr>
            <w:proofErr w:type="spellStart"/>
            <w:r>
              <w:t>Self Acceptance</w:t>
            </w:r>
            <w:proofErr w:type="spellEnd"/>
            <w:r>
              <w:t xml:space="preserve"> / Advocacy</w:t>
            </w:r>
          </w:p>
        </w:tc>
        <w:tc>
          <w:tcPr>
            <w:tcW w:w="2700" w:type="dxa"/>
            <w:tcBorders>
              <w:top w:val="single" w:sz="5" w:space="0" w:color="152935"/>
              <w:left w:val="nil"/>
              <w:bottom w:val="single" w:sz="5" w:space="0" w:color="AEAEAE"/>
              <w:right w:val="nil"/>
            </w:tcBorders>
            <w:tcMar>
              <w:top w:w="0" w:type="dxa"/>
              <w:left w:w="0" w:type="dxa"/>
              <w:bottom w:w="0" w:type="dxa"/>
              <w:right w:w="0" w:type="dxa"/>
            </w:tcMar>
          </w:tcPr>
          <w:p w14:paraId="10CF6C5A" w14:textId="77777777" w:rsidR="009E4375" w:rsidRDefault="00000000">
            <w:pPr>
              <w:spacing w:before="0" w:after="0" w:line="276" w:lineRule="auto"/>
              <w:ind w:left="60" w:right="60"/>
            </w:pPr>
            <w:r>
              <w:t>Correlation Coefficient</w:t>
            </w:r>
          </w:p>
        </w:tc>
        <w:tc>
          <w:tcPr>
            <w:tcW w:w="1260" w:type="dxa"/>
            <w:tcBorders>
              <w:top w:val="single" w:sz="5" w:space="0" w:color="152935"/>
              <w:left w:val="nil"/>
              <w:bottom w:val="single" w:sz="5" w:space="0" w:color="AEAEAE"/>
              <w:right w:val="single" w:sz="5" w:space="0" w:color="E0E0E0"/>
            </w:tcBorders>
            <w:tcMar>
              <w:top w:w="0" w:type="dxa"/>
              <w:left w:w="0" w:type="dxa"/>
              <w:bottom w:w="0" w:type="dxa"/>
              <w:right w:w="0" w:type="dxa"/>
            </w:tcMar>
          </w:tcPr>
          <w:p w14:paraId="10CF6C5B" w14:textId="77777777" w:rsidR="009E4375" w:rsidRDefault="00000000">
            <w:pPr>
              <w:spacing w:before="0" w:after="0" w:line="276" w:lineRule="auto"/>
              <w:ind w:left="60" w:right="60"/>
              <w:jc w:val="right"/>
              <w:rPr>
                <w:vertAlign w:val="superscript"/>
              </w:rPr>
            </w:pPr>
            <w:r>
              <w:t>.241</w:t>
            </w:r>
            <w:r>
              <w:rPr>
                <w:vertAlign w:val="superscript"/>
              </w:rPr>
              <w:t>**</w:t>
            </w:r>
          </w:p>
        </w:tc>
        <w:tc>
          <w:tcPr>
            <w:tcW w:w="1518" w:type="dxa"/>
            <w:tcBorders>
              <w:top w:val="single" w:sz="5" w:space="0" w:color="152935"/>
              <w:left w:val="single" w:sz="5" w:space="0" w:color="E0E0E0"/>
              <w:bottom w:val="single" w:sz="5" w:space="0" w:color="AEAEAE"/>
              <w:right w:val="single" w:sz="5" w:space="0" w:color="E0E0E0"/>
            </w:tcBorders>
            <w:tcMar>
              <w:top w:w="0" w:type="dxa"/>
              <w:left w:w="0" w:type="dxa"/>
              <w:bottom w:w="0" w:type="dxa"/>
              <w:right w:w="0" w:type="dxa"/>
            </w:tcMar>
          </w:tcPr>
          <w:p w14:paraId="10CF6C5C" w14:textId="77777777" w:rsidR="009E4375" w:rsidRDefault="00000000">
            <w:pPr>
              <w:spacing w:before="0" w:after="0" w:line="276" w:lineRule="auto"/>
              <w:ind w:left="60" w:right="60"/>
              <w:jc w:val="right"/>
              <w:rPr>
                <w:vertAlign w:val="superscript"/>
              </w:rPr>
            </w:pPr>
            <w:r>
              <w:t>.288</w:t>
            </w:r>
            <w:r>
              <w:rPr>
                <w:vertAlign w:val="superscript"/>
              </w:rPr>
              <w:t>**</w:t>
            </w:r>
          </w:p>
        </w:tc>
        <w:tc>
          <w:tcPr>
            <w:tcW w:w="1391" w:type="dxa"/>
            <w:tcBorders>
              <w:top w:val="single" w:sz="5" w:space="0" w:color="152935"/>
              <w:left w:val="single" w:sz="5" w:space="0" w:color="E0E0E0"/>
              <w:bottom w:val="single" w:sz="5" w:space="0" w:color="AEAEAE"/>
              <w:right w:val="single" w:sz="5" w:space="0" w:color="E0E0E0"/>
            </w:tcBorders>
            <w:tcMar>
              <w:top w:w="0" w:type="dxa"/>
              <w:left w:w="0" w:type="dxa"/>
              <w:bottom w:w="0" w:type="dxa"/>
              <w:right w:w="0" w:type="dxa"/>
            </w:tcMar>
          </w:tcPr>
          <w:p w14:paraId="10CF6C5D" w14:textId="77777777" w:rsidR="009E4375" w:rsidRDefault="00000000">
            <w:pPr>
              <w:spacing w:before="0" w:after="0" w:line="276" w:lineRule="auto"/>
              <w:ind w:left="60" w:right="60"/>
              <w:jc w:val="right"/>
              <w:rPr>
                <w:vertAlign w:val="superscript"/>
              </w:rPr>
            </w:pPr>
            <w:r>
              <w:t>.312</w:t>
            </w:r>
            <w:r>
              <w:rPr>
                <w:vertAlign w:val="superscript"/>
              </w:rPr>
              <w:t>**</w:t>
            </w:r>
          </w:p>
        </w:tc>
      </w:tr>
      <w:tr w:rsidR="009E4375" w14:paraId="10CF6C65" w14:textId="77777777">
        <w:trPr>
          <w:trHeight w:val="330"/>
        </w:trPr>
        <w:tc>
          <w:tcPr>
            <w:tcW w:w="105" w:type="dxa"/>
            <w:vMerge/>
            <w:tcBorders>
              <w:top w:val="single" w:sz="5" w:space="0" w:color="152935"/>
              <w:left w:val="nil"/>
              <w:bottom w:val="single" w:sz="5" w:space="0" w:color="152935"/>
              <w:right w:val="nil"/>
            </w:tcBorders>
          </w:tcPr>
          <w:p w14:paraId="10CF6C5F" w14:textId="77777777" w:rsidR="009E4375" w:rsidRDefault="009E4375">
            <w:pPr>
              <w:spacing w:line="436" w:lineRule="auto"/>
            </w:pPr>
          </w:p>
        </w:tc>
        <w:tc>
          <w:tcPr>
            <w:tcW w:w="2145" w:type="dxa"/>
            <w:vMerge/>
            <w:tcBorders>
              <w:top w:val="nil"/>
              <w:left w:val="nil"/>
              <w:bottom w:val="nil"/>
              <w:right w:val="nil"/>
            </w:tcBorders>
          </w:tcPr>
          <w:p w14:paraId="10CF6C60"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61" w14:textId="77777777" w:rsidR="009E4375" w:rsidRDefault="00000000">
            <w:pPr>
              <w:spacing w:before="0" w:after="0" w:line="276" w:lineRule="auto"/>
              <w:ind w:left="60" w:right="60"/>
            </w:pPr>
            <w:r>
              <w:t>Sig. (2-tailed)</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62" w14:textId="77777777" w:rsidR="009E4375" w:rsidRDefault="00000000">
            <w:pPr>
              <w:spacing w:before="0" w:after="0" w:line="276" w:lineRule="auto"/>
              <w:ind w:left="60" w:right="60"/>
              <w:jc w:val="right"/>
            </w:pPr>
            <w:r>
              <w:t>&lt;.001</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63" w14:textId="77777777" w:rsidR="009E4375" w:rsidRDefault="00000000">
            <w:pPr>
              <w:spacing w:before="0" w:after="0" w:line="276" w:lineRule="auto"/>
              <w:ind w:left="60" w:right="60"/>
              <w:jc w:val="right"/>
            </w:pPr>
            <w:r>
              <w:t>&lt;.001</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64" w14:textId="77777777" w:rsidR="009E4375" w:rsidRDefault="00000000">
            <w:pPr>
              <w:spacing w:before="0" w:after="0" w:line="276" w:lineRule="auto"/>
              <w:ind w:left="60" w:right="60"/>
              <w:jc w:val="right"/>
            </w:pPr>
            <w:r>
              <w:t>.002</w:t>
            </w:r>
          </w:p>
        </w:tc>
      </w:tr>
      <w:tr w:rsidR="009E4375" w14:paraId="10CF6C6C" w14:textId="77777777">
        <w:trPr>
          <w:trHeight w:val="330"/>
        </w:trPr>
        <w:tc>
          <w:tcPr>
            <w:tcW w:w="105" w:type="dxa"/>
            <w:vMerge/>
            <w:tcBorders>
              <w:top w:val="single" w:sz="5" w:space="0" w:color="152935"/>
              <w:left w:val="nil"/>
              <w:bottom w:val="single" w:sz="5" w:space="0" w:color="152935"/>
              <w:right w:val="nil"/>
            </w:tcBorders>
          </w:tcPr>
          <w:p w14:paraId="10CF6C66" w14:textId="77777777" w:rsidR="009E4375" w:rsidRDefault="009E4375">
            <w:pPr>
              <w:spacing w:line="436" w:lineRule="auto"/>
            </w:pPr>
          </w:p>
        </w:tc>
        <w:tc>
          <w:tcPr>
            <w:tcW w:w="2145" w:type="dxa"/>
            <w:vMerge/>
            <w:tcBorders>
              <w:top w:val="nil"/>
              <w:left w:val="nil"/>
              <w:bottom w:val="single" w:sz="5" w:space="0" w:color="AEAEAE"/>
              <w:right w:val="nil"/>
            </w:tcBorders>
          </w:tcPr>
          <w:p w14:paraId="10CF6C67"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68" w14:textId="77777777" w:rsidR="009E4375" w:rsidRDefault="00000000">
            <w:pPr>
              <w:spacing w:before="0" w:after="0" w:line="276" w:lineRule="auto"/>
              <w:ind w:left="60" w:right="60"/>
            </w:pPr>
            <w:r>
              <w:t>N</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69" w14:textId="77777777" w:rsidR="009E4375" w:rsidRDefault="00000000">
            <w:pPr>
              <w:spacing w:before="0" w:after="0" w:line="276" w:lineRule="auto"/>
              <w:ind w:left="60" w:right="60"/>
              <w:jc w:val="right"/>
            </w:pPr>
            <w:r>
              <w:t>220</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6A" w14:textId="77777777" w:rsidR="009E4375" w:rsidRDefault="00000000">
            <w:pPr>
              <w:spacing w:before="0" w:after="0" w:line="276" w:lineRule="auto"/>
              <w:ind w:left="60" w:right="60"/>
              <w:jc w:val="right"/>
            </w:pPr>
            <w:r>
              <w:t>220</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6B" w14:textId="77777777" w:rsidR="009E4375" w:rsidRDefault="00000000">
            <w:pPr>
              <w:spacing w:before="0" w:after="0" w:line="276" w:lineRule="auto"/>
              <w:ind w:left="60" w:right="60"/>
              <w:jc w:val="right"/>
            </w:pPr>
            <w:r>
              <w:t>100</w:t>
            </w:r>
          </w:p>
        </w:tc>
      </w:tr>
      <w:tr w:rsidR="009E4375" w14:paraId="10CF6C73" w14:textId="77777777">
        <w:trPr>
          <w:trHeight w:val="330"/>
        </w:trPr>
        <w:tc>
          <w:tcPr>
            <w:tcW w:w="105" w:type="dxa"/>
            <w:vMerge/>
            <w:tcBorders>
              <w:top w:val="single" w:sz="5" w:space="0" w:color="152935"/>
              <w:left w:val="nil"/>
              <w:bottom w:val="single" w:sz="5" w:space="0" w:color="152935"/>
              <w:right w:val="nil"/>
            </w:tcBorders>
          </w:tcPr>
          <w:p w14:paraId="10CF6C6D" w14:textId="77777777" w:rsidR="009E4375" w:rsidRDefault="009E4375">
            <w:pPr>
              <w:spacing w:line="436" w:lineRule="auto"/>
            </w:pPr>
          </w:p>
        </w:tc>
        <w:tc>
          <w:tcPr>
            <w:tcW w:w="2145" w:type="dxa"/>
            <w:vMerge w:val="restart"/>
            <w:tcBorders>
              <w:top w:val="single" w:sz="5" w:space="0" w:color="AEAEAE"/>
              <w:left w:val="nil"/>
              <w:bottom w:val="single" w:sz="5" w:space="0" w:color="AEAEAE"/>
              <w:right w:val="nil"/>
            </w:tcBorders>
            <w:tcMar>
              <w:top w:w="0" w:type="dxa"/>
              <w:left w:w="0" w:type="dxa"/>
              <w:bottom w:w="0" w:type="dxa"/>
              <w:right w:w="0" w:type="dxa"/>
            </w:tcMar>
          </w:tcPr>
          <w:p w14:paraId="10CF6C6E" w14:textId="77777777" w:rsidR="009E4375" w:rsidRDefault="00000000">
            <w:pPr>
              <w:spacing w:before="0" w:after="0" w:line="276" w:lineRule="auto"/>
              <w:ind w:left="60" w:right="60"/>
            </w:pPr>
            <w:r>
              <w:t>Perceived Stigma</w:t>
            </w: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6F" w14:textId="77777777" w:rsidR="009E4375" w:rsidRDefault="00000000">
            <w:pPr>
              <w:spacing w:before="0" w:after="0" w:line="276" w:lineRule="auto"/>
              <w:ind w:left="60" w:right="60"/>
            </w:pPr>
            <w:r>
              <w:t>Correlation Coefficient</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70" w14:textId="77777777" w:rsidR="009E4375" w:rsidRDefault="00000000">
            <w:pPr>
              <w:spacing w:before="0" w:after="0" w:line="276" w:lineRule="auto"/>
              <w:ind w:left="60" w:right="60"/>
              <w:jc w:val="right"/>
            </w:pPr>
            <w:r>
              <w:t>.027</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71" w14:textId="77777777" w:rsidR="009E4375" w:rsidRDefault="00000000">
            <w:pPr>
              <w:spacing w:before="0" w:after="0" w:line="276" w:lineRule="auto"/>
              <w:ind w:left="60" w:right="60"/>
              <w:jc w:val="right"/>
            </w:pPr>
            <w:r>
              <w:t>.089</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72" w14:textId="77777777" w:rsidR="009E4375" w:rsidRDefault="00000000">
            <w:pPr>
              <w:spacing w:before="0" w:after="0" w:line="276" w:lineRule="auto"/>
              <w:ind w:left="60" w:right="60"/>
              <w:jc w:val="right"/>
            </w:pPr>
            <w:r>
              <w:t>-.016</w:t>
            </w:r>
          </w:p>
        </w:tc>
      </w:tr>
      <w:tr w:rsidR="009E4375" w14:paraId="10CF6C7A" w14:textId="77777777">
        <w:trPr>
          <w:trHeight w:val="330"/>
        </w:trPr>
        <w:tc>
          <w:tcPr>
            <w:tcW w:w="105" w:type="dxa"/>
            <w:vMerge/>
            <w:tcBorders>
              <w:top w:val="single" w:sz="5" w:space="0" w:color="152935"/>
              <w:left w:val="nil"/>
              <w:bottom w:val="single" w:sz="5" w:space="0" w:color="152935"/>
              <w:right w:val="nil"/>
            </w:tcBorders>
          </w:tcPr>
          <w:p w14:paraId="10CF6C74" w14:textId="77777777" w:rsidR="009E4375" w:rsidRDefault="009E4375">
            <w:pPr>
              <w:spacing w:line="436" w:lineRule="auto"/>
            </w:pPr>
          </w:p>
        </w:tc>
        <w:tc>
          <w:tcPr>
            <w:tcW w:w="2145" w:type="dxa"/>
            <w:vMerge/>
            <w:tcBorders>
              <w:top w:val="single" w:sz="5" w:space="0" w:color="AEAEAE"/>
              <w:left w:val="nil"/>
              <w:bottom w:val="single" w:sz="5" w:space="0" w:color="AEAEAE"/>
              <w:right w:val="nil"/>
            </w:tcBorders>
          </w:tcPr>
          <w:p w14:paraId="10CF6C75"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76" w14:textId="77777777" w:rsidR="009E4375" w:rsidRDefault="00000000">
            <w:pPr>
              <w:spacing w:before="0" w:after="0" w:line="276" w:lineRule="auto"/>
              <w:ind w:left="60" w:right="60"/>
            </w:pPr>
            <w:r>
              <w:t>Sig. (2-tailed)</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77" w14:textId="77777777" w:rsidR="009E4375" w:rsidRDefault="00000000">
            <w:pPr>
              <w:spacing w:before="0" w:after="0" w:line="276" w:lineRule="auto"/>
              <w:ind w:left="60" w:right="60"/>
              <w:jc w:val="right"/>
            </w:pPr>
            <w:r>
              <w:t>.691</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78" w14:textId="77777777" w:rsidR="009E4375" w:rsidRDefault="00000000">
            <w:pPr>
              <w:spacing w:before="0" w:after="0" w:line="276" w:lineRule="auto"/>
              <w:ind w:left="60" w:right="60"/>
              <w:jc w:val="right"/>
            </w:pPr>
            <w:r>
              <w:t>.188</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79" w14:textId="77777777" w:rsidR="009E4375" w:rsidRDefault="00000000">
            <w:pPr>
              <w:spacing w:before="0" w:after="0" w:line="276" w:lineRule="auto"/>
              <w:ind w:left="60" w:right="60"/>
              <w:jc w:val="right"/>
            </w:pPr>
            <w:r>
              <w:t>.875</w:t>
            </w:r>
          </w:p>
        </w:tc>
      </w:tr>
      <w:tr w:rsidR="009E4375" w14:paraId="10CF6C81" w14:textId="77777777">
        <w:trPr>
          <w:trHeight w:val="330"/>
        </w:trPr>
        <w:tc>
          <w:tcPr>
            <w:tcW w:w="105" w:type="dxa"/>
            <w:vMerge/>
            <w:tcBorders>
              <w:top w:val="single" w:sz="5" w:space="0" w:color="152935"/>
              <w:left w:val="nil"/>
              <w:bottom w:val="single" w:sz="5" w:space="0" w:color="152935"/>
              <w:right w:val="nil"/>
            </w:tcBorders>
          </w:tcPr>
          <w:p w14:paraId="10CF6C7B" w14:textId="77777777" w:rsidR="009E4375" w:rsidRDefault="009E4375">
            <w:pPr>
              <w:spacing w:line="436" w:lineRule="auto"/>
            </w:pPr>
          </w:p>
        </w:tc>
        <w:tc>
          <w:tcPr>
            <w:tcW w:w="2145" w:type="dxa"/>
            <w:vMerge/>
            <w:tcBorders>
              <w:top w:val="single" w:sz="5" w:space="0" w:color="AEAEAE"/>
              <w:left w:val="nil"/>
              <w:bottom w:val="single" w:sz="5" w:space="0" w:color="AEAEAE"/>
              <w:right w:val="nil"/>
            </w:tcBorders>
          </w:tcPr>
          <w:p w14:paraId="10CF6C7C"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7D" w14:textId="77777777" w:rsidR="009E4375" w:rsidRDefault="00000000">
            <w:pPr>
              <w:spacing w:before="0" w:after="0" w:line="276" w:lineRule="auto"/>
              <w:ind w:left="60" w:right="60"/>
            </w:pPr>
            <w:r>
              <w:t>N</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7E" w14:textId="77777777" w:rsidR="009E4375" w:rsidRDefault="00000000">
            <w:pPr>
              <w:spacing w:before="0" w:after="0" w:line="276" w:lineRule="auto"/>
              <w:ind w:left="60" w:right="60"/>
              <w:jc w:val="right"/>
            </w:pPr>
            <w:r>
              <w:t>220</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7F" w14:textId="77777777" w:rsidR="009E4375" w:rsidRDefault="00000000">
            <w:pPr>
              <w:spacing w:before="0" w:after="0" w:line="276" w:lineRule="auto"/>
              <w:ind w:left="60" w:right="60"/>
              <w:jc w:val="right"/>
            </w:pPr>
            <w:r>
              <w:t>220</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80" w14:textId="77777777" w:rsidR="009E4375" w:rsidRDefault="00000000">
            <w:pPr>
              <w:spacing w:before="0" w:after="0" w:line="276" w:lineRule="auto"/>
              <w:ind w:left="60" w:right="60"/>
              <w:jc w:val="right"/>
            </w:pPr>
            <w:r>
              <w:t>100</w:t>
            </w:r>
          </w:p>
        </w:tc>
      </w:tr>
      <w:tr w:rsidR="009E4375" w14:paraId="10CF6C88" w14:textId="77777777">
        <w:trPr>
          <w:trHeight w:val="330"/>
        </w:trPr>
        <w:tc>
          <w:tcPr>
            <w:tcW w:w="105" w:type="dxa"/>
            <w:vMerge/>
            <w:tcBorders>
              <w:top w:val="single" w:sz="5" w:space="0" w:color="152935"/>
              <w:left w:val="nil"/>
              <w:bottom w:val="single" w:sz="5" w:space="0" w:color="152935"/>
              <w:right w:val="nil"/>
            </w:tcBorders>
          </w:tcPr>
          <w:p w14:paraId="10CF6C82" w14:textId="77777777" w:rsidR="009E4375" w:rsidRDefault="009E4375">
            <w:pPr>
              <w:spacing w:line="436" w:lineRule="auto"/>
            </w:pPr>
          </w:p>
        </w:tc>
        <w:tc>
          <w:tcPr>
            <w:tcW w:w="2145" w:type="dxa"/>
            <w:vMerge w:val="restart"/>
            <w:tcBorders>
              <w:top w:val="single" w:sz="5" w:space="0" w:color="AEAEAE"/>
              <w:left w:val="nil"/>
              <w:bottom w:val="single" w:sz="5" w:space="0" w:color="AEAEAE"/>
              <w:right w:val="nil"/>
            </w:tcBorders>
            <w:tcMar>
              <w:top w:w="0" w:type="dxa"/>
              <w:left w:w="0" w:type="dxa"/>
              <w:bottom w:w="0" w:type="dxa"/>
              <w:right w:w="0" w:type="dxa"/>
            </w:tcMar>
          </w:tcPr>
          <w:p w14:paraId="10CF6C83" w14:textId="77777777" w:rsidR="009E4375" w:rsidRDefault="00000000">
            <w:pPr>
              <w:spacing w:before="0" w:after="0" w:line="276" w:lineRule="auto"/>
              <w:ind w:left="60" w:right="60"/>
            </w:pPr>
            <w:r>
              <w:t>Participation</w:t>
            </w: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84" w14:textId="77777777" w:rsidR="009E4375" w:rsidRDefault="00000000">
            <w:pPr>
              <w:spacing w:before="0" w:after="0" w:line="276" w:lineRule="auto"/>
              <w:ind w:left="60" w:right="60"/>
            </w:pPr>
            <w:r>
              <w:t>Correlation Coefficient</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85" w14:textId="77777777" w:rsidR="009E4375" w:rsidRDefault="00000000">
            <w:pPr>
              <w:spacing w:before="0" w:after="0" w:line="276" w:lineRule="auto"/>
              <w:ind w:left="60" w:right="60"/>
              <w:jc w:val="right"/>
            </w:pPr>
            <w:r>
              <w:t>.118</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86" w14:textId="77777777" w:rsidR="009E4375" w:rsidRDefault="00000000">
            <w:pPr>
              <w:spacing w:before="0" w:after="0" w:line="276" w:lineRule="auto"/>
              <w:ind w:left="60" w:right="60"/>
              <w:jc w:val="right"/>
            </w:pPr>
            <w:r>
              <w:t>.067</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87" w14:textId="77777777" w:rsidR="009E4375" w:rsidRDefault="00000000">
            <w:pPr>
              <w:spacing w:before="0" w:after="0" w:line="276" w:lineRule="auto"/>
              <w:ind w:left="60" w:right="60"/>
              <w:jc w:val="right"/>
            </w:pPr>
            <w:r>
              <w:t>-.109</w:t>
            </w:r>
          </w:p>
        </w:tc>
      </w:tr>
      <w:tr w:rsidR="009E4375" w14:paraId="10CF6C8F" w14:textId="77777777">
        <w:trPr>
          <w:trHeight w:val="330"/>
        </w:trPr>
        <w:tc>
          <w:tcPr>
            <w:tcW w:w="105" w:type="dxa"/>
            <w:vMerge/>
            <w:tcBorders>
              <w:top w:val="single" w:sz="5" w:space="0" w:color="152935"/>
              <w:left w:val="nil"/>
              <w:bottom w:val="single" w:sz="5" w:space="0" w:color="152935"/>
              <w:right w:val="nil"/>
            </w:tcBorders>
          </w:tcPr>
          <w:p w14:paraId="10CF6C89" w14:textId="77777777" w:rsidR="009E4375" w:rsidRDefault="009E4375">
            <w:pPr>
              <w:spacing w:line="436" w:lineRule="auto"/>
            </w:pPr>
          </w:p>
        </w:tc>
        <w:tc>
          <w:tcPr>
            <w:tcW w:w="2145" w:type="dxa"/>
            <w:vMerge/>
            <w:tcBorders>
              <w:top w:val="single" w:sz="5" w:space="0" w:color="AEAEAE"/>
              <w:left w:val="nil"/>
              <w:bottom w:val="single" w:sz="5" w:space="0" w:color="AEAEAE"/>
              <w:right w:val="nil"/>
            </w:tcBorders>
          </w:tcPr>
          <w:p w14:paraId="10CF6C8A"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8B" w14:textId="77777777" w:rsidR="009E4375" w:rsidRDefault="00000000">
            <w:pPr>
              <w:spacing w:before="0" w:after="0" w:line="276" w:lineRule="auto"/>
              <w:ind w:left="60" w:right="60"/>
            </w:pPr>
            <w:r>
              <w:t>Sig. (2-tailed)</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8C" w14:textId="77777777" w:rsidR="009E4375" w:rsidRDefault="00000000">
            <w:pPr>
              <w:spacing w:before="0" w:after="0" w:line="276" w:lineRule="auto"/>
              <w:ind w:left="60" w:right="60"/>
              <w:jc w:val="right"/>
            </w:pPr>
            <w:r>
              <w:t>.081</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8D" w14:textId="77777777" w:rsidR="009E4375" w:rsidRDefault="00000000">
            <w:pPr>
              <w:spacing w:before="0" w:after="0" w:line="276" w:lineRule="auto"/>
              <w:ind w:left="60" w:right="60"/>
              <w:jc w:val="right"/>
            </w:pPr>
            <w:r>
              <w:t>.325</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8E" w14:textId="77777777" w:rsidR="009E4375" w:rsidRDefault="00000000">
            <w:pPr>
              <w:spacing w:before="0" w:after="0" w:line="276" w:lineRule="auto"/>
              <w:ind w:left="60" w:right="60"/>
              <w:jc w:val="right"/>
            </w:pPr>
            <w:r>
              <w:t>.279</w:t>
            </w:r>
          </w:p>
        </w:tc>
      </w:tr>
      <w:tr w:rsidR="009E4375" w14:paraId="10CF6C96" w14:textId="77777777">
        <w:trPr>
          <w:trHeight w:val="330"/>
        </w:trPr>
        <w:tc>
          <w:tcPr>
            <w:tcW w:w="105" w:type="dxa"/>
            <w:vMerge/>
            <w:tcBorders>
              <w:top w:val="single" w:sz="5" w:space="0" w:color="152935"/>
              <w:left w:val="nil"/>
              <w:bottom w:val="single" w:sz="5" w:space="0" w:color="152935"/>
              <w:right w:val="nil"/>
            </w:tcBorders>
          </w:tcPr>
          <w:p w14:paraId="10CF6C90" w14:textId="77777777" w:rsidR="009E4375" w:rsidRDefault="009E4375">
            <w:pPr>
              <w:spacing w:line="436" w:lineRule="auto"/>
            </w:pPr>
          </w:p>
        </w:tc>
        <w:tc>
          <w:tcPr>
            <w:tcW w:w="2145" w:type="dxa"/>
            <w:vMerge/>
            <w:tcBorders>
              <w:top w:val="single" w:sz="5" w:space="0" w:color="AEAEAE"/>
              <w:left w:val="nil"/>
              <w:bottom w:val="single" w:sz="5" w:space="0" w:color="AEAEAE"/>
              <w:right w:val="nil"/>
            </w:tcBorders>
          </w:tcPr>
          <w:p w14:paraId="10CF6C91"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92" w14:textId="77777777" w:rsidR="009E4375" w:rsidRDefault="00000000">
            <w:pPr>
              <w:spacing w:before="0" w:after="0" w:line="276" w:lineRule="auto"/>
              <w:ind w:left="60" w:right="60"/>
            </w:pPr>
            <w:r>
              <w:t>N</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93" w14:textId="77777777" w:rsidR="009E4375" w:rsidRDefault="00000000">
            <w:pPr>
              <w:spacing w:before="0" w:after="0" w:line="276" w:lineRule="auto"/>
              <w:ind w:left="60" w:right="60"/>
              <w:jc w:val="right"/>
            </w:pPr>
            <w:r>
              <w:t>220</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94" w14:textId="77777777" w:rsidR="009E4375" w:rsidRDefault="00000000">
            <w:pPr>
              <w:spacing w:before="0" w:after="0" w:line="276" w:lineRule="auto"/>
              <w:ind w:left="60" w:right="60"/>
              <w:jc w:val="right"/>
            </w:pPr>
            <w:r>
              <w:t>220</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95" w14:textId="77777777" w:rsidR="009E4375" w:rsidRDefault="00000000">
            <w:pPr>
              <w:spacing w:before="0" w:after="0" w:line="276" w:lineRule="auto"/>
              <w:ind w:left="60" w:right="60"/>
              <w:jc w:val="right"/>
            </w:pPr>
            <w:r>
              <w:t>100</w:t>
            </w:r>
          </w:p>
        </w:tc>
      </w:tr>
      <w:tr w:rsidR="009E4375" w14:paraId="10CF6C9D" w14:textId="77777777">
        <w:trPr>
          <w:trHeight w:val="405"/>
        </w:trPr>
        <w:tc>
          <w:tcPr>
            <w:tcW w:w="105" w:type="dxa"/>
            <w:vMerge/>
            <w:tcBorders>
              <w:top w:val="single" w:sz="5" w:space="0" w:color="152935"/>
              <w:left w:val="nil"/>
              <w:bottom w:val="single" w:sz="5" w:space="0" w:color="152935"/>
              <w:right w:val="nil"/>
            </w:tcBorders>
          </w:tcPr>
          <w:p w14:paraId="10CF6C97" w14:textId="77777777" w:rsidR="009E4375" w:rsidRDefault="009E4375">
            <w:pPr>
              <w:spacing w:line="436" w:lineRule="auto"/>
            </w:pPr>
          </w:p>
        </w:tc>
        <w:tc>
          <w:tcPr>
            <w:tcW w:w="2145" w:type="dxa"/>
            <w:vMerge w:val="restart"/>
            <w:tcBorders>
              <w:top w:val="single" w:sz="5" w:space="0" w:color="AEAEAE"/>
              <w:left w:val="nil"/>
              <w:bottom w:val="single" w:sz="5" w:space="0" w:color="152935"/>
              <w:right w:val="nil"/>
            </w:tcBorders>
            <w:tcMar>
              <w:top w:w="0" w:type="dxa"/>
              <w:left w:w="0" w:type="dxa"/>
              <w:bottom w:w="0" w:type="dxa"/>
              <w:right w:w="0" w:type="dxa"/>
            </w:tcMar>
          </w:tcPr>
          <w:p w14:paraId="10CF6C98" w14:textId="77777777" w:rsidR="009E4375" w:rsidRDefault="00000000">
            <w:pPr>
              <w:spacing w:before="0" w:after="0" w:line="276" w:lineRule="auto"/>
              <w:ind w:left="60" w:right="60"/>
            </w:pPr>
            <w:r>
              <w:t>Overall QOL</w:t>
            </w: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99" w14:textId="77777777" w:rsidR="009E4375" w:rsidRDefault="00000000">
            <w:pPr>
              <w:spacing w:before="0" w:after="0" w:line="276" w:lineRule="auto"/>
              <w:ind w:left="60" w:right="60"/>
            </w:pPr>
            <w:r>
              <w:t>Correlation Coefficient</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9A" w14:textId="77777777" w:rsidR="009E4375" w:rsidRDefault="00000000">
            <w:pPr>
              <w:spacing w:before="0" w:after="0" w:line="276" w:lineRule="auto"/>
              <w:ind w:left="60" w:right="60"/>
              <w:jc w:val="right"/>
              <w:rPr>
                <w:vertAlign w:val="superscript"/>
              </w:rPr>
            </w:pPr>
            <w:r>
              <w:t>.219</w:t>
            </w:r>
            <w:r>
              <w:rPr>
                <w:vertAlign w:val="superscript"/>
              </w:rPr>
              <w:t>**</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9B" w14:textId="77777777" w:rsidR="009E4375" w:rsidRDefault="00000000">
            <w:pPr>
              <w:spacing w:before="0" w:after="0" w:line="276" w:lineRule="auto"/>
              <w:ind w:left="60" w:right="60"/>
              <w:jc w:val="right"/>
              <w:rPr>
                <w:vertAlign w:val="superscript"/>
              </w:rPr>
            </w:pPr>
            <w:r>
              <w:t>.240</w:t>
            </w:r>
            <w:r>
              <w:rPr>
                <w:vertAlign w:val="superscript"/>
              </w:rPr>
              <w:t>**</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9C" w14:textId="77777777" w:rsidR="009E4375" w:rsidRDefault="00000000">
            <w:pPr>
              <w:spacing w:before="0" w:after="0" w:line="276" w:lineRule="auto"/>
              <w:ind w:left="60" w:right="60"/>
              <w:jc w:val="right"/>
            </w:pPr>
            <w:r>
              <w:t>.139</w:t>
            </w:r>
          </w:p>
        </w:tc>
      </w:tr>
      <w:tr w:rsidR="009E4375" w14:paraId="10CF6CA4" w14:textId="77777777">
        <w:trPr>
          <w:trHeight w:val="330"/>
        </w:trPr>
        <w:tc>
          <w:tcPr>
            <w:tcW w:w="105" w:type="dxa"/>
            <w:vMerge/>
            <w:tcBorders>
              <w:top w:val="single" w:sz="5" w:space="0" w:color="152935"/>
              <w:left w:val="nil"/>
              <w:bottom w:val="single" w:sz="5" w:space="0" w:color="152935"/>
              <w:right w:val="nil"/>
            </w:tcBorders>
          </w:tcPr>
          <w:p w14:paraId="10CF6C9E" w14:textId="77777777" w:rsidR="009E4375" w:rsidRDefault="009E4375">
            <w:pPr>
              <w:spacing w:line="436" w:lineRule="auto"/>
            </w:pPr>
          </w:p>
        </w:tc>
        <w:tc>
          <w:tcPr>
            <w:tcW w:w="2145" w:type="dxa"/>
            <w:vMerge/>
            <w:tcBorders>
              <w:top w:val="single" w:sz="5" w:space="0" w:color="152935"/>
              <w:left w:val="nil"/>
              <w:bottom w:val="single" w:sz="5" w:space="0" w:color="152935"/>
              <w:right w:val="nil"/>
            </w:tcBorders>
          </w:tcPr>
          <w:p w14:paraId="10CF6C9F" w14:textId="77777777" w:rsidR="009E4375" w:rsidRDefault="009E4375">
            <w:pPr>
              <w:spacing w:line="436" w:lineRule="auto"/>
            </w:pPr>
          </w:p>
        </w:tc>
        <w:tc>
          <w:tcPr>
            <w:tcW w:w="2700" w:type="dxa"/>
            <w:tcBorders>
              <w:top w:val="single" w:sz="5" w:space="0" w:color="AEAEAE"/>
              <w:left w:val="nil"/>
              <w:bottom w:val="single" w:sz="5" w:space="0" w:color="AEAEAE"/>
              <w:right w:val="nil"/>
            </w:tcBorders>
            <w:tcMar>
              <w:top w:w="0" w:type="dxa"/>
              <w:left w:w="0" w:type="dxa"/>
              <w:bottom w:w="0" w:type="dxa"/>
              <w:right w:w="0" w:type="dxa"/>
            </w:tcMar>
          </w:tcPr>
          <w:p w14:paraId="10CF6CA0" w14:textId="77777777" w:rsidR="009E4375" w:rsidRDefault="00000000">
            <w:pPr>
              <w:spacing w:before="0" w:after="0" w:line="276" w:lineRule="auto"/>
              <w:ind w:left="60" w:right="60"/>
            </w:pPr>
            <w:r>
              <w:t>Sig. (2-tailed)</w:t>
            </w:r>
          </w:p>
        </w:tc>
        <w:tc>
          <w:tcPr>
            <w:tcW w:w="1260" w:type="dxa"/>
            <w:tcBorders>
              <w:top w:val="single" w:sz="5" w:space="0" w:color="AEAEAE"/>
              <w:left w:val="nil"/>
              <w:bottom w:val="single" w:sz="5" w:space="0" w:color="AEAEAE"/>
              <w:right w:val="single" w:sz="5" w:space="0" w:color="E0E0E0"/>
            </w:tcBorders>
            <w:tcMar>
              <w:top w:w="0" w:type="dxa"/>
              <w:left w:w="0" w:type="dxa"/>
              <w:bottom w:w="0" w:type="dxa"/>
              <w:right w:w="0" w:type="dxa"/>
            </w:tcMar>
          </w:tcPr>
          <w:p w14:paraId="10CF6CA1" w14:textId="77777777" w:rsidR="009E4375" w:rsidRDefault="00000000">
            <w:pPr>
              <w:spacing w:before="0" w:after="0" w:line="276" w:lineRule="auto"/>
              <w:ind w:left="60" w:right="60"/>
              <w:jc w:val="right"/>
            </w:pPr>
            <w:r>
              <w:t>.001</w:t>
            </w:r>
          </w:p>
        </w:tc>
        <w:tc>
          <w:tcPr>
            <w:tcW w:w="1518"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A2" w14:textId="77777777" w:rsidR="009E4375" w:rsidRDefault="00000000">
            <w:pPr>
              <w:spacing w:before="0" w:after="0" w:line="276" w:lineRule="auto"/>
              <w:ind w:left="60" w:right="60"/>
              <w:jc w:val="right"/>
            </w:pPr>
            <w:r>
              <w:t>&lt;.001</w:t>
            </w:r>
          </w:p>
        </w:tc>
        <w:tc>
          <w:tcPr>
            <w:tcW w:w="1391" w:type="dxa"/>
            <w:tcBorders>
              <w:top w:val="single" w:sz="5" w:space="0" w:color="AEAEAE"/>
              <w:left w:val="single" w:sz="5" w:space="0" w:color="E0E0E0"/>
              <w:bottom w:val="single" w:sz="5" w:space="0" w:color="AEAEAE"/>
              <w:right w:val="single" w:sz="5" w:space="0" w:color="E0E0E0"/>
            </w:tcBorders>
            <w:tcMar>
              <w:top w:w="0" w:type="dxa"/>
              <w:left w:w="0" w:type="dxa"/>
              <w:bottom w:w="0" w:type="dxa"/>
              <w:right w:w="0" w:type="dxa"/>
            </w:tcMar>
          </w:tcPr>
          <w:p w14:paraId="10CF6CA3" w14:textId="77777777" w:rsidR="009E4375" w:rsidRDefault="00000000">
            <w:pPr>
              <w:spacing w:before="0" w:after="0" w:line="276" w:lineRule="auto"/>
              <w:ind w:left="60" w:right="60"/>
              <w:jc w:val="right"/>
            </w:pPr>
            <w:r>
              <w:t>.169</w:t>
            </w:r>
          </w:p>
        </w:tc>
      </w:tr>
      <w:tr w:rsidR="009E4375" w14:paraId="10CF6CAB" w14:textId="77777777">
        <w:trPr>
          <w:trHeight w:val="330"/>
        </w:trPr>
        <w:tc>
          <w:tcPr>
            <w:tcW w:w="105" w:type="dxa"/>
            <w:vMerge/>
            <w:tcBorders>
              <w:top w:val="single" w:sz="5" w:space="0" w:color="152935"/>
              <w:left w:val="nil"/>
              <w:bottom w:val="single" w:sz="5" w:space="0" w:color="152935"/>
              <w:right w:val="nil"/>
            </w:tcBorders>
          </w:tcPr>
          <w:p w14:paraId="10CF6CA5" w14:textId="77777777" w:rsidR="009E4375" w:rsidRDefault="009E4375">
            <w:pPr>
              <w:spacing w:line="436" w:lineRule="auto"/>
            </w:pPr>
          </w:p>
        </w:tc>
        <w:tc>
          <w:tcPr>
            <w:tcW w:w="2145" w:type="dxa"/>
            <w:vMerge/>
            <w:tcBorders>
              <w:top w:val="single" w:sz="5" w:space="0" w:color="152935"/>
              <w:left w:val="nil"/>
              <w:bottom w:val="single" w:sz="5" w:space="0" w:color="152935"/>
              <w:right w:val="nil"/>
            </w:tcBorders>
          </w:tcPr>
          <w:p w14:paraId="10CF6CA6" w14:textId="77777777" w:rsidR="009E4375" w:rsidRDefault="009E4375">
            <w:pPr>
              <w:spacing w:line="436" w:lineRule="auto"/>
            </w:pPr>
          </w:p>
        </w:tc>
        <w:tc>
          <w:tcPr>
            <w:tcW w:w="2700" w:type="dxa"/>
            <w:tcBorders>
              <w:top w:val="single" w:sz="5" w:space="0" w:color="AEAEAE"/>
              <w:left w:val="nil"/>
              <w:bottom w:val="single" w:sz="5" w:space="0" w:color="152935"/>
              <w:right w:val="nil"/>
            </w:tcBorders>
            <w:tcMar>
              <w:top w:w="0" w:type="dxa"/>
              <w:left w:w="0" w:type="dxa"/>
              <w:bottom w:w="0" w:type="dxa"/>
              <w:right w:w="0" w:type="dxa"/>
            </w:tcMar>
          </w:tcPr>
          <w:p w14:paraId="10CF6CA7" w14:textId="77777777" w:rsidR="009E4375" w:rsidRDefault="00000000">
            <w:pPr>
              <w:spacing w:before="0" w:after="0" w:line="276" w:lineRule="auto"/>
              <w:ind w:left="60" w:right="60"/>
            </w:pPr>
            <w:r>
              <w:t>N</w:t>
            </w:r>
          </w:p>
        </w:tc>
        <w:tc>
          <w:tcPr>
            <w:tcW w:w="1260" w:type="dxa"/>
            <w:tcBorders>
              <w:top w:val="single" w:sz="5" w:space="0" w:color="AEAEAE"/>
              <w:left w:val="nil"/>
              <w:bottom w:val="single" w:sz="5" w:space="0" w:color="152935"/>
              <w:right w:val="single" w:sz="5" w:space="0" w:color="E0E0E0"/>
            </w:tcBorders>
            <w:tcMar>
              <w:top w:w="0" w:type="dxa"/>
              <w:left w:w="0" w:type="dxa"/>
              <w:bottom w:w="0" w:type="dxa"/>
              <w:right w:w="0" w:type="dxa"/>
            </w:tcMar>
          </w:tcPr>
          <w:p w14:paraId="10CF6CA8" w14:textId="77777777" w:rsidR="009E4375" w:rsidRDefault="00000000">
            <w:pPr>
              <w:spacing w:before="0" w:after="0" w:line="276" w:lineRule="auto"/>
              <w:ind w:left="60" w:right="60"/>
              <w:jc w:val="right"/>
            </w:pPr>
            <w:r>
              <w:t>220</w:t>
            </w:r>
          </w:p>
        </w:tc>
        <w:tc>
          <w:tcPr>
            <w:tcW w:w="1518" w:type="dxa"/>
            <w:tcBorders>
              <w:top w:val="single" w:sz="5" w:space="0" w:color="AEAEAE"/>
              <w:left w:val="single" w:sz="5" w:space="0" w:color="E0E0E0"/>
              <w:bottom w:val="single" w:sz="5" w:space="0" w:color="152935"/>
              <w:right w:val="single" w:sz="5" w:space="0" w:color="E0E0E0"/>
            </w:tcBorders>
            <w:tcMar>
              <w:top w:w="0" w:type="dxa"/>
              <w:left w:w="0" w:type="dxa"/>
              <w:bottom w:w="0" w:type="dxa"/>
              <w:right w:w="0" w:type="dxa"/>
            </w:tcMar>
          </w:tcPr>
          <w:p w14:paraId="10CF6CA9" w14:textId="77777777" w:rsidR="009E4375" w:rsidRDefault="00000000">
            <w:pPr>
              <w:spacing w:before="0" w:after="0" w:line="276" w:lineRule="auto"/>
              <w:ind w:left="60" w:right="60"/>
              <w:jc w:val="right"/>
            </w:pPr>
            <w:r>
              <w:t>220</w:t>
            </w:r>
          </w:p>
        </w:tc>
        <w:tc>
          <w:tcPr>
            <w:tcW w:w="1391" w:type="dxa"/>
            <w:tcBorders>
              <w:top w:val="single" w:sz="5" w:space="0" w:color="AEAEAE"/>
              <w:left w:val="single" w:sz="5" w:space="0" w:color="E0E0E0"/>
              <w:bottom w:val="single" w:sz="5" w:space="0" w:color="152935"/>
              <w:right w:val="single" w:sz="5" w:space="0" w:color="E0E0E0"/>
            </w:tcBorders>
            <w:tcMar>
              <w:top w:w="0" w:type="dxa"/>
              <w:left w:w="0" w:type="dxa"/>
              <w:bottom w:w="0" w:type="dxa"/>
              <w:right w:w="0" w:type="dxa"/>
            </w:tcMar>
          </w:tcPr>
          <w:p w14:paraId="10CF6CAA" w14:textId="77777777" w:rsidR="009E4375" w:rsidRDefault="00000000">
            <w:pPr>
              <w:spacing w:before="0" w:after="0" w:line="276" w:lineRule="auto"/>
              <w:ind w:left="60" w:right="60"/>
              <w:jc w:val="right"/>
            </w:pPr>
            <w:r>
              <w:t>100</w:t>
            </w:r>
          </w:p>
        </w:tc>
      </w:tr>
    </w:tbl>
    <w:p w14:paraId="10CF6CAC" w14:textId="77777777" w:rsidR="009E4375" w:rsidRDefault="009E4375">
      <w:pPr>
        <w:spacing w:before="0" w:after="0" w:line="436" w:lineRule="auto"/>
      </w:pPr>
    </w:p>
    <w:p w14:paraId="10CF6CAD" w14:textId="77777777" w:rsidR="009E4375" w:rsidRDefault="00000000">
      <w:pPr>
        <w:widowControl w:val="0"/>
        <w:spacing w:before="0" w:after="200" w:line="240" w:lineRule="auto"/>
        <w:rPr>
          <w:i/>
          <w:iCs/>
          <w:sz w:val="22"/>
          <w:szCs w:val="22"/>
        </w:rPr>
      </w:pPr>
      <w:r>
        <w:rPr>
          <w:i/>
          <w:iCs/>
        </w:rPr>
        <w:t xml:space="preserve">Note. </w:t>
      </w:r>
      <w:r>
        <w:rPr>
          <w:i/>
          <w:iCs/>
          <w:sz w:val="22"/>
          <w:szCs w:val="22"/>
        </w:rPr>
        <w:t>** p &lt; .001</w:t>
      </w:r>
    </w:p>
    <w:p w14:paraId="10CF6CAE" w14:textId="77777777" w:rsidR="009E4375" w:rsidRDefault="009E4375">
      <w:pPr>
        <w:spacing w:before="0" w:after="0"/>
      </w:pPr>
    </w:p>
    <w:p w14:paraId="10CF6CAF" w14:textId="77777777" w:rsidR="009E4375" w:rsidRDefault="00000000">
      <w:pPr>
        <w:spacing w:before="0" w:after="0"/>
      </w:pPr>
      <w:r>
        <w:t xml:space="preserve">2.1 </w:t>
      </w:r>
      <w:r>
        <w:tab/>
        <w:t>What is the relationship between deaf Malaysians’ satisfaction with the signed communication used in the school during the formative school years and their QOL in adulthood?</w:t>
      </w:r>
    </w:p>
    <w:p w14:paraId="10CF6CB0" w14:textId="77777777" w:rsidR="009E4375" w:rsidRDefault="009E4375">
      <w:pPr>
        <w:spacing w:before="0" w:after="0"/>
      </w:pPr>
    </w:p>
    <w:p w14:paraId="10CF6CB1" w14:textId="77777777" w:rsidR="009E4375" w:rsidRDefault="00000000">
      <w:pPr>
        <w:spacing w:line="436" w:lineRule="auto"/>
        <w:ind w:firstLine="720"/>
      </w:pPr>
      <w:r>
        <w:t>In Table 9, Spearman correlations that were conducted indicated that satisfaction with school is significantly related to self-acceptance/advocacy (</w:t>
      </w:r>
      <w:r>
        <w:rPr>
          <w:rFonts w:ascii="Arial Unicode MS" w:eastAsia="Arial Unicode MS" w:hAnsi="Arial Unicode MS" w:cs="Arial Unicode MS"/>
        </w:rPr>
        <w:t>⍴</w:t>
      </w:r>
      <w:r>
        <w:t xml:space="preserve"> = .24, p &lt; .001) and overall QOL (</w:t>
      </w:r>
      <w:r>
        <w:rPr>
          <w:rFonts w:ascii="Arial Unicode MS" w:eastAsia="Arial Unicode MS" w:hAnsi="Arial Unicode MS" w:cs="Arial Unicode MS"/>
        </w:rPr>
        <w:t>⍴</w:t>
      </w:r>
      <w:r>
        <w:t xml:space="preserve"> = .22, p = .001), as satisfaction with school increases, self-</w:t>
      </w:r>
      <w:r>
        <w:lastRenderedPageBreak/>
        <w:t>acceptance/advocacy and overall QOL increase. No relationship was found with perceived stigma (</w:t>
      </w:r>
      <w:r>
        <w:rPr>
          <w:rFonts w:ascii="Arial Unicode MS" w:eastAsia="Arial Unicode MS" w:hAnsi="Arial Unicode MS" w:cs="Arial Unicode MS"/>
        </w:rPr>
        <w:t>⍴</w:t>
      </w:r>
      <w:r>
        <w:t xml:space="preserve"> = .027, p = .69) or with participation (</w:t>
      </w:r>
      <w:r>
        <w:rPr>
          <w:rFonts w:ascii="Arial Unicode MS" w:eastAsia="Arial Unicode MS" w:hAnsi="Arial Unicode MS" w:cs="Arial Unicode MS"/>
        </w:rPr>
        <w:t>⍴</w:t>
      </w:r>
      <w:r>
        <w:t xml:space="preserve"> = .12, p = .081).</w:t>
      </w:r>
    </w:p>
    <w:p w14:paraId="10CF6CB2" w14:textId="77777777" w:rsidR="009E4375" w:rsidRDefault="00000000">
      <w:pPr>
        <w:spacing w:line="436" w:lineRule="auto"/>
        <w:ind w:firstLine="720"/>
      </w:pPr>
      <w:r>
        <w:t xml:space="preserve"> </w:t>
      </w:r>
    </w:p>
    <w:p w14:paraId="10CF6CB3" w14:textId="77777777" w:rsidR="009E4375" w:rsidRDefault="00000000">
      <w:pPr>
        <w:spacing w:before="0" w:after="0"/>
        <w:rPr>
          <w:b/>
          <w:bCs/>
        </w:rPr>
      </w:pPr>
      <w:r>
        <w:rPr>
          <w:b/>
          <w:bCs/>
        </w:rPr>
        <w:t>Table 10</w:t>
      </w:r>
    </w:p>
    <w:p w14:paraId="10CF6CB4" w14:textId="77777777" w:rsidR="009E4375" w:rsidRDefault="00000000">
      <w:pPr>
        <w:spacing w:after="200" w:line="276" w:lineRule="auto"/>
        <w:rPr>
          <w:rFonts w:ascii="Times New Roman" w:eastAsia="Times New Roman" w:hAnsi="Times New Roman" w:cs="Times New Roman"/>
          <w:i/>
          <w:iCs/>
          <w:sz w:val="20"/>
          <w:szCs w:val="20"/>
        </w:rPr>
      </w:pPr>
      <w:r>
        <w:rPr>
          <w:i/>
          <w:iCs/>
        </w:rPr>
        <w:t>Frequency and Percentage of Respondents by the Level of Satisfaction of Signed Communication Used at School</w:t>
      </w:r>
    </w:p>
    <w:tbl>
      <w:tblPr>
        <w:tblStyle w:val="a8"/>
        <w:tblW w:w="96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38"/>
        <w:gridCol w:w="3536"/>
        <w:gridCol w:w="1659"/>
        <w:gridCol w:w="1531"/>
        <w:gridCol w:w="1896"/>
      </w:tblGrid>
      <w:tr w:rsidR="009E4375" w14:paraId="10CF6CB6" w14:textId="77777777">
        <w:trPr>
          <w:trHeight w:val="300"/>
        </w:trPr>
        <w:tc>
          <w:tcPr>
            <w:tcW w:w="7950" w:type="dxa"/>
            <w:gridSpan w:val="5"/>
            <w:tcBorders>
              <w:top w:val="nil"/>
              <w:left w:val="nil"/>
              <w:bottom w:val="nil"/>
              <w:right w:val="nil"/>
            </w:tcBorders>
            <w:shd w:val="clear" w:color="auto" w:fill="FFFFFF"/>
            <w:tcMar>
              <w:top w:w="0" w:type="dxa"/>
              <w:left w:w="0" w:type="dxa"/>
              <w:bottom w:w="0" w:type="dxa"/>
              <w:right w:w="0" w:type="dxa"/>
            </w:tcMar>
          </w:tcPr>
          <w:p w14:paraId="10CF6CB5" w14:textId="77777777" w:rsidR="009E4375" w:rsidRDefault="00000000">
            <w:pPr>
              <w:spacing w:before="0" w:after="0" w:line="276" w:lineRule="auto"/>
              <w:ind w:left="60" w:right="60"/>
              <w:jc w:val="center"/>
              <w:rPr>
                <w:color w:val="010205"/>
              </w:rPr>
            </w:pPr>
            <w:r>
              <w:rPr>
                <w:color w:val="010205"/>
              </w:rPr>
              <w:t>At School</w:t>
            </w:r>
          </w:p>
        </w:tc>
      </w:tr>
      <w:tr w:rsidR="009E4375" w14:paraId="10CF6CBB" w14:textId="77777777">
        <w:trPr>
          <w:trHeight w:val="692"/>
        </w:trPr>
        <w:tc>
          <w:tcPr>
            <w:tcW w:w="3765" w:type="dxa"/>
            <w:gridSpan w:val="2"/>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CB7" w14:textId="77777777" w:rsidR="009E4375" w:rsidRDefault="00000000">
            <w:pPr>
              <w:spacing w:before="0" w:after="0" w:line="276" w:lineRule="auto"/>
            </w:pPr>
            <w:r>
              <w:t xml:space="preserve"> </w:t>
            </w:r>
          </w:p>
        </w:tc>
        <w:tc>
          <w:tcPr>
            <w:tcW w:w="136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CB8" w14:textId="77777777" w:rsidR="009E4375" w:rsidRDefault="00000000">
            <w:pPr>
              <w:spacing w:before="0" w:after="0" w:line="276" w:lineRule="auto"/>
              <w:ind w:left="60" w:right="60"/>
              <w:jc w:val="center"/>
            </w:pPr>
            <w:r>
              <w:t>Frequency</w:t>
            </w:r>
          </w:p>
        </w:tc>
        <w:tc>
          <w:tcPr>
            <w:tcW w:w="126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CB9" w14:textId="77777777" w:rsidR="009E4375" w:rsidRDefault="00000000">
            <w:pPr>
              <w:spacing w:before="0" w:after="0" w:line="276" w:lineRule="auto"/>
              <w:ind w:left="60" w:right="60"/>
              <w:jc w:val="center"/>
            </w:pPr>
            <w:r>
              <w:t>Percent</w:t>
            </w:r>
          </w:p>
        </w:tc>
        <w:tc>
          <w:tcPr>
            <w:tcW w:w="156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CBA" w14:textId="77777777" w:rsidR="009E4375" w:rsidRDefault="00000000">
            <w:pPr>
              <w:spacing w:before="0" w:after="0" w:line="276" w:lineRule="auto"/>
              <w:ind w:left="60" w:right="60"/>
              <w:jc w:val="center"/>
            </w:pPr>
            <w:r>
              <w:t>Valid Percent</w:t>
            </w:r>
          </w:p>
        </w:tc>
      </w:tr>
      <w:tr w:rsidR="009E4375" w14:paraId="10CF6CC1" w14:textId="77777777">
        <w:trPr>
          <w:trHeight w:val="420"/>
        </w:trPr>
        <w:tc>
          <w:tcPr>
            <w:tcW w:w="855" w:type="dxa"/>
            <w:vMerge w:val="restart"/>
            <w:tcBorders>
              <w:top w:val="nil"/>
              <w:left w:val="nil"/>
              <w:bottom w:val="single" w:sz="5" w:space="0" w:color="152935"/>
              <w:right w:val="nil"/>
            </w:tcBorders>
            <w:shd w:val="clear" w:color="auto" w:fill="E0E0E0"/>
            <w:tcMar>
              <w:top w:w="0" w:type="dxa"/>
              <w:left w:w="0" w:type="dxa"/>
              <w:bottom w:w="0" w:type="dxa"/>
              <w:right w:w="0" w:type="dxa"/>
            </w:tcMar>
          </w:tcPr>
          <w:p w14:paraId="10CF6CBC" w14:textId="77777777" w:rsidR="009E4375" w:rsidRDefault="00000000">
            <w:pPr>
              <w:spacing w:before="0" w:after="0" w:line="276" w:lineRule="auto"/>
              <w:ind w:left="60" w:right="60"/>
            </w:pPr>
            <w:r>
              <w:t>Valid</w:t>
            </w:r>
          </w:p>
        </w:tc>
        <w:tc>
          <w:tcPr>
            <w:tcW w:w="2910" w:type="dxa"/>
            <w:tcBorders>
              <w:top w:val="nil"/>
              <w:left w:val="nil"/>
              <w:bottom w:val="single" w:sz="5" w:space="0" w:color="AEAEAE"/>
              <w:right w:val="nil"/>
            </w:tcBorders>
            <w:shd w:val="clear" w:color="auto" w:fill="E0E0E0"/>
            <w:tcMar>
              <w:top w:w="0" w:type="dxa"/>
              <w:left w:w="0" w:type="dxa"/>
              <w:bottom w:w="0" w:type="dxa"/>
              <w:right w:w="0" w:type="dxa"/>
            </w:tcMar>
          </w:tcPr>
          <w:p w14:paraId="10CF6CBD" w14:textId="77777777" w:rsidR="009E4375" w:rsidRDefault="00000000">
            <w:pPr>
              <w:spacing w:before="0" w:after="0" w:line="276" w:lineRule="auto"/>
              <w:ind w:left="60" w:right="60"/>
            </w:pPr>
            <w:r>
              <w:t>Very unsatisfied</w:t>
            </w:r>
          </w:p>
        </w:tc>
        <w:tc>
          <w:tcPr>
            <w:tcW w:w="1365" w:type="dxa"/>
            <w:tcBorders>
              <w:top w:val="nil"/>
              <w:left w:val="nil"/>
              <w:bottom w:val="single" w:sz="5" w:space="0" w:color="AEAEAE"/>
              <w:right w:val="nil"/>
            </w:tcBorders>
            <w:shd w:val="clear" w:color="auto" w:fill="F9F9FB"/>
            <w:tcMar>
              <w:top w:w="0" w:type="dxa"/>
              <w:left w:w="0" w:type="dxa"/>
              <w:bottom w:w="0" w:type="dxa"/>
              <w:right w:w="0" w:type="dxa"/>
            </w:tcMar>
          </w:tcPr>
          <w:p w14:paraId="10CF6CBE" w14:textId="77777777" w:rsidR="009E4375" w:rsidRDefault="00000000">
            <w:pPr>
              <w:spacing w:before="0" w:after="0" w:line="276" w:lineRule="auto"/>
              <w:ind w:left="60" w:right="60"/>
              <w:jc w:val="right"/>
            </w:pPr>
            <w:r>
              <w:t>11</w:t>
            </w:r>
          </w:p>
        </w:tc>
        <w:tc>
          <w:tcPr>
            <w:tcW w:w="12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BF" w14:textId="77777777" w:rsidR="009E4375" w:rsidRDefault="00000000">
            <w:pPr>
              <w:spacing w:before="0" w:after="0" w:line="276" w:lineRule="auto"/>
              <w:ind w:left="60" w:right="60"/>
              <w:jc w:val="right"/>
            </w:pPr>
            <w:r>
              <w:t>5.0</w:t>
            </w:r>
          </w:p>
        </w:tc>
        <w:tc>
          <w:tcPr>
            <w:tcW w:w="15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C0" w14:textId="77777777" w:rsidR="009E4375" w:rsidRDefault="00000000">
            <w:pPr>
              <w:spacing w:before="0" w:after="0" w:line="276" w:lineRule="auto"/>
              <w:ind w:left="60" w:right="60"/>
              <w:jc w:val="right"/>
            </w:pPr>
            <w:r>
              <w:t>5.0</w:t>
            </w:r>
          </w:p>
        </w:tc>
      </w:tr>
      <w:tr w:rsidR="009E4375" w14:paraId="10CF6CC7" w14:textId="77777777">
        <w:trPr>
          <w:trHeight w:val="375"/>
        </w:trPr>
        <w:tc>
          <w:tcPr>
            <w:tcW w:w="855" w:type="dxa"/>
            <w:vMerge/>
            <w:tcBorders>
              <w:top w:val="nil"/>
              <w:left w:val="nil"/>
              <w:bottom w:val="single" w:sz="5" w:space="0" w:color="152935"/>
              <w:right w:val="nil"/>
            </w:tcBorders>
            <w:tcMar>
              <w:top w:w="100" w:type="dxa"/>
              <w:left w:w="100" w:type="dxa"/>
              <w:bottom w:w="100" w:type="dxa"/>
              <w:right w:w="100" w:type="dxa"/>
            </w:tcMar>
          </w:tcPr>
          <w:p w14:paraId="10CF6CC2" w14:textId="77777777" w:rsidR="009E4375" w:rsidRDefault="009E4375">
            <w:pPr>
              <w:rPr>
                <w:rFonts w:ascii="Times New Roman" w:eastAsia="Times New Roman" w:hAnsi="Times New Roman" w:cs="Times New Roman"/>
              </w:rPr>
            </w:pPr>
          </w:p>
        </w:tc>
        <w:tc>
          <w:tcPr>
            <w:tcW w:w="2910" w:type="dxa"/>
            <w:tcBorders>
              <w:top w:val="nil"/>
              <w:left w:val="nil"/>
              <w:bottom w:val="single" w:sz="5" w:space="0" w:color="AEAEAE"/>
              <w:right w:val="nil"/>
            </w:tcBorders>
            <w:shd w:val="clear" w:color="auto" w:fill="E0E0E0"/>
            <w:tcMar>
              <w:top w:w="0" w:type="dxa"/>
              <w:left w:w="0" w:type="dxa"/>
              <w:bottom w:w="0" w:type="dxa"/>
              <w:right w:w="0" w:type="dxa"/>
            </w:tcMar>
          </w:tcPr>
          <w:p w14:paraId="10CF6CC3" w14:textId="77777777" w:rsidR="009E4375" w:rsidRDefault="00000000">
            <w:pPr>
              <w:spacing w:before="0" w:after="0" w:line="276" w:lineRule="auto"/>
              <w:ind w:left="60" w:right="60"/>
            </w:pPr>
            <w:r>
              <w:t>Unsatisfied</w:t>
            </w:r>
          </w:p>
        </w:tc>
        <w:tc>
          <w:tcPr>
            <w:tcW w:w="1365" w:type="dxa"/>
            <w:tcBorders>
              <w:top w:val="nil"/>
              <w:left w:val="nil"/>
              <w:bottom w:val="single" w:sz="5" w:space="0" w:color="AEAEAE"/>
              <w:right w:val="nil"/>
            </w:tcBorders>
            <w:shd w:val="clear" w:color="auto" w:fill="F9F9FB"/>
            <w:tcMar>
              <w:top w:w="0" w:type="dxa"/>
              <w:left w:w="0" w:type="dxa"/>
              <w:bottom w:w="0" w:type="dxa"/>
              <w:right w:w="0" w:type="dxa"/>
            </w:tcMar>
          </w:tcPr>
          <w:p w14:paraId="10CF6CC4" w14:textId="77777777" w:rsidR="009E4375" w:rsidRDefault="00000000">
            <w:pPr>
              <w:spacing w:before="0" w:after="0" w:line="276" w:lineRule="auto"/>
              <w:ind w:left="60" w:right="60"/>
              <w:jc w:val="right"/>
            </w:pPr>
            <w:r>
              <w:t>63</w:t>
            </w:r>
          </w:p>
        </w:tc>
        <w:tc>
          <w:tcPr>
            <w:tcW w:w="12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C5" w14:textId="77777777" w:rsidR="009E4375" w:rsidRDefault="00000000">
            <w:pPr>
              <w:spacing w:before="0" w:after="0" w:line="276" w:lineRule="auto"/>
              <w:ind w:left="60" w:right="60"/>
              <w:jc w:val="right"/>
            </w:pPr>
            <w:r>
              <w:t>28.6</w:t>
            </w:r>
          </w:p>
        </w:tc>
        <w:tc>
          <w:tcPr>
            <w:tcW w:w="15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C6" w14:textId="77777777" w:rsidR="009E4375" w:rsidRDefault="00000000">
            <w:pPr>
              <w:spacing w:before="0" w:after="0" w:line="276" w:lineRule="auto"/>
              <w:ind w:left="60" w:right="60"/>
              <w:jc w:val="right"/>
            </w:pPr>
            <w:r>
              <w:t>28.6</w:t>
            </w:r>
          </w:p>
        </w:tc>
      </w:tr>
      <w:tr w:rsidR="009E4375" w14:paraId="10CF6CCD" w14:textId="77777777">
        <w:trPr>
          <w:trHeight w:val="465"/>
        </w:trPr>
        <w:tc>
          <w:tcPr>
            <w:tcW w:w="855" w:type="dxa"/>
            <w:vMerge/>
            <w:tcBorders>
              <w:top w:val="nil"/>
              <w:left w:val="nil"/>
              <w:bottom w:val="single" w:sz="5" w:space="0" w:color="152935"/>
              <w:right w:val="nil"/>
            </w:tcBorders>
            <w:tcMar>
              <w:top w:w="100" w:type="dxa"/>
              <w:left w:w="100" w:type="dxa"/>
              <w:bottom w:w="100" w:type="dxa"/>
              <w:right w:w="100" w:type="dxa"/>
            </w:tcMar>
          </w:tcPr>
          <w:p w14:paraId="10CF6CC8" w14:textId="77777777" w:rsidR="009E4375" w:rsidRDefault="009E4375">
            <w:pPr>
              <w:rPr>
                <w:rFonts w:ascii="Times New Roman" w:eastAsia="Times New Roman" w:hAnsi="Times New Roman" w:cs="Times New Roman"/>
              </w:rPr>
            </w:pPr>
          </w:p>
        </w:tc>
        <w:tc>
          <w:tcPr>
            <w:tcW w:w="2910" w:type="dxa"/>
            <w:tcBorders>
              <w:top w:val="nil"/>
              <w:left w:val="nil"/>
              <w:bottom w:val="single" w:sz="5" w:space="0" w:color="AEAEAE"/>
              <w:right w:val="nil"/>
            </w:tcBorders>
            <w:shd w:val="clear" w:color="auto" w:fill="E0E0E0"/>
            <w:tcMar>
              <w:top w:w="0" w:type="dxa"/>
              <w:left w:w="0" w:type="dxa"/>
              <w:bottom w:w="0" w:type="dxa"/>
              <w:right w:w="0" w:type="dxa"/>
            </w:tcMar>
          </w:tcPr>
          <w:p w14:paraId="10CF6CC9" w14:textId="77777777" w:rsidR="009E4375" w:rsidRDefault="00000000">
            <w:pPr>
              <w:spacing w:before="0" w:after="0" w:line="276" w:lineRule="auto"/>
              <w:ind w:left="60" w:right="60"/>
            </w:pPr>
            <w:r>
              <w:t>Satisfied</w:t>
            </w:r>
          </w:p>
        </w:tc>
        <w:tc>
          <w:tcPr>
            <w:tcW w:w="1365" w:type="dxa"/>
            <w:tcBorders>
              <w:top w:val="nil"/>
              <w:left w:val="nil"/>
              <w:bottom w:val="single" w:sz="5" w:space="0" w:color="AEAEAE"/>
              <w:right w:val="nil"/>
            </w:tcBorders>
            <w:shd w:val="clear" w:color="auto" w:fill="F9F9FB"/>
            <w:tcMar>
              <w:top w:w="0" w:type="dxa"/>
              <w:left w:w="0" w:type="dxa"/>
              <w:bottom w:w="0" w:type="dxa"/>
              <w:right w:w="0" w:type="dxa"/>
            </w:tcMar>
          </w:tcPr>
          <w:p w14:paraId="10CF6CCA" w14:textId="77777777" w:rsidR="009E4375" w:rsidRDefault="00000000">
            <w:pPr>
              <w:spacing w:before="0" w:after="0" w:line="276" w:lineRule="auto"/>
              <w:ind w:left="60" w:right="60"/>
              <w:jc w:val="right"/>
            </w:pPr>
            <w:r>
              <w:t>115</w:t>
            </w:r>
          </w:p>
        </w:tc>
        <w:tc>
          <w:tcPr>
            <w:tcW w:w="12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CB" w14:textId="77777777" w:rsidR="009E4375" w:rsidRDefault="00000000">
            <w:pPr>
              <w:spacing w:before="0" w:after="0" w:line="276" w:lineRule="auto"/>
              <w:ind w:left="60" w:right="60"/>
              <w:jc w:val="right"/>
            </w:pPr>
            <w:r>
              <w:t>52.3</w:t>
            </w:r>
          </w:p>
        </w:tc>
        <w:tc>
          <w:tcPr>
            <w:tcW w:w="15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CC" w14:textId="77777777" w:rsidR="009E4375" w:rsidRDefault="00000000">
            <w:pPr>
              <w:spacing w:before="0" w:after="0" w:line="276" w:lineRule="auto"/>
              <w:ind w:left="60" w:right="60"/>
              <w:jc w:val="right"/>
            </w:pPr>
            <w:r>
              <w:t>52.3</w:t>
            </w:r>
          </w:p>
        </w:tc>
      </w:tr>
      <w:tr w:rsidR="009E4375" w14:paraId="10CF6CD3" w14:textId="77777777">
        <w:trPr>
          <w:trHeight w:val="465"/>
        </w:trPr>
        <w:tc>
          <w:tcPr>
            <w:tcW w:w="855" w:type="dxa"/>
            <w:vMerge/>
            <w:tcBorders>
              <w:top w:val="nil"/>
              <w:left w:val="nil"/>
              <w:bottom w:val="single" w:sz="5" w:space="0" w:color="152935"/>
              <w:right w:val="nil"/>
            </w:tcBorders>
            <w:tcMar>
              <w:top w:w="100" w:type="dxa"/>
              <w:left w:w="100" w:type="dxa"/>
              <w:bottom w:w="100" w:type="dxa"/>
              <w:right w:w="100" w:type="dxa"/>
            </w:tcMar>
          </w:tcPr>
          <w:p w14:paraId="10CF6CCE" w14:textId="77777777" w:rsidR="009E4375" w:rsidRDefault="009E4375">
            <w:pPr>
              <w:rPr>
                <w:rFonts w:ascii="Times New Roman" w:eastAsia="Times New Roman" w:hAnsi="Times New Roman" w:cs="Times New Roman"/>
              </w:rPr>
            </w:pPr>
          </w:p>
        </w:tc>
        <w:tc>
          <w:tcPr>
            <w:tcW w:w="2910" w:type="dxa"/>
            <w:tcBorders>
              <w:top w:val="nil"/>
              <w:left w:val="nil"/>
              <w:bottom w:val="single" w:sz="5" w:space="0" w:color="AEAEAE"/>
              <w:right w:val="nil"/>
            </w:tcBorders>
            <w:shd w:val="clear" w:color="auto" w:fill="E0E0E0"/>
            <w:tcMar>
              <w:top w:w="0" w:type="dxa"/>
              <w:left w:w="0" w:type="dxa"/>
              <w:bottom w:w="0" w:type="dxa"/>
              <w:right w:w="0" w:type="dxa"/>
            </w:tcMar>
          </w:tcPr>
          <w:p w14:paraId="10CF6CCF" w14:textId="77777777" w:rsidR="009E4375" w:rsidRDefault="00000000">
            <w:pPr>
              <w:spacing w:before="0" w:after="0" w:line="276" w:lineRule="auto"/>
              <w:ind w:left="60" w:right="60"/>
            </w:pPr>
            <w:r>
              <w:t>Very Satisfied</w:t>
            </w:r>
          </w:p>
        </w:tc>
        <w:tc>
          <w:tcPr>
            <w:tcW w:w="1365" w:type="dxa"/>
            <w:tcBorders>
              <w:top w:val="nil"/>
              <w:left w:val="nil"/>
              <w:bottom w:val="single" w:sz="5" w:space="0" w:color="AEAEAE"/>
              <w:right w:val="nil"/>
            </w:tcBorders>
            <w:shd w:val="clear" w:color="auto" w:fill="F9F9FB"/>
            <w:tcMar>
              <w:top w:w="0" w:type="dxa"/>
              <w:left w:w="0" w:type="dxa"/>
              <w:bottom w:w="0" w:type="dxa"/>
              <w:right w:w="0" w:type="dxa"/>
            </w:tcMar>
          </w:tcPr>
          <w:p w14:paraId="10CF6CD0" w14:textId="77777777" w:rsidR="009E4375" w:rsidRDefault="00000000">
            <w:pPr>
              <w:spacing w:before="0" w:after="0" w:line="276" w:lineRule="auto"/>
              <w:ind w:left="60" w:right="60"/>
              <w:jc w:val="right"/>
            </w:pPr>
            <w:r>
              <w:t>31</w:t>
            </w:r>
          </w:p>
        </w:tc>
        <w:tc>
          <w:tcPr>
            <w:tcW w:w="12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D1" w14:textId="77777777" w:rsidR="009E4375" w:rsidRDefault="00000000">
            <w:pPr>
              <w:spacing w:before="0" w:after="0" w:line="276" w:lineRule="auto"/>
              <w:ind w:left="60" w:right="60"/>
              <w:jc w:val="right"/>
            </w:pPr>
            <w:r>
              <w:t>14.1</w:t>
            </w:r>
          </w:p>
        </w:tc>
        <w:tc>
          <w:tcPr>
            <w:tcW w:w="156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CD2" w14:textId="77777777" w:rsidR="009E4375" w:rsidRDefault="00000000">
            <w:pPr>
              <w:spacing w:before="0" w:after="0" w:line="276" w:lineRule="auto"/>
              <w:ind w:left="60" w:right="60"/>
              <w:jc w:val="right"/>
            </w:pPr>
            <w:r>
              <w:t>14.1</w:t>
            </w:r>
          </w:p>
        </w:tc>
      </w:tr>
      <w:tr w:rsidR="009E4375" w14:paraId="10CF6CD9" w14:textId="77777777">
        <w:trPr>
          <w:trHeight w:val="482"/>
        </w:trPr>
        <w:tc>
          <w:tcPr>
            <w:tcW w:w="855" w:type="dxa"/>
            <w:vMerge/>
            <w:tcBorders>
              <w:top w:val="nil"/>
              <w:left w:val="nil"/>
              <w:bottom w:val="single" w:sz="5" w:space="0" w:color="152935"/>
              <w:right w:val="nil"/>
            </w:tcBorders>
            <w:tcMar>
              <w:top w:w="100" w:type="dxa"/>
              <w:left w:w="100" w:type="dxa"/>
              <w:bottom w:w="100" w:type="dxa"/>
              <w:right w:w="100" w:type="dxa"/>
            </w:tcMar>
          </w:tcPr>
          <w:p w14:paraId="10CF6CD4" w14:textId="77777777" w:rsidR="009E4375" w:rsidRDefault="009E4375">
            <w:pPr>
              <w:rPr>
                <w:rFonts w:ascii="Times New Roman" w:eastAsia="Times New Roman" w:hAnsi="Times New Roman" w:cs="Times New Roman"/>
              </w:rPr>
            </w:pPr>
          </w:p>
        </w:tc>
        <w:tc>
          <w:tcPr>
            <w:tcW w:w="2910" w:type="dxa"/>
            <w:tcBorders>
              <w:top w:val="nil"/>
              <w:left w:val="nil"/>
              <w:bottom w:val="single" w:sz="5" w:space="0" w:color="152935"/>
              <w:right w:val="nil"/>
            </w:tcBorders>
            <w:shd w:val="clear" w:color="auto" w:fill="E0E0E0"/>
            <w:tcMar>
              <w:top w:w="0" w:type="dxa"/>
              <w:left w:w="0" w:type="dxa"/>
              <w:bottom w:w="0" w:type="dxa"/>
              <w:right w:w="0" w:type="dxa"/>
            </w:tcMar>
          </w:tcPr>
          <w:p w14:paraId="10CF6CD5" w14:textId="77777777" w:rsidR="009E4375" w:rsidRDefault="00000000">
            <w:pPr>
              <w:spacing w:before="0" w:after="0" w:line="276" w:lineRule="auto"/>
              <w:ind w:left="60" w:right="60"/>
            </w:pPr>
            <w:r>
              <w:t>Total</w:t>
            </w:r>
          </w:p>
        </w:tc>
        <w:tc>
          <w:tcPr>
            <w:tcW w:w="1365" w:type="dxa"/>
            <w:tcBorders>
              <w:top w:val="nil"/>
              <w:left w:val="nil"/>
              <w:bottom w:val="single" w:sz="5" w:space="0" w:color="152935"/>
              <w:right w:val="nil"/>
            </w:tcBorders>
            <w:shd w:val="clear" w:color="auto" w:fill="F9F9FB"/>
            <w:tcMar>
              <w:top w:w="0" w:type="dxa"/>
              <w:left w:w="0" w:type="dxa"/>
              <w:bottom w:w="0" w:type="dxa"/>
              <w:right w:w="0" w:type="dxa"/>
            </w:tcMar>
          </w:tcPr>
          <w:p w14:paraId="10CF6CD6" w14:textId="77777777" w:rsidR="009E4375" w:rsidRDefault="00000000">
            <w:pPr>
              <w:spacing w:before="0" w:after="0" w:line="276" w:lineRule="auto"/>
              <w:ind w:left="60" w:right="60"/>
              <w:jc w:val="right"/>
            </w:pPr>
            <w:r>
              <w:t>220</w:t>
            </w:r>
          </w:p>
        </w:tc>
        <w:tc>
          <w:tcPr>
            <w:tcW w:w="126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D7" w14:textId="77777777" w:rsidR="009E4375" w:rsidRDefault="00000000">
            <w:pPr>
              <w:spacing w:before="0" w:after="0" w:line="276" w:lineRule="auto"/>
              <w:ind w:right="60"/>
              <w:jc w:val="right"/>
            </w:pPr>
            <w:r>
              <w:t>100.0</w:t>
            </w:r>
          </w:p>
        </w:tc>
        <w:tc>
          <w:tcPr>
            <w:tcW w:w="156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CD8" w14:textId="77777777" w:rsidR="009E4375" w:rsidRDefault="00000000">
            <w:pPr>
              <w:spacing w:before="0" w:after="0" w:line="276" w:lineRule="auto"/>
              <w:ind w:left="60" w:right="60"/>
              <w:jc w:val="right"/>
            </w:pPr>
            <w:r>
              <w:t>100.0</w:t>
            </w:r>
          </w:p>
        </w:tc>
      </w:tr>
    </w:tbl>
    <w:p w14:paraId="10CF6CDA" w14:textId="77777777" w:rsidR="009E4375" w:rsidRDefault="009E4375">
      <w:pPr>
        <w:spacing w:line="436" w:lineRule="auto"/>
        <w:rPr>
          <w:rFonts w:ascii="Times New Roman" w:eastAsia="Times New Roman" w:hAnsi="Times New Roman" w:cs="Times New Roman"/>
        </w:rPr>
      </w:pPr>
    </w:p>
    <w:p w14:paraId="10CF6CDB" w14:textId="77777777" w:rsidR="009E4375" w:rsidRDefault="00000000">
      <w:pPr>
        <w:spacing w:line="436" w:lineRule="auto"/>
      </w:pPr>
      <w:r>
        <w:t xml:space="preserve">2.2 </w:t>
      </w:r>
      <w:r>
        <w:tab/>
        <w:t>What is the relationship between deaf Malaysians’ satisfaction with the signed communication used with their family members at home during their formative school years and their QOL in adulthood?</w:t>
      </w:r>
    </w:p>
    <w:p w14:paraId="10CF6CDF" w14:textId="033BE54D" w:rsidR="009E4375" w:rsidRDefault="00000000" w:rsidP="000D6730">
      <w:pPr>
        <w:spacing w:line="436" w:lineRule="auto"/>
        <w:ind w:firstLine="720"/>
      </w:pPr>
      <w:r>
        <w:t>In Table 9, Satisfaction with family is significantly related to self-acceptance/advocacy (</w:t>
      </w:r>
      <w:r>
        <w:rPr>
          <w:rFonts w:ascii="Arial Unicode MS" w:eastAsia="Arial Unicode MS" w:hAnsi="Arial Unicode MS" w:cs="Arial Unicode MS"/>
        </w:rPr>
        <w:t>⍴</w:t>
      </w:r>
      <w:r>
        <w:t xml:space="preserve"> = .29, p &lt; .001), and overall QOL (</w:t>
      </w:r>
      <w:r>
        <w:rPr>
          <w:rFonts w:ascii="Arial Unicode MS" w:eastAsia="Arial Unicode MS" w:hAnsi="Arial Unicode MS" w:cs="Arial Unicode MS"/>
        </w:rPr>
        <w:t>⍴</w:t>
      </w:r>
      <w:r>
        <w:t xml:space="preserve"> = .24, p &lt; .001). No relationship was found with perceived stigma (</w:t>
      </w:r>
      <w:r>
        <w:rPr>
          <w:rFonts w:ascii="Arial Unicode MS" w:eastAsia="Arial Unicode MS" w:hAnsi="Arial Unicode MS" w:cs="Arial Unicode MS"/>
        </w:rPr>
        <w:t>⍴</w:t>
      </w:r>
      <w:r>
        <w:t xml:space="preserve"> = .089, p = .19) or participation (</w:t>
      </w:r>
      <w:r>
        <w:rPr>
          <w:rFonts w:ascii="Arial Unicode MS" w:eastAsia="Arial Unicode MS" w:hAnsi="Arial Unicode MS" w:cs="Arial Unicode MS"/>
        </w:rPr>
        <w:t>⍴</w:t>
      </w:r>
      <w:r>
        <w:t xml:space="preserve"> = .067, p = .325). The relationship between self-acceptance/advocacy and family </w:t>
      </w:r>
      <w:r>
        <w:lastRenderedPageBreak/>
        <w:t>satisfaction is significant. Satisfaction with family increases, self-acceptance/advocacy, and overall QOL increases.</w:t>
      </w:r>
    </w:p>
    <w:p w14:paraId="29B01C57" w14:textId="77777777" w:rsidR="000D6730" w:rsidRDefault="000D6730" w:rsidP="000D6730">
      <w:pPr>
        <w:spacing w:line="436" w:lineRule="auto"/>
        <w:ind w:firstLine="720"/>
      </w:pPr>
    </w:p>
    <w:p w14:paraId="10CF6CE0" w14:textId="77777777" w:rsidR="009E4375" w:rsidRDefault="00000000">
      <w:pPr>
        <w:spacing w:line="436" w:lineRule="auto"/>
        <w:rPr>
          <w:b/>
          <w:bCs/>
        </w:rPr>
      </w:pPr>
      <w:r>
        <w:rPr>
          <w:b/>
          <w:bCs/>
        </w:rPr>
        <w:t>Table 11</w:t>
      </w:r>
    </w:p>
    <w:p w14:paraId="10CF6CE1" w14:textId="77777777" w:rsidR="009E4375" w:rsidRDefault="00000000">
      <w:pPr>
        <w:spacing w:after="200" w:line="276" w:lineRule="auto"/>
        <w:rPr>
          <w:i/>
          <w:iCs/>
        </w:rPr>
      </w:pPr>
      <w:r>
        <w:rPr>
          <w:i/>
          <w:iCs/>
        </w:rPr>
        <w:t>Frequency and Percentage of Respondents by the Level of Satisfaction of Signed Communication Used at Home</w:t>
      </w:r>
    </w:p>
    <w:tbl>
      <w:tblPr>
        <w:tblStyle w:val="a9"/>
        <w:tblW w:w="95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42"/>
        <w:gridCol w:w="3237"/>
        <w:gridCol w:w="1756"/>
        <w:gridCol w:w="1427"/>
        <w:gridCol w:w="2048"/>
      </w:tblGrid>
      <w:tr w:rsidR="009E4375" w14:paraId="10CF6CE3" w14:textId="77777777">
        <w:trPr>
          <w:trHeight w:val="360"/>
        </w:trPr>
        <w:tc>
          <w:tcPr>
            <w:tcW w:w="7800" w:type="dxa"/>
            <w:gridSpan w:val="5"/>
            <w:tcBorders>
              <w:top w:val="nil"/>
              <w:left w:val="nil"/>
              <w:bottom w:val="nil"/>
              <w:right w:val="nil"/>
            </w:tcBorders>
            <w:shd w:val="clear" w:color="auto" w:fill="FFFFFF"/>
            <w:tcMar>
              <w:top w:w="0" w:type="dxa"/>
              <w:left w:w="0" w:type="dxa"/>
              <w:bottom w:w="0" w:type="dxa"/>
              <w:right w:w="0" w:type="dxa"/>
            </w:tcMar>
          </w:tcPr>
          <w:p w14:paraId="10CF6CE2" w14:textId="77777777" w:rsidR="009E4375" w:rsidRDefault="00000000">
            <w:pPr>
              <w:spacing w:before="0" w:after="0" w:line="276" w:lineRule="auto"/>
              <w:ind w:left="60" w:right="60"/>
              <w:jc w:val="center"/>
              <w:rPr>
                <w:color w:val="010205"/>
              </w:rPr>
            </w:pPr>
            <w:r>
              <w:rPr>
                <w:color w:val="010205"/>
              </w:rPr>
              <w:t>At Home</w:t>
            </w:r>
          </w:p>
        </w:tc>
      </w:tr>
      <w:tr w:rsidR="009E4375" w14:paraId="10CF6CE8" w14:textId="77777777">
        <w:trPr>
          <w:trHeight w:val="645"/>
        </w:trPr>
        <w:tc>
          <w:tcPr>
            <w:tcW w:w="3510" w:type="dxa"/>
            <w:gridSpan w:val="2"/>
            <w:tcBorders>
              <w:top w:val="nil"/>
              <w:left w:val="nil"/>
              <w:bottom w:val="single" w:sz="5" w:space="0" w:color="152935"/>
              <w:right w:val="nil"/>
            </w:tcBorders>
            <w:shd w:val="clear" w:color="auto" w:fill="FFFFFF"/>
            <w:tcMar>
              <w:top w:w="0" w:type="dxa"/>
              <w:left w:w="0" w:type="dxa"/>
              <w:bottom w:w="0" w:type="dxa"/>
              <w:right w:w="0" w:type="dxa"/>
            </w:tcMar>
            <w:vAlign w:val="center"/>
          </w:tcPr>
          <w:p w14:paraId="10CF6CE4" w14:textId="77777777" w:rsidR="009E4375" w:rsidRDefault="00000000">
            <w:pPr>
              <w:spacing w:line="240" w:lineRule="auto"/>
            </w:pPr>
            <w:r>
              <w:t xml:space="preserve"> </w:t>
            </w:r>
          </w:p>
        </w:tc>
        <w:tc>
          <w:tcPr>
            <w:tcW w:w="1440" w:type="dxa"/>
            <w:tcBorders>
              <w:top w:val="nil"/>
              <w:left w:val="nil"/>
              <w:bottom w:val="single" w:sz="5" w:space="0" w:color="152935"/>
              <w:right w:val="nil"/>
            </w:tcBorders>
            <w:shd w:val="clear" w:color="auto" w:fill="FFFFFF"/>
            <w:tcMar>
              <w:top w:w="0" w:type="dxa"/>
              <w:left w:w="0" w:type="dxa"/>
              <w:bottom w:w="0" w:type="dxa"/>
              <w:right w:w="0" w:type="dxa"/>
            </w:tcMar>
            <w:vAlign w:val="center"/>
          </w:tcPr>
          <w:p w14:paraId="10CF6CE5" w14:textId="77777777" w:rsidR="009E4375" w:rsidRDefault="00000000">
            <w:pPr>
              <w:spacing w:before="0" w:after="0" w:line="240" w:lineRule="auto"/>
              <w:ind w:left="60" w:right="60"/>
              <w:jc w:val="center"/>
            </w:pPr>
            <w:r>
              <w:t>Frequency</w:t>
            </w:r>
          </w:p>
        </w:tc>
        <w:tc>
          <w:tcPr>
            <w:tcW w:w="117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center"/>
          </w:tcPr>
          <w:p w14:paraId="10CF6CE6" w14:textId="77777777" w:rsidR="009E4375" w:rsidRDefault="00000000">
            <w:pPr>
              <w:spacing w:before="0" w:after="0" w:line="240" w:lineRule="auto"/>
              <w:ind w:left="60" w:right="60"/>
              <w:jc w:val="center"/>
            </w:pPr>
            <w:r>
              <w:t>Percent</w:t>
            </w:r>
          </w:p>
        </w:tc>
        <w:tc>
          <w:tcPr>
            <w:tcW w:w="168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center"/>
          </w:tcPr>
          <w:p w14:paraId="10CF6CE7" w14:textId="77777777" w:rsidR="009E4375" w:rsidRDefault="00000000">
            <w:pPr>
              <w:spacing w:before="0" w:after="0" w:line="240" w:lineRule="auto"/>
              <w:ind w:left="60" w:right="60"/>
              <w:jc w:val="center"/>
            </w:pPr>
            <w:r>
              <w:t>Valid Percent</w:t>
            </w:r>
          </w:p>
        </w:tc>
      </w:tr>
      <w:tr w:rsidR="009E4375" w14:paraId="10CF6CEE" w14:textId="77777777">
        <w:trPr>
          <w:trHeight w:val="360"/>
        </w:trPr>
        <w:tc>
          <w:tcPr>
            <w:tcW w:w="855" w:type="dxa"/>
            <w:vMerge w:val="restart"/>
            <w:tcBorders>
              <w:top w:val="nil"/>
              <w:left w:val="nil"/>
              <w:bottom w:val="single" w:sz="5" w:space="0" w:color="152935"/>
              <w:right w:val="nil"/>
            </w:tcBorders>
            <w:shd w:val="clear" w:color="auto" w:fill="E0E0E0"/>
            <w:tcMar>
              <w:top w:w="0" w:type="dxa"/>
              <w:left w:w="0" w:type="dxa"/>
              <w:bottom w:w="0" w:type="dxa"/>
              <w:right w:w="0" w:type="dxa"/>
            </w:tcMar>
            <w:vAlign w:val="center"/>
          </w:tcPr>
          <w:p w14:paraId="10CF6CE9" w14:textId="77777777" w:rsidR="009E4375" w:rsidRDefault="00000000">
            <w:pPr>
              <w:spacing w:before="0" w:after="0" w:line="276" w:lineRule="auto"/>
              <w:ind w:left="60" w:right="60"/>
            </w:pPr>
            <w:r>
              <w:t>Valid</w:t>
            </w: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vAlign w:val="center"/>
          </w:tcPr>
          <w:p w14:paraId="10CF6CEA" w14:textId="77777777" w:rsidR="009E4375" w:rsidRDefault="00000000">
            <w:pPr>
              <w:spacing w:before="0" w:after="0" w:line="276" w:lineRule="auto"/>
              <w:ind w:left="60" w:right="60"/>
            </w:pPr>
            <w:r>
              <w:t>Very unsatisfied</w:t>
            </w:r>
          </w:p>
        </w:tc>
        <w:tc>
          <w:tcPr>
            <w:tcW w:w="1440" w:type="dxa"/>
            <w:tcBorders>
              <w:top w:val="nil"/>
              <w:left w:val="nil"/>
              <w:bottom w:val="single" w:sz="5" w:space="0" w:color="AEAEAE"/>
              <w:right w:val="nil"/>
            </w:tcBorders>
            <w:shd w:val="clear" w:color="auto" w:fill="F9F9FB"/>
            <w:tcMar>
              <w:top w:w="0" w:type="dxa"/>
              <w:left w:w="0" w:type="dxa"/>
              <w:bottom w:w="0" w:type="dxa"/>
              <w:right w:w="0" w:type="dxa"/>
            </w:tcMar>
            <w:vAlign w:val="center"/>
          </w:tcPr>
          <w:p w14:paraId="10CF6CEB" w14:textId="77777777" w:rsidR="009E4375" w:rsidRDefault="00000000">
            <w:pPr>
              <w:spacing w:before="0" w:after="0" w:line="276" w:lineRule="auto"/>
              <w:ind w:left="60" w:right="60"/>
              <w:jc w:val="right"/>
              <w:rPr>
                <w:color w:val="010205"/>
              </w:rPr>
            </w:pPr>
            <w:r>
              <w:rPr>
                <w:color w:val="010205"/>
              </w:rPr>
              <w:t>11</w:t>
            </w:r>
          </w:p>
        </w:tc>
        <w:tc>
          <w:tcPr>
            <w:tcW w:w="117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EC" w14:textId="77777777" w:rsidR="009E4375" w:rsidRDefault="00000000">
            <w:pPr>
              <w:spacing w:before="0" w:after="0" w:line="276" w:lineRule="auto"/>
              <w:ind w:left="60" w:right="60"/>
              <w:jc w:val="right"/>
              <w:rPr>
                <w:color w:val="010205"/>
              </w:rPr>
            </w:pPr>
            <w:r>
              <w:rPr>
                <w:color w:val="010205"/>
              </w:rPr>
              <w:t>5.0</w:t>
            </w:r>
          </w:p>
        </w:tc>
        <w:tc>
          <w:tcPr>
            <w:tcW w:w="168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ED" w14:textId="77777777" w:rsidR="009E4375" w:rsidRDefault="00000000">
            <w:pPr>
              <w:spacing w:before="0" w:after="0" w:line="276" w:lineRule="auto"/>
              <w:ind w:left="60" w:right="60"/>
              <w:jc w:val="right"/>
              <w:rPr>
                <w:color w:val="010205"/>
              </w:rPr>
            </w:pPr>
            <w:r>
              <w:rPr>
                <w:color w:val="010205"/>
              </w:rPr>
              <w:t>5.0</w:t>
            </w:r>
          </w:p>
        </w:tc>
      </w:tr>
      <w:tr w:rsidR="009E4375" w14:paraId="10CF6CF4" w14:textId="77777777">
        <w:trPr>
          <w:trHeight w:val="390"/>
        </w:trPr>
        <w:tc>
          <w:tcPr>
            <w:tcW w:w="855" w:type="dxa"/>
            <w:vMerge/>
            <w:tcBorders>
              <w:top w:val="nil"/>
              <w:left w:val="nil"/>
              <w:bottom w:val="single" w:sz="5" w:space="0" w:color="152935"/>
              <w:right w:val="nil"/>
            </w:tcBorders>
            <w:tcMar>
              <w:top w:w="100" w:type="dxa"/>
              <w:left w:w="100" w:type="dxa"/>
              <w:bottom w:w="100" w:type="dxa"/>
              <w:right w:w="100" w:type="dxa"/>
            </w:tcMar>
            <w:vAlign w:val="center"/>
          </w:tcPr>
          <w:p w14:paraId="10CF6CEF"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vAlign w:val="center"/>
          </w:tcPr>
          <w:p w14:paraId="10CF6CF0" w14:textId="77777777" w:rsidR="009E4375" w:rsidRDefault="00000000">
            <w:pPr>
              <w:spacing w:before="0" w:after="0" w:line="276" w:lineRule="auto"/>
              <w:ind w:left="60" w:right="60"/>
            </w:pPr>
            <w:r>
              <w:t>Unsatisfied</w:t>
            </w:r>
          </w:p>
        </w:tc>
        <w:tc>
          <w:tcPr>
            <w:tcW w:w="1440" w:type="dxa"/>
            <w:tcBorders>
              <w:top w:val="nil"/>
              <w:left w:val="nil"/>
              <w:bottom w:val="single" w:sz="5" w:space="0" w:color="AEAEAE"/>
              <w:right w:val="nil"/>
            </w:tcBorders>
            <w:shd w:val="clear" w:color="auto" w:fill="F9F9FB"/>
            <w:tcMar>
              <w:top w:w="0" w:type="dxa"/>
              <w:left w:w="0" w:type="dxa"/>
              <w:bottom w:w="0" w:type="dxa"/>
              <w:right w:w="0" w:type="dxa"/>
            </w:tcMar>
            <w:vAlign w:val="center"/>
          </w:tcPr>
          <w:p w14:paraId="10CF6CF1" w14:textId="77777777" w:rsidR="009E4375" w:rsidRDefault="00000000">
            <w:pPr>
              <w:spacing w:before="0" w:after="0" w:line="276" w:lineRule="auto"/>
              <w:ind w:left="60" w:right="60"/>
              <w:jc w:val="right"/>
              <w:rPr>
                <w:color w:val="010205"/>
              </w:rPr>
            </w:pPr>
            <w:r>
              <w:rPr>
                <w:color w:val="010205"/>
              </w:rPr>
              <w:t>60</w:t>
            </w:r>
          </w:p>
        </w:tc>
        <w:tc>
          <w:tcPr>
            <w:tcW w:w="117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F2" w14:textId="77777777" w:rsidR="009E4375" w:rsidRDefault="00000000">
            <w:pPr>
              <w:spacing w:before="0" w:after="0" w:line="276" w:lineRule="auto"/>
              <w:ind w:left="60" w:right="60"/>
              <w:jc w:val="right"/>
              <w:rPr>
                <w:color w:val="010205"/>
              </w:rPr>
            </w:pPr>
            <w:r>
              <w:rPr>
                <w:color w:val="010205"/>
              </w:rPr>
              <w:t>27.3</w:t>
            </w:r>
          </w:p>
        </w:tc>
        <w:tc>
          <w:tcPr>
            <w:tcW w:w="168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F3" w14:textId="77777777" w:rsidR="009E4375" w:rsidRDefault="00000000">
            <w:pPr>
              <w:spacing w:before="0" w:after="0" w:line="276" w:lineRule="auto"/>
              <w:ind w:left="60" w:right="60"/>
              <w:jc w:val="right"/>
              <w:rPr>
                <w:color w:val="010205"/>
              </w:rPr>
            </w:pPr>
            <w:r>
              <w:rPr>
                <w:color w:val="010205"/>
              </w:rPr>
              <w:t>27.3</w:t>
            </w:r>
          </w:p>
        </w:tc>
      </w:tr>
      <w:tr w:rsidR="009E4375" w14:paraId="10CF6CFA" w14:textId="77777777">
        <w:trPr>
          <w:trHeight w:val="390"/>
        </w:trPr>
        <w:tc>
          <w:tcPr>
            <w:tcW w:w="855" w:type="dxa"/>
            <w:vMerge/>
            <w:tcBorders>
              <w:top w:val="nil"/>
              <w:left w:val="nil"/>
              <w:bottom w:val="single" w:sz="5" w:space="0" w:color="152935"/>
              <w:right w:val="nil"/>
            </w:tcBorders>
            <w:tcMar>
              <w:top w:w="100" w:type="dxa"/>
              <w:left w:w="100" w:type="dxa"/>
              <w:bottom w:w="100" w:type="dxa"/>
              <w:right w:w="100" w:type="dxa"/>
            </w:tcMar>
            <w:vAlign w:val="center"/>
          </w:tcPr>
          <w:p w14:paraId="10CF6CF5"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vAlign w:val="center"/>
          </w:tcPr>
          <w:p w14:paraId="10CF6CF6" w14:textId="77777777" w:rsidR="009E4375" w:rsidRDefault="00000000">
            <w:pPr>
              <w:spacing w:before="0" w:after="0" w:line="276" w:lineRule="auto"/>
              <w:ind w:left="60" w:right="60"/>
            </w:pPr>
            <w:r>
              <w:t>Satisfied</w:t>
            </w:r>
          </w:p>
        </w:tc>
        <w:tc>
          <w:tcPr>
            <w:tcW w:w="1440" w:type="dxa"/>
            <w:tcBorders>
              <w:top w:val="nil"/>
              <w:left w:val="nil"/>
              <w:bottom w:val="single" w:sz="5" w:space="0" w:color="AEAEAE"/>
              <w:right w:val="nil"/>
            </w:tcBorders>
            <w:shd w:val="clear" w:color="auto" w:fill="F9F9FB"/>
            <w:tcMar>
              <w:top w:w="0" w:type="dxa"/>
              <w:left w:w="0" w:type="dxa"/>
              <w:bottom w:w="0" w:type="dxa"/>
              <w:right w:w="0" w:type="dxa"/>
            </w:tcMar>
            <w:vAlign w:val="center"/>
          </w:tcPr>
          <w:p w14:paraId="10CF6CF7" w14:textId="77777777" w:rsidR="009E4375" w:rsidRDefault="00000000">
            <w:pPr>
              <w:spacing w:before="0" w:after="0" w:line="276" w:lineRule="auto"/>
              <w:ind w:left="60" w:right="60"/>
              <w:jc w:val="right"/>
              <w:rPr>
                <w:color w:val="010205"/>
              </w:rPr>
            </w:pPr>
            <w:r>
              <w:rPr>
                <w:color w:val="010205"/>
              </w:rPr>
              <w:t>128</w:t>
            </w:r>
          </w:p>
        </w:tc>
        <w:tc>
          <w:tcPr>
            <w:tcW w:w="117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F8" w14:textId="77777777" w:rsidR="009E4375" w:rsidRDefault="00000000">
            <w:pPr>
              <w:spacing w:before="0" w:after="0" w:line="276" w:lineRule="auto"/>
              <w:ind w:left="60" w:right="60"/>
              <w:jc w:val="right"/>
              <w:rPr>
                <w:color w:val="010205"/>
              </w:rPr>
            </w:pPr>
            <w:r>
              <w:rPr>
                <w:color w:val="010205"/>
              </w:rPr>
              <w:t>58.2</w:t>
            </w:r>
          </w:p>
        </w:tc>
        <w:tc>
          <w:tcPr>
            <w:tcW w:w="168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F9" w14:textId="77777777" w:rsidR="009E4375" w:rsidRDefault="00000000">
            <w:pPr>
              <w:spacing w:before="0" w:after="0" w:line="276" w:lineRule="auto"/>
              <w:ind w:left="60" w:right="60"/>
              <w:jc w:val="right"/>
              <w:rPr>
                <w:color w:val="010205"/>
              </w:rPr>
            </w:pPr>
            <w:r>
              <w:rPr>
                <w:color w:val="010205"/>
              </w:rPr>
              <w:t>58.2</w:t>
            </w:r>
          </w:p>
        </w:tc>
      </w:tr>
      <w:tr w:rsidR="009E4375" w14:paraId="10CF6D00" w14:textId="77777777">
        <w:trPr>
          <w:trHeight w:val="375"/>
        </w:trPr>
        <w:tc>
          <w:tcPr>
            <w:tcW w:w="855" w:type="dxa"/>
            <w:vMerge/>
            <w:tcBorders>
              <w:top w:val="nil"/>
              <w:left w:val="nil"/>
              <w:bottom w:val="single" w:sz="5" w:space="0" w:color="152935"/>
              <w:right w:val="nil"/>
            </w:tcBorders>
            <w:tcMar>
              <w:top w:w="100" w:type="dxa"/>
              <w:left w:w="100" w:type="dxa"/>
              <w:bottom w:w="100" w:type="dxa"/>
              <w:right w:w="100" w:type="dxa"/>
            </w:tcMar>
            <w:vAlign w:val="center"/>
          </w:tcPr>
          <w:p w14:paraId="10CF6CFB"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vAlign w:val="center"/>
          </w:tcPr>
          <w:p w14:paraId="10CF6CFC" w14:textId="77777777" w:rsidR="009E4375" w:rsidRDefault="00000000">
            <w:pPr>
              <w:spacing w:before="0" w:after="0" w:line="276" w:lineRule="auto"/>
              <w:ind w:left="60" w:right="60"/>
            </w:pPr>
            <w:r>
              <w:t>Very Satisfied</w:t>
            </w:r>
          </w:p>
        </w:tc>
        <w:tc>
          <w:tcPr>
            <w:tcW w:w="1440" w:type="dxa"/>
            <w:tcBorders>
              <w:top w:val="nil"/>
              <w:left w:val="nil"/>
              <w:bottom w:val="single" w:sz="5" w:space="0" w:color="AEAEAE"/>
              <w:right w:val="nil"/>
            </w:tcBorders>
            <w:shd w:val="clear" w:color="auto" w:fill="F9F9FB"/>
            <w:tcMar>
              <w:top w:w="0" w:type="dxa"/>
              <w:left w:w="0" w:type="dxa"/>
              <w:bottom w:w="0" w:type="dxa"/>
              <w:right w:w="0" w:type="dxa"/>
            </w:tcMar>
            <w:vAlign w:val="center"/>
          </w:tcPr>
          <w:p w14:paraId="10CF6CFD" w14:textId="77777777" w:rsidR="009E4375" w:rsidRDefault="00000000">
            <w:pPr>
              <w:spacing w:before="0" w:after="0" w:line="276" w:lineRule="auto"/>
              <w:ind w:left="60" w:right="60"/>
              <w:jc w:val="right"/>
              <w:rPr>
                <w:color w:val="010205"/>
              </w:rPr>
            </w:pPr>
            <w:r>
              <w:rPr>
                <w:color w:val="010205"/>
              </w:rPr>
              <w:t>21</w:t>
            </w:r>
          </w:p>
        </w:tc>
        <w:tc>
          <w:tcPr>
            <w:tcW w:w="117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FE" w14:textId="77777777" w:rsidR="009E4375" w:rsidRDefault="00000000">
            <w:pPr>
              <w:spacing w:before="0" w:after="0" w:line="276" w:lineRule="auto"/>
              <w:ind w:left="60" w:right="60"/>
              <w:jc w:val="right"/>
              <w:rPr>
                <w:color w:val="010205"/>
              </w:rPr>
            </w:pPr>
            <w:r>
              <w:rPr>
                <w:color w:val="010205"/>
              </w:rPr>
              <w:t>9.5</w:t>
            </w:r>
          </w:p>
        </w:tc>
        <w:tc>
          <w:tcPr>
            <w:tcW w:w="168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CFF" w14:textId="77777777" w:rsidR="009E4375" w:rsidRDefault="00000000">
            <w:pPr>
              <w:spacing w:before="0" w:after="0" w:line="276" w:lineRule="auto"/>
              <w:ind w:left="60" w:right="60"/>
              <w:jc w:val="right"/>
              <w:rPr>
                <w:color w:val="010205"/>
              </w:rPr>
            </w:pPr>
            <w:r>
              <w:rPr>
                <w:color w:val="010205"/>
              </w:rPr>
              <w:t>9.5</w:t>
            </w:r>
          </w:p>
        </w:tc>
      </w:tr>
      <w:tr w:rsidR="009E4375" w14:paraId="10CF6D06" w14:textId="77777777">
        <w:trPr>
          <w:trHeight w:val="422"/>
        </w:trPr>
        <w:tc>
          <w:tcPr>
            <w:tcW w:w="855" w:type="dxa"/>
            <w:vMerge/>
            <w:tcBorders>
              <w:top w:val="nil"/>
              <w:left w:val="nil"/>
              <w:bottom w:val="single" w:sz="5" w:space="0" w:color="152935"/>
              <w:right w:val="nil"/>
            </w:tcBorders>
            <w:tcMar>
              <w:top w:w="100" w:type="dxa"/>
              <w:left w:w="100" w:type="dxa"/>
              <w:bottom w:w="100" w:type="dxa"/>
              <w:right w:w="100" w:type="dxa"/>
            </w:tcMar>
            <w:vAlign w:val="center"/>
          </w:tcPr>
          <w:p w14:paraId="10CF6D01"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152935"/>
              <w:right w:val="nil"/>
            </w:tcBorders>
            <w:shd w:val="clear" w:color="auto" w:fill="E0E0E0"/>
            <w:tcMar>
              <w:top w:w="0" w:type="dxa"/>
              <w:left w:w="0" w:type="dxa"/>
              <w:bottom w:w="0" w:type="dxa"/>
              <w:right w:w="0" w:type="dxa"/>
            </w:tcMar>
            <w:vAlign w:val="center"/>
          </w:tcPr>
          <w:p w14:paraId="10CF6D02" w14:textId="77777777" w:rsidR="009E4375" w:rsidRDefault="00000000">
            <w:pPr>
              <w:spacing w:before="0" w:after="0" w:line="276" w:lineRule="auto"/>
              <w:ind w:left="60" w:right="60"/>
            </w:pPr>
            <w:r>
              <w:t>Total</w:t>
            </w:r>
          </w:p>
        </w:tc>
        <w:tc>
          <w:tcPr>
            <w:tcW w:w="144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10CF6D03" w14:textId="77777777" w:rsidR="009E4375" w:rsidRDefault="00000000">
            <w:pPr>
              <w:spacing w:before="0" w:after="0" w:line="276" w:lineRule="auto"/>
              <w:ind w:left="60" w:right="60"/>
              <w:jc w:val="right"/>
              <w:rPr>
                <w:color w:val="010205"/>
              </w:rPr>
            </w:pPr>
            <w:r>
              <w:rPr>
                <w:color w:val="010205"/>
              </w:rPr>
              <w:t>220</w:t>
            </w:r>
          </w:p>
        </w:tc>
        <w:tc>
          <w:tcPr>
            <w:tcW w:w="117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vAlign w:val="center"/>
          </w:tcPr>
          <w:p w14:paraId="10CF6D04" w14:textId="77777777" w:rsidR="009E4375" w:rsidRDefault="00000000">
            <w:pPr>
              <w:spacing w:before="0" w:after="0" w:line="276" w:lineRule="auto"/>
              <w:ind w:left="60" w:right="60"/>
              <w:jc w:val="right"/>
              <w:rPr>
                <w:color w:val="010205"/>
              </w:rPr>
            </w:pPr>
            <w:r>
              <w:rPr>
                <w:color w:val="010205"/>
              </w:rPr>
              <w:t>100.0</w:t>
            </w:r>
          </w:p>
        </w:tc>
        <w:tc>
          <w:tcPr>
            <w:tcW w:w="168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vAlign w:val="center"/>
          </w:tcPr>
          <w:p w14:paraId="10CF6D05" w14:textId="77777777" w:rsidR="009E4375" w:rsidRDefault="00000000">
            <w:pPr>
              <w:spacing w:before="0" w:after="0" w:line="276" w:lineRule="auto"/>
              <w:ind w:left="60" w:right="60"/>
              <w:jc w:val="right"/>
              <w:rPr>
                <w:color w:val="010205"/>
              </w:rPr>
            </w:pPr>
            <w:r>
              <w:rPr>
                <w:color w:val="010205"/>
              </w:rPr>
              <w:t>100.0</w:t>
            </w:r>
          </w:p>
        </w:tc>
      </w:tr>
    </w:tbl>
    <w:p w14:paraId="10CF6D07" w14:textId="77777777" w:rsidR="009E4375" w:rsidRDefault="00000000">
      <w:pPr>
        <w:spacing w:line="436" w:lineRule="auto"/>
      </w:pPr>
      <w:r>
        <w:rPr>
          <w:rFonts w:ascii="Times New Roman" w:eastAsia="Times New Roman" w:hAnsi="Times New Roman" w:cs="Times New Roman"/>
        </w:rPr>
        <w:t xml:space="preserve"> </w:t>
      </w:r>
    </w:p>
    <w:p w14:paraId="10CF6D08" w14:textId="77777777" w:rsidR="009E4375" w:rsidRDefault="00000000">
      <w:pPr>
        <w:spacing w:before="0" w:after="0"/>
      </w:pPr>
      <w:r>
        <w:t>2.3</w:t>
      </w:r>
      <w:r>
        <w:tab/>
        <w:t>What is the relationship between deaf Malaysians’ satisfaction with the signed communication used with their friends in the dormitories during their formative school years and their QOL in adulthood?</w:t>
      </w:r>
    </w:p>
    <w:p w14:paraId="10CF6D09" w14:textId="77777777" w:rsidR="009E4375" w:rsidRDefault="009E4375">
      <w:pPr>
        <w:spacing w:before="0" w:after="0"/>
      </w:pPr>
    </w:p>
    <w:p w14:paraId="14BF3E65" w14:textId="77777777" w:rsidR="00897D9F" w:rsidRDefault="00897D9F" w:rsidP="00897D9F">
      <w:pPr>
        <w:spacing w:before="0" w:after="0" w:line="436" w:lineRule="auto"/>
        <w:ind w:firstLine="720"/>
      </w:pPr>
      <w:r>
        <w:t xml:space="preserve">In Table 9, satisfaction with dorm is significantly related to </w:t>
      </w:r>
      <w:proofErr w:type="spellStart"/>
      <w:r>
        <w:t>self acceptance</w:t>
      </w:r>
      <w:proofErr w:type="spellEnd"/>
      <w:r>
        <w:t>/advocacy (</w:t>
      </w:r>
      <w:r>
        <w:rPr>
          <w:rFonts w:ascii="Arial Unicode MS" w:eastAsia="Arial Unicode MS" w:hAnsi="Arial Unicode MS" w:cs="Arial Unicode MS"/>
        </w:rPr>
        <w:t>⍴</w:t>
      </w:r>
      <w:r>
        <w:t xml:space="preserve"> = .32, p = .002). No relationship was found with perceived stigma (</w:t>
      </w:r>
      <w:r>
        <w:rPr>
          <w:rFonts w:ascii="Arial Unicode MS" w:eastAsia="Arial Unicode MS" w:hAnsi="Arial Unicode MS" w:cs="Arial Unicode MS"/>
        </w:rPr>
        <w:t>⍴</w:t>
      </w:r>
      <w:r>
        <w:t xml:space="preserve"> = -0.016, p = .88), participation (</w:t>
      </w:r>
      <w:r>
        <w:rPr>
          <w:rFonts w:ascii="Arial Unicode MS" w:eastAsia="Arial Unicode MS" w:hAnsi="Arial Unicode MS" w:cs="Arial Unicode MS"/>
        </w:rPr>
        <w:t>⍴</w:t>
      </w:r>
      <w:r>
        <w:t xml:space="preserve"> = -0.11, p = .28), or overall QOL (</w:t>
      </w:r>
      <w:r>
        <w:rPr>
          <w:rFonts w:ascii="Arial Unicode MS" w:eastAsia="Arial Unicode MS" w:hAnsi="Arial Unicode MS" w:cs="Arial Unicode MS"/>
        </w:rPr>
        <w:t>⍴</w:t>
      </w:r>
      <w:r>
        <w:t xml:space="preserve"> = .14, p = .17). Satisfaction with dorm increases, self-acceptance/advocacy increases.</w:t>
      </w:r>
    </w:p>
    <w:p w14:paraId="25C1E505" w14:textId="77777777" w:rsidR="00897D9F" w:rsidRDefault="00897D9F">
      <w:pPr>
        <w:spacing w:before="0" w:after="0"/>
      </w:pPr>
    </w:p>
    <w:p w14:paraId="4A6F482A" w14:textId="77777777" w:rsidR="00897D9F" w:rsidRDefault="00897D9F">
      <w:pPr>
        <w:spacing w:before="0" w:after="0"/>
      </w:pPr>
    </w:p>
    <w:p w14:paraId="10CF6D0A" w14:textId="77777777" w:rsidR="009E4375" w:rsidRDefault="00000000">
      <w:pPr>
        <w:spacing w:before="0" w:after="0" w:line="436" w:lineRule="auto"/>
        <w:rPr>
          <w:b/>
          <w:bCs/>
        </w:rPr>
      </w:pPr>
      <w:r>
        <w:rPr>
          <w:b/>
          <w:bCs/>
        </w:rPr>
        <w:lastRenderedPageBreak/>
        <w:t>Table 12</w:t>
      </w:r>
    </w:p>
    <w:p w14:paraId="10CF6D0B" w14:textId="77777777" w:rsidR="009E4375" w:rsidRDefault="00000000">
      <w:pPr>
        <w:spacing w:after="200" w:line="276" w:lineRule="auto"/>
        <w:rPr>
          <w:b/>
          <w:bCs/>
          <w:i/>
          <w:iCs/>
        </w:rPr>
      </w:pPr>
      <w:r>
        <w:rPr>
          <w:i/>
          <w:iCs/>
        </w:rPr>
        <w:t>Frequency and Percentage of Respondents by the Level of Satisfaction of Signed Communication Used at Dormitories</w:t>
      </w:r>
    </w:p>
    <w:tbl>
      <w:tblPr>
        <w:tblStyle w:val="aa"/>
        <w:tblW w:w="99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95"/>
        <w:gridCol w:w="3205"/>
        <w:gridCol w:w="1793"/>
        <w:gridCol w:w="1485"/>
        <w:gridCol w:w="2282"/>
      </w:tblGrid>
      <w:tr w:rsidR="009E4375" w14:paraId="10CF6D0D" w14:textId="77777777">
        <w:trPr>
          <w:trHeight w:val="344"/>
        </w:trPr>
        <w:tc>
          <w:tcPr>
            <w:tcW w:w="8250" w:type="dxa"/>
            <w:gridSpan w:val="5"/>
            <w:tcBorders>
              <w:top w:val="nil"/>
              <w:left w:val="nil"/>
              <w:bottom w:val="nil"/>
              <w:right w:val="nil"/>
            </w:tcBorders>
            <w:shd w:val="clear" w:color="auto" w:fill="FFFFFF"/>
            <w:tcMar>
              <w:top w:w="0" w:type="dxa"/>
              <w:left w:w="0" w:type="dxa"/>
              <w:bottom w:w="0" w:type="dxa"/>
              <w:right w:w="0" w:type="dxa"/>
            </w:tcMar>
          </w:tcPr>
          <w:p w14:paraId="10CF6D0C" w14:textId="77777777" w:rsidR="009E4375" w:rsidRDefault="00000000">
            <w:pPr>
              <w:spacing w:before="0" w:after="0" w:line="276" w:lineRule="auto"/>
              <w:ind w:left="60" w:right="60"/>
              <w:jc w:val="center"/>
              <w:rPr>
                <w:color w:val="010205"/>
              </w:rPr>
            </w:pPr>
            <w:r>
              <w:rPr>
                <w:color w:val="010205"/>
              </w:rPr>
              <w:t>At Dormitories</w:t>
            </w:r>
          </w:p>
        </w:tc>
      </w:tr>
      <w:tr w:rsidR="009E4375" w14:paraId="10CF6D12" w14:textId="77777777">
        <w:trPr>
          <w:trHeight w:val="499"/>
        </w:trPr>
        <w:tc>
          <w:tcPr>
            <w:tcW w:w="3645" w:type="dxa"/>
            <w:gridSpan w:val="2"/>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0E" w14:textId="77777777" w:rsidR="009E4375" w:rsidRDefault="00000000">
            <w:pPr>
              <w:spacing w:before="0" w:after="0" w:line="276" w:lineRule="auto"/>
            </w:pPr>
            <w:r>
              <w:t xml:space="preserve"> </w:t>
            </w:r>
          </w:p>
        </w:tc>
        <w:tc>
          <w:tcPr>
            <w:tcW w:w="148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0F" w14:textId="77777777" w:rsidR="009E4375" w:rsidRDefault="00000000">
            <w:pPr>
              <w:spacing w:before="0" w:after="0" w:line="276" w:lineRule="auto"/>
              <w:ind w:right="60"/>
              <w:jc w:val="center"/>
            </w:pPr>
            <w:r>
              <w:t>Frequency</w:t>
            </w:r>
          </w:p>
        </w:tc>
        <w:tc>
          <w:tcPr>
            <w:tcW w:w="123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10" w14:textId="77777777" w:rsidR="009E4375" w:rsidRDefault="00000000">
            <w:pPr>
              <w:spacing w:before="0" w:after="0" w:line="276" w:lineRule="auto"/>
              <w:ind w:left="60" w:right="60"/>
              <w:jc w:val="center"/>
            </w:pPr>
            <w:r>
              <w:t>Percent</w:t>
            </w:r>
          </w:p>
        </w:tc>
        <w:tc>
          <w:tcPr>
            <w:tcW w:w="189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11" w14:textId="77777777" w:rsidR="009E4375" w:rsidRDefault="00000000">
            <w:pPr>
              <w:spacing w:before="0" w:after="0" w:line="276" w:lineRule="auto"/>
              <w:ind w:left="60" w:right="60"/>
              <w:jc w:val="center"/>
            </w:pPr>
            <w:r>
              <w:t>Valid Percent</w:t>
            </w:r>
          </w:p>
        </w:tc>
      </w:tr>
      <w:tr w:rsidR="009E4375" w14:paraId="10CF6D18" w14:textId="77777777">
        <w:trPr>
          <w:trHeight w:val="420"/>
        </w:trPr>
        <w:tc>
          <w:tcPr>
            <w:tcW w:w="990" w:type="dxa"/>
            <w:vMerge w:val="restart"/>
            <w:tcBorders>
              <w:top w:val="nil"/>
              <w:left w:val="nil"/>
              <w:bottom w:val="single" w:sz="5" w:space="0" w:color="152935"/>
              <w:right w:val="nil"/>
            </w:tcBorders>
            <w:shd w:val="clear" w:color="auto" w:fill="E0E0E0"/>
            <w:tcMar>
              <w:top w:w="0" w:type="dxa"/>
              <w:left w:w="0" w:type="dxa"/>
              <w:bottom w:w="0" w:type="dxa"/>
              <w:right w:w="0" w:type="dxa"/>
            </w:tcMar>
          </w:tcPr>
          <w:p w14:paraId="10CF6D13" w14:textId="77777777" w:rsidR="009E4375" w:rsidRDefault="00000000">
            <w:pPr>
              <w:spacing w:before="0" w:after="0" w:line="276" w:lineRule="auto"/>
              <w:ind w:left="60" w:right="60"/>
            </w:pPr>
            <w:r>
              <w:t>Valid</w:t>
            </w: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tcPr>
          <w:p w14:paraId="10CF6D14" w14:textId="77777777" w:rsidR="009E4375" w:rsidRDefault="00000000">
            <w:pPr>
              <w:spacing w:before="0" w:after="0" w:line="276" w:lineRule="auto"/>
              <w:ind w:left="60" w:right="60"/>
            </w:pPr>
            <w:r>
              <w:t>Very unsatisfied</w:t>
            </w:r>
          </w:p>
        </w:tc>
        <w:tc>
          <w:tcPr>
            <w:tcW w:w="1485" w:type="dxa"/>
            <w:tcBorders>
              <w:top w:val="nil"/>
              <w:left w:val="nil"/>
              <w:bottom w:val="single" w:sz="5" w:space="0" w:color="AEAEAE"/>
              <w:right w:val="nil"/>
            </w:tcBorders>
            <w:shd w:val="clear" w:color="auto" w:fill="F9F9FB"/>
            <w:tcMar>
              <w:top w:w="0" w:type="dxa"/>
              <w:left w:w="0" w:type="dxa"/>
              <w:bottom w:w="0" w:type="dxa"/>
              <w:right w:w="0" w:type="dxa"/>
            </w:tcMar>
          </w:tcPr>
          <w:p w14:paraId="10CF6D15" w14:textId="77777777" w:rsidR="009E4375" w:rsidRDefault="00000000">
            <w:pPr>
              <w:spacing w:before="0" w:after="0" w:line="276" w:lineRule="auto"/>
              <w:ind w:left="60" w:right="60"/>
              <w:jc w:val="right"/>
            </w:pPr>
            <w:r>
              <w:t>3</w:t>
            </w:r>
          </w:p>
        </w:tc>
        <w:tc>
          <w:tcPr>
            <w:tcW w:w="123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16" w14:textId="77777777" w:rsidR="009E4375" w:rsidRDefault="00000000">
            <w:pPr>
              <w:spacing w:before="0" w:after="0" w:line="276" w:lineRule="auto"/>
              <w:ind w:left="60" w:right="60"/>
              <w:jc w:val="right"/>
            </w:pPr>
            <w:r>
              <w:t>1.4</w:t>
            </w:r>
          </w:p>
        </w:tc>
        <w:tc>
          <w:tcPr>
            <w:tcW w:w="18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17" w14:textId="77777777" w:rsidR="009E4375" w:rsidRDefault="00000000">
            <w:pPr>
              <w:spacing w:before="0" w:after="0" w:line="276" w:lineRule="auto"/>
              <w:ind w:left="60" w:right="60"/>
              <w:jc w:val="right"/>
            </w:pPr>
            <w:r>
              <w:t>3.0</w:t>
            </w:r>
          </w:p>
        </w:tc>
      </w:tr>
      <w:tr w:rsidR="009E4375" w14:paraId="10CF6D1E" w14:textId="77777777">
        <w:trPr>
          <w:trHeight w:val="390"/>
        </w:trPr>
        <w:tc>
          <w:tcPr>
            <w:tcW w:w="990" w:type="dxa"/>
            <w:vMerge/>
            <w:tcBorders>
              <w:top w:val="nil"/>
              <w:left w:val="nil"/>
              <w:bottom w:val="single" w:sz="5" w:space="0" w:color="152935"/>
              <w:right w:val="nil"/>
            </w:tcBorders>
            <w:tcMar>
              <w:top w:w="100" w:type="dxa"/>
              <w:left w:w="100" w:type="dxa"/>
              <w:bottom w:w="100" w:type="dxa"/>
              <w:right w:w="100" w:type="dxa"/>
            </w:tcMar>
          </w:tcPr>
          <w:p w14:paraId="10CF6D19"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tcPr>
          <w:p w14:paraId="10CF6D1A" w14:textId="77777777" w:rsidR="009E4375" w:rsidRDefault="00000000">
            <w:pPr>
              <w:spacing w:before="0" w:after="0" w:line="276" w:lineRule="auto"/>
              <w:ind w:left="60" w:right="60"/>
            </w:pPr>
            <w:r>
              <w:t>Unsatisfied</w:t>
            </w:r>
          </w:p>
        </w:tc>
        <w:tc>
          <w:tcPr>
            <w:tcW w:w="1485" w:type="dxa"/>
            <w:tcBorders>
              <w:top w:val="nil"/>
              <w:left w:val="nil"/>
              <w:bottom w:val="single" w:sz="5" w:space="0" w:color="AEAEAE"/>
              <w:right w:val="nil"/>
            </w:tcBorders>
            <w:shd w:val="clear" w:color="auto" w:fill="F9F9FB"/>
            <w:tcMar>
              <w:top w:w="0" w:type="dxa"/>
              <w:left w:w="0" w:type="dxa"/>
              <w:bottom w:w="0" w:type="dxa"/>
              <w:right w:w="0" w:type="dxa"/>
            </w:tcMar>
          </w:tcPr>
          <w:p w14:paraId="10CF6D1B" w14:textId="77777777" w:rsidR="009E4375" w:rsidRDefault="00000000">
            <w:pPr>
              <w:spacing w:before="0" w:after="0" w:line="276" w:lineRule="auto"/>
              <w:ind w:left="60" w:right="60"/>
              <w:jc w:val="right"/>
            </w:pPr>
            <w:r>
              <w:t>12</w:t>
            </w:r>
          </w:p>
        </w:tc>
        <w:tc>
          <w:tcPr>
            <w:tcW w:w="123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1C" w14:textId="77777777" w:rsidR="009E4375" w:rsidRDefault="00000000">
            <w:pPr>
              <w:spacing w:before="0" w:after="0" w:line="276" w:lineRule="auto"/>
              <w:ind w:left="60" w:right="60"/>
              <w:jc w:val="right"/>
            </w:pPr>
            <w:r>
              <w:t>5.5</w:t>
            </w:r>
          </w:p>
        </w:tc>
        <w:tc>
          <w:tcPr>
            <w:tcW w:w="18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1D" w14:textId="77777777" w:rsidR="009E4375" w:rsidRDefault="00000000">
            <w:pPr>
              <w:spacing w:before="0" w:after="0" w:line="276" w:lineRule="auto"/>
              <w:ind w:left="60" w:right="60"/>
              <w:jc w:val="right"/>
            </w:pPr>
            <w:r>
              <w:t>12.0</w:t>
            </w:r>
          </w:p>
        </w:tc>
      </w:tr>
      <w:tr w:rsidR="009E4375" w14:paraId="10CF6D24" w14:textId="77777777">
        <w:trPr>
          <w:trHeight w:val="420"/>
        </w:trPr>
        <w:tc>
          <w:tcPr>
            <w:tcW w:w="990" w:type="dxa"/>
            <w:vMerge/>
            <w:tcBorders>
              <w:top w:val="nil"/>
              <w:left w:val="nil"/>
              <w:bottom w:val="single" w:sz="5" w:space="0" w:color="152935"/>
              <w:right w:val="nil"/>
            </w:tcBorders>
            <w:tcMar>
              <w:top w:w="100" w:type="dxa"/>
              <w:left w:w="100" w:type="dxa"/>
              <w:bottom w:w="100" w:type="dxa"/>
              <w:right w:w="100" w:type="dxa"/>
            </w:tcMar>
          </w:tcPr>
          <w:p w14:paraId="10CF6D1F"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tcPr>
          <w:p w14:paraId="10CF6D20" w14:textId="77777777" w:rsidR="009E4375" w:rsidRDefault="00000000">
            <w:pPr>
              <w:spacing w:before="0" w:after="0" w:line="276" w:lineRule="auto"/>
              <w:ind w:left="60" w:right="60"/>
            </w:pPr>
            <w:r>
              <w:t>Satisfied</w:t>
            </w:r>
          </w:p>
        </w:tc>
        <w:tc>
          <w:tcPr>
            <w:tcW w:w="1485" w:type="dxa"/>
            <w:tcBorders>
              <w:top w:val="nil"/>
              <w:left w:val="nil"/>
              <w:bottom w:val="single" w:sz="5" w:space="0" w:color="AEAEAE"/>
              <w:right w:val="nil"/>
            </w:tcBorders>
            <w:shd w:val="clear" w:color="auto" w:fill="F9F9FB"/>
            <w:tcMar>
              <w:top w:w="0" w:type="dxa"/>
              <w:left w:w="0" w:type="dxa"/>
              <w:bottom w:w="0" w:type="dxa"/>
              <w:right w:w="0" w:type="dxa"/>
            </w:tcMar>
          </w:tcPr>
          <w:p w14:paraId="10CF6D21" w14:textId="77777777" w:rsidR="009E4375" w:rsidRDefault="00000000">
            <w:pPr>
              <w:spacing w:before="0" w:after="0" w:line="276" w:lineRule="auto"/>
              <w:ind w:left="60" w:right="60"/>
              <w:jc w:val="right"/>
            </w:pPr>
            <w:r>
              <w:t>52</w:t>
            </w:r>
          </w:p>
        </w:tc>
        <w:tc>
          <w:tcPr>
            <w:tcW w:w="123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22" w14:textId="77777777" w:rsidR="009E4375" w:rsidRDefault="00000000">
            <w:pPr>
              <w:spacing w:before="0" w:after="0" w:line="276" w:lineRule="auto"/>
              <w:ind w:left="60" w:right="60"/>
              <w:jc w:val="right"/>
            </w:pPr>
            <w:r>
              <w:t>23.6</w:t>
            </w:r>
          </w:p>
        </w:tc>
        <w:tc>
          <w:tcPr>
            <w:tcW w:w="18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23" w14:textId="77777777" w:rsidR="009E4375" w:rsidRDefault="00000000">
            <w:pPr>
              <w:spacing w:before="0" w:after="0" w:line="276" w:lineRule="auto"/>
              <w:ind w:left="60" w:right="60"/>
              <w:jc w:val="right"/>
            </w:pPr>
            <w:r>
              <w:t>52.0</w:t>
            </w:r>
          </w:p>
        </w:tc>
      </w:tr>
      <w:tr w:rsidR="009E4375" w14:paraId="10CF6D2A" w14:textId="77777777">
        <w:trPr>
          <w:trHeight w:val="435"/>
        </w:trPr>
        <w:tc>
          <w:tcPr>
            <w:tcW w:w="990" w:type="dxa"/>
            <w:vMerge/>
            <w:tcBorders>
              <w:top w:val="nil"/>
              <w:left w:val="nil"/>
              <w:bottom w:val="single" w:sz="5" w:space="0" w:color="152935"/>
              <w:right w:val="nil"/>
            </w:tcBorders>
            <w:tcMar>
              <w:top w:w="100" w:type="dxa"/>
              <w:left w:w="100" w:type="dxa"/>
              <w:bottom w:w="100" w:type="dxa"/>
              <w:right w:w="100" w:type="dxa"/>
            </w:tcMar>
          </w:tcPr>
          <w:p w14:paraId="10CF6D25"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tcPr>
          <w:p w14:paraId="10CF6D26" w14:textId="77777777" w:rsidR="009E4375" w:rsidRDefault="00000000">
            <w:pPr>
              <w:spacing w:before="0" w:after="0" w:line="276" w:lineRule="auto"/>
              <w:ind w:left="60" w:right="60"/>
            </w:pPr>
            <w:r>
              <w:t>Very Satisfied</w:t>
            </w:r>
          </w:p>
        </w:tc>
        <w:tc>
          <w:tcPr>
            <w:tcW w:w="1485" w:type="dxa"/>
            <w:tcBorders>
              <w:top w:val="nil"/>
              <w:left w:val="nil"/>
              <w:bottom w:val="single" w:sz="5" w:space="0" w:color="AEAEAE"/>
              <w:right w:val="nil"/>
            </w:tcBorders>
            <w:shd w:val="clear" w:color="auto" w:fill="F9F9FB"/>
            <w:tcMar>
              <w:top w:w="0" w:type="dxa"/>
              <w:left w:w="0" w:type="dxa"/>
              <w:bottom w:w="0" w:type="dxa"/>
              <w:right w:w="0" w:type="dxa"/>
            </w:tcMar>
          </w:tcPr>
          <w:p w14:paraId="10CF6D27" w14:textId="77777777" w:rsidR="009E4375" w:rsidRDefault="00000000">
            <w:pPr>
              <w:spacing w:before="0" w:after="0" w:line="276" w:lineRule="auto"/>
              <w:ind w:left="60" w:right="60"/>
              <w:jc w:val="right"/>
            </w:pPr>
            <w:r>
              <w:t>33</w:t>
            </w:r>
          </w:p>
        </w:tc>
        <w:tc>
          <w:tcPr>
            <w:tcW w:w="123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28" w14:textId="77777777" w:rsidR="009E4375" w:rsidRDefault="00000000">
            <w:pPr>
              <w:spacing w:before="0" w:after="0" w:line="276" w:lineRule="auto"/>
              <w:ind w:left="60" w:right="60"/>
              <w:jc w:val="right"/>
            </w:pPr>
            <w:r>
              <w:t>15.0</w:t>
            </w:r>
          </w:p>
        </w:tc>
        <w:tc>
          <w:tcPr>
            <w:tcW w:w="18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29" w14:textId="77777777" w:rsidR="009E4375" w:rsidRDefault="00000000">
            <w:pPr>
              <w:spacing w:before="0" w:after="0" w:line="276" w:lineRule="auto"/>
              <w:ind w:left="60" w:right="60"/>
              <w:jc w:val="right"/>
            </w:pPr>
            <w:r>
              <w:t>33.0</w:t>
            </w:r>
          </w:p>
        </w:tc>
      </w:tr>
      <w:tr w:rsidR="009E4375" w14:paraId="10CF6D30" w14:textId="77777777">
        <w:trPr>
          <w:trHeight w:val="437"/>
        </w:trPr>
        <w:tc>
          <w:tcPr>
            <w:tcW w:w="990" w:type="dxa"/>
            <w:vMerge/>
            <w:tcBorders>
              <w:top w:val="nil"/>
              <w:left w:val="nil"/>
              <w:bottom w:val="single" w:sz="5" w:space="0" w:color="152935"/>
              <w:right w:val="nil"/>
            </w:tcBorders>
            <w:tcMar>
              <w:top w:w="100" w:type="dxa"/>
              <w:left w:w="100" w:type="dxa"/>
              <w:bottom w:w="100" w:type="dxa"/>
              <w:right w:w="100" w:type="dxa"/>
            </w:tcMar>
          </w:tcPr>
          <w:p w14:paraId="10CF6D2B" w14:textId="77777777" w:rsidR="009E4375" w:rsidRDefault="009E4375">
            <w:pPr>
              <w:rPr>
                <w:rFonts w:ascii="Times New Roman" w:eastAsia="Times New Roman" w:hAnsi="Times New Roman" w:cs="Times New Roman"/>
              </w:rPr>
            </w:pPr>
          </w:p>
        </w:tc>
        <w:tc>
          <w:tcPr>
            <w:tcW w:w="2655" w:type="dxa"/>
            <w:tcBorders>
              <w:top w:val="nil"/>
              <w:left w:val="nil"/>
              <w:bottom w:val="single" w:sz="5" w:space="0" w:color="152935"/>
              <w:right w:val="nil"/>
            </w:tcBorders>
            <w:shd w:val="clear" w:color="auto" w:fill="E0E0E0"/>
            <w:tcMar>
              <w:top w:w="0" w:type="dxa"/>
              <w:left w:w="0" w:type="dxa"/>
              <w:bottom w:w="0" w:type="dxa"/>
              <w:right w:w="0" w:type="dxa"/>
            </w:tcMar>
          </w:tcPr>
          <w:p w14:paraId="10CF6D2C" w14:textId="77777777" w:rsidR="009E4375" w:rsidRDefault="00000000">
            <w:pPr>
              <w:spacing w:before="0" w:after="0" w:line="276" w:lineRule="auto"/>
              <w:ind w:left="60" w:right="60"/>
            </w:pPr>
            <w:r>
              <w:t>Total</w:t>
            </w:r>
          </w:p>
        </w:tc>
        <w:tc>
          <w:tcPr>
            <w:tcW w:w="1485" w:type="dxa"/>
            <w:tcBorders>
              <w:top w:val="nil"/>
              <w:left w:val="nil"/>
              <w:bottom w:val="single" w:sz="5" w:space="0" w:color="AEAEAE"/>
              <w:right w:val="nil"/>
            </w:tcBorders>
            <w:shd w:val="clear" w:color="auto" w:fill="F9F9FB"/>
            <w:tcMar>
              <w:top w:w="0" w:type="dxa"/>
              <w:left w:w="0" w:type="dxa"/>
              <w:bottom w:w="0" w:type="dxa"/>
              <w:right w:w="0" w:type="dxa"/>
            </w:tcMar>
          </w:tcPr>
          <w:p w14:paraId="10CF6D2D" w14:textId="77777777" w:rsidR="009E4375" w:rsidRDefault="00000000">
            <w:pPr>
              <w:spacing w:before="0" w:after="0" w:line="276" w:lineRule="auto"/>
              <w:ind w:left="60" w:right="60"/>
              <w:jc w:val="right"/>
            </w:pPr>
            <w:r>
              <w:t>100</w:t>
            </w:r>
          </w:p>
        </w:tc>
        <w:tc>
          <w:tcPr>
            <w:tcW w:w="123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2E" w14:textId="77777777" w:rsidR="009E4375" w:rsidRDefault="00000000">
            <w:pPr>
              <w:spacing w:before="0" w:after="0" w:line="276" w:lineRule="auto"/>
              <w:ind w:left="60" w:right="60"/>
              <w:jc w:val="right"/>
            </w:pPr>
            <w:r>
              <w:t>45.5</w:t>
            </w:r>
          </w:p>
        </w:tc>
        <w:tc>
          <w:tcPr>
            <w:tcW w:w="18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2F" w14:textId="77777777" w:rsidR="009E4375" w:rsidRDefault="00000000">
            <w:pPr>
              <w:spacing w:before="0" w:after="0" w:line="276" w:lineRule="auto"/>
              <w:ind w:left="60" w:right="60"/>
              <w:jc w:val="right"/>
            </w:pPr>
            <w:r>
              <w:t>100.0</w:t>
            </w:r>
          </w:p>
        </w:tc>
      </w:tr>
      <w:tr w:rsidR="009E4375" w14:paraId="10CF6D36" w14:textId="77777777">
        <w:trPr>
          <w:trHeight w:val="450"/>
        </w:trPr>
        <w:tc>
          <w:tcPr>
            <w:tcW w:w="990" w:type="dxa"/>
            <w:tcBorders>
              <w:top w:val="nil"/>
              <w:left w:val="nil"/>
              <w:bottom w:val="single" w:sz="5" w:space="0" w:color="AEAEAE"/>
              <w:right w:val="nil"/>
            </w:tcBorders>
            <w:shd w:val="clear" w:color="auto" w:fill="E0E0E0"/>
            <w:tcMar>
              <w:top w:w="0" w:type="dxa"/>
              <w:left w:w="0" w:type="dxa"/>
              <w:bottom w:w="0" w:type="dxa"/>
              <w:right w:w="0" w:type="dxa"/>
            </w:tcMar>
          </w:tcPr>
          <w:p w14:paraId="10CF6D31" w14:textId="77777777" w:rsidR="009E4375" w:rsidRDefault="00000000">
            <w:pPr>
              <w:spacing w:before="0" w:after="0" w:line="276" w:lineRule="auto"/>
              <w:ind w:left="60" w:right="60"/>
            </w:pPr>
            <w:r>
              <w:t>Missing</w:t>
            </w:r>
          </w:p>
        </w:tc>
        <w:tc>
          <w:tcPr>
            <w:tcW w:w="2655" w:type="dxa"/>
            <w:tcBorders>
              <w:top w:val="nil"/>
              <w:left w:val="nil"/>
              <w:bottom w:val="single" w:sz="5" w:space="0" w:color="AEAEAE"/>
              <w:right w:val="nil"/>
            </w:tcBorders>
            <w:shd w:val="clear" w:color="auto" w:fill="E0E0E0"/>
            <w:tcMar>
              <w:top w:w="0" w:type="dxa"/>
              <w:left w:w="0" w:type="dxa"/>
              <w:bottom w:w="0" w:type="dxa"/>
              <w:right w:w="0" w:type="dxa"/>
            </w:tcMar>
          </w:tcPr>
          <w:p w14:paraId="10CF6D32" w14:textId="77777777" w:rsidR="009E4375" w:rsidRDefault="00000000">
            <w:pPr>
              <w:spacing w:before="0" w:after="0" w:line="276" w:lineRule="auto"/>
              <w:ind w:left="60" w:right="60"/>
            </w:pPr>
            <w:r>
              <w:t>System</w:t>
            </w:r>
          </w:p>
        </w:tc>
        <w:tc>
          <w:tcPr>
            <w:tcW w:w="1485" w:type="dxa"/>
            <w:tcBorders>
              <w:top w:val="nil"/>
              <w:left w:val="nil"/>
              <w:bottom w:val="single" w:sz="5" w:space="0" w:color="AEAEAE"/>
              <w:right w:val="nil"/>
            </w:tcBorders>
            <w:shd w:val="clear" w:color="auto" w:fill="F9F9FB"/>
            <w:tcMar>
              <w:top w:w="0" w:type="dxa"/>
              <w:left w:w="0" w:type="dxa"/>
              <w:bottom w:w="0" w:type="dxa"/>
              <w:right w:w="0" w:type="dxa"/>
            </w:tcMar>
          </w:tcPr>
          <w:p w14:paraId="10CF6D33" w14:textId="77777777" w:rsidR="009E4375" w:rsidRDefault="00000000">
            <w:pPr>
              <w:spacing w:before="0" w:after="0" w:line="276" w:lineRule="auto"/>
              <w:ind w:left="60" w:right="60"/>
              <w:jc w:val="right"/>
            </w:pPr>
            <w:r>
              <w:t>120</w:t>
            </w:r>
          </w:p>
        </w:tc>
        <w:tc>
          <w:tcPr>
            <w:tcW w:w="123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34" w14:textId="77777777" w:rsidR="009E4375" w:rsidRDefault="00000000">
            <w:pPr>
              <w:spacing w:before="0" w:after="0" w:line="276" w:lineRule="auto"/>
              <w:ind w:left="60" w:right="60"/>
              <w:jc w:val="right"/>
            </w:pPr>
            <w:r>
              <w:t>54.5</w:t>
            </w:r>
          </w:p>
        </w:tc>
        <w:tc>
          <w:tcPr>
            <w:tcW w:w="18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35" w14:textId="77777777" w:rsidR="009E4375" w:rsidRDefault="00000000">
            <w:pPr>
              <w:spacing w:before="0" w:after="0" w:line="276" w:lineRule="auto"/>
            </w:pPr>
            <w:r>
              <w:t xml:space="preserve"> </w:t>
            </w:r>
          </w:p>
        </w:tc>
      </w:tr>
      <w:tr w:rsidR="009E4375" w14:paraId="10CF6D3B" w14:textId="77777777">
        <w:trPr>
          <w:trHeight w:val="452"/>
        </w:trPr>
        <w:tc>
          <w:tcPr>
            <w:tcW w:w="3645" w:type="dxa"/>
            <w:gridSpan w:val="2"/>
            <w:tcBorders>
              <w:top w:val="nil"/>
              <w:left w:val="nil"/>
              <w:bottom w:val="single" w:sz="5" w:space="0" w:color="152935"/>
              <w:right w:val="nil"/>
            </w:tcBorders>
            <w:shd w:val="clear" w:color="auto" w:fill="E0E0E0"/>
            <w:tcMar>
              <w:top w:w="0" w:type="dxa"/>
              <w:left w:w="0" w:type="dxa"/>
              <w:bottom w:w="0" w:type="dxa"/>
              <w:right w:w="0" w:type="dxa"/>
            </w:tcMar>
          </w:tcPr>
          <w:p w14:paraId="10CF6D37" w14:textId="77777777" w:rsidR="009E4375" w:rsidRDefault="00000000">
            <w:pPr>
              <w:spacing w:before="0" w:after="0" w:line="276" w:lineRule="auto"/>
              <w:ind w:left="60" w:right="60"/>
            </w:pPr>
            <w:r>
              <w:t>Total</w:t>
            </w:r>
          </w:p>
        </w:tc>
        <w:tc>
          <w:tcPr>
            <w:tcW w:w="1485" w:type="dxa"/>
            <w:tcBorders>
              <w:top w:val="nil"/>
              <w:left w:val="nil"/>
              <w:bottom w:val="single" w:sz="5" w:space="0" w:color="152935"/>
              <w:right w:val="nil"/>
            </w:tcBorders>
            <w:shd w:val="clear" w:color="auto" w:fill="F9F9FB"/>
            <w:tcMar>
              <w:top w:w="0" w:type="dxa"/>
              <w:left w:w="0" w:type="dxa"/>
              <w:bottom w:w="0" w:type="dxa"/>
              <w:right w:w="0" w:type="dxa"/>
            </w:tcMar>
          </w:tcPr>
          <w:p w14:paraId="10CF6D38" w14:textId="77777777" w:rsidR="009E4375" w:rsidRDefault="00000000">
            <w:pPr>
              <w:spacing w:before="0" w:after="0" w:line="276" w:lineRule="auto"/>
              <w:ind w:left="60" w:right="60"/>
              <w:jc w:val="right"/>
            </w:pPr>
            <w:r>
              <w:t>220</w:t>
            </w:r>
          </w:p>
        </w:tc>
        <w:tc>
          <w:tcPr>
            <w:tcW w:w="123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39" w14:textId="77777777" w:rsidR="009E4375" w:rsidRDefault="00000000">
            <w:pPr>
              <w:spacing w:before="0" w:after="0" w:line="276" w:lineRule="auto"/>
              <w:ind w:left="60" w:right="60"/>
              <w:jc w:val="right"/>
            </w:pPr>
            <w:r>
              <w:t>100.0</w:t>
            </w:r>
          </w:p>
        </w:tc>
        <w:tc>
          <w:tcPr>
            <w:tcW w:w="189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3A" w14:textId="77777777" w:rsidR="009E4375" w:rsidRDefault="00000000">
            <w:pPr>
              <w:spacing w:before="0" w:after="0" w:line="276" w:lineRule="auto"/>
            </w:pPr>
            <w:r>
              <w:t xml:space="preserve"> </w:t>
            </w:r>
          </w:p>
        </w:tc>
      </w:tr>
    </w:tbl>
    <w:p w14:paraId="6D51EF4B" w14:textId="77777777" w:rsidR="000D6730" w:rsidRDefault="000D6730" w:rsidP="007427C2">
      <w:bookmarkStart w:id="72" w:name="_dv5fji8f1ch7" w:colFirst="0" w:colLast="0"/>
      <w:bookmarkEnd w:id="72"/>
    </w:p>
    <w:p w14:paraId="10CF6D3F" w14:textId="77777777" w:rsidR="009E4375" w:rsidRDefault="00000000">
      <w:pPr>
        <w:pStyle w:val="Heading4"/>
        <w:rPr>
          <w:rFonts w:ascii="Times New Roman" w:eastAsia="Times New Roman" w:hAnsi="Times New Roman" w:cs="Times New Roman"/>
        </w:rPr>
      </w:pPr>
      <w:bookmarkStart w:id="73" w:name="_Toc214490425"/>
      <w:r>
        <w:t>Research Question 3</w:t>
      </w:r>
      <w:bookmarkEnd w:id="73"/>
    </w:p>
    <w:p w14:paraId="10CF6D40" w14:textId="77777777" w:rsidR="009E4375" w:rsidRDefault="00000000">
      <w:pPr>
        <w:spacing w:before="0" w:after="0"/>
        <w:rPr>
          <w:u w:val="single"/>
        </w:rPr>
      </w:pPr>
      <w:r>
        <w:t>3. Does the signed communication most often used during one’s previous school years impact deaf Malaysians’ QOL in adulthood?</w:t>
      </w:r>
    </w:p>
    <w:p w14:paraId="10CF6D41" w14:textId="77777777" w:rsidR="009E4375" w:rsidRDefault="00000000">
      <w:pPr>
        <w:spacing w:after="0"/>
      </w:pPr>
      <w:r>
        <w:t>3.1</w:t>
      </w:r>
      <w:r>
        <w:tab/>
        <w:t xml:space="preserve">Is there a difference in QOL for deaf Malaysians based on the type of signed communication they most often used in their previous schooling? </w:t>
      </w:r>
    </w:p>
    <w:p w14:paraId="10CF6D42" w14:textId="77777777" w:rsidR="009E4375" w:rsidRDefault="00000000">
      <w:pPr>
        <w:ind w:firstLine="720"/>
      </w:pPr>
      <w:r>
        <w:t xml:space="preserve">An independent sample t-test was conducted to compare the effect of the type of signed communication they most often used, such as BIM and KTBM in their previous schooling. In Table 13, there was no significant difference in the overall QOL for BIM (M = 56.47, SD = 12.12) and KTBM (M = 53.78, SD = 13.16) conditions; </w:t>
      </w:r>
      <w:proofErr w:type="gramStart"/>
      <w:r>
        <w:t>t(</w:t>
      </w:r>
      <w:proofErr w:type="gramEnd"/>
      <w:r>
        <w:t>203) = 1.45, p = .150, Cohen’s d = .21</w:t>
      </w:r>
    </w:p>
    <w:p w14:paraId="2759EF91" w14:textId="4B782979" w:rsidR="00505832" w:rsidRDefault="00000000" w:rsidP="00897D9F">
      <w:pPr>
        <w:ind w:firstLine="720"/>
      </w:pPr>
      <w:r>
        <w:t xml:space="preserve">A multivariate analysis of variance (MANOVA) was used to examine the effect of the type of signed communication, such as BIM and KTBM, in each subdomain of the </w:t>
      </w:r>
      <w:r>
        <w:lastRenderedPageBreak/>
        <w:t>QOL, in their previous schooling. In Table 1</w:t>
      </w:r>
      <w:r w:rsidR="002D730E">
        <w:t>3</w:t>
      </w:r>
      <w:r>
        <w:t xml:space="preserve"> for BIM, the means of each subdomain of QOL are: Self Accept (M = 71.03, SD = 16.86), Perceived Stigma (M = 50.56, SD = 25.62), Participation (M = 40.81, SD = 24.47). For KTBM, the means of each subdomain of QOL </w:t>
      </w:r>
      <w:proofErr w:type="gramStart"/>
      <w:r>
        <w:t>are:</w:t>
      </w:r>
      <w:proofErr w:type="gramEnd"/>
      <w:r>
        <w:t xml:space="preserve"> Self Accept (M = 67.17, SD = 18.89), Perceived Stigma (M = 49.49, SD = 24.85), Participation (M = 38.46, SD = 21.64). The results of the MANOVA indicate that there was no significant difference between BIM and KTBM, on each subdomain of QOL, in deaf Malaysians’ previous schooling [</w:t>
      </w:r>
      <w:proofErr w:type="gramStart"/>
      <w:r>
        <w:t>F(</w:t>
      </w:r>
      <w:proofErr w:type="gramEnd"/>
      <w:r>
        <w:t>3, 201) = 1.226, p = .301, Wilks’ λ = .982, partial η2 = .958].</w:t>
      </w:r>
    </w:p>
    <w:p w14:paraId="3436C173" w14:textId="77777777" w:rsidR="00505832" w:rsidRDefault="00505832">
      <w:pPr>
        <w:ind w:firstLine="720"/>
      </w:pPr>
    </w:p>
    <w:p w14:paraId="10CF6D45" w14:textId="77777777" w:rsidR="009E4375" w:rsidRDefault="00000000">
      <w:pPr>
        <w:spacing w:before="0" w:after="200"/>
        <w:rPr>
          <w:b/>
          <w:bCs/>
        </w:rPr>
      </w:pPr>
      <w:r>
        <w:rPr>
          <w:b/>
          <w:bCs/>
        </w:rPr>
        <w:t>Table 13</w:t>
      </w:r>
    </w:p>
    <w:p w14:paraId="10CF6D46" w14:textId="77777777" w:rsidR="009E4375" w:rsidRDefault="00000000">
      <w:pPr>
        <w:spacing w:before="0" w:after="200"/>
        <w:rPr>
          <w:i/>
          <w:iCs/>
        </w:rPr>
      </w:pPr>
      <w:r>
        <w:rPr>
          <w:i/>
          <w:iCs/>
        </w:rPr>
        <w:t>Mean and Standard Deviation of Subdomains by Signed Communication at School</w:t>
      </w:r>
    </w:p>
    <w:tbl>
      <w:tblPr>
        <w:tblStyle w:val="ab"/>
        <w:tblW w:w="898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15"/>
        <w:gridCol w:w="2025"/>
        <w:gridCol w:w="1500"/>
        <w:gridCol w:w="1920"/>
        <w:gridCol w:w="1425"/>
      </w:tblGrid>
      <w:tr w:rsidR="009E4375" w14:paraId="10CF6D48" w14:textId="77777777">
        <w:trPr>
          <w:trHeight w:val="315"/>
        </w:trPr>
        <w:tc>
          <w:tcPr>
            <w:tcW w:w="8985" w:type="dxa"/>
            <w:gridSpan w:val="5"/>
            <w:tcBorders>
              <w:top w:val="nil"/>
              <w:left w:val="nil"/>
              <w:bottom w:val="nil"/>
              <w:right w:val="nil"/>
            </w:tcBorders>
            <w:shd w:val="clear" w:color="auto" w:fill="FFFFFF"/>
            <w:tcMar>
              <w:top w:w="0" w:type="dxa"/>
              <w:left w:w="0" w:type="dxa"/>
              <w:bottom w:w="0" w:type="dxa"/>
              <w:right w:w="0" w:type="dxa"/>
            </w:tcMar>
          </w:tcPr>
          <w:p w14:paraId="10CF6D47" w14:textId="77777777" w:rsidR="009E4375" w:rsidRDefault="00000000">
            <w:pPr>
              <w:spacing w:before="0" w:after="0" w:line="349" w:lineRule="auto"/>
              <w:ind w:left="60" w:right="60"/>
              <w:jc w:val="center"/>
              <w:rPr>
                <w:color w:val="010205"/>
              </w:rPr>
            </w:pPr>
            <w:r>
              <w:rPr>
                <w:color w:val="010205"/>
              </w:rPr>
              <w:t>Descriptive Statistics</w:t>
            </w:r>
          </w:p>
        </w:tc>
      </w:tr>
      <w:tr w:rsidR="009E4375" w14:paraId="10CF6D4E" w14:textId="77777777">
        <w:trPr>
          <w:trHeight w:val="527"/>
        </w:trPr>
        <w:tc>
          <w:tcPr>
            <w:tcW w:w="2115" w:type="dxa"/>
            <w:tcBorders>
              <w:top w:val="nil"/>
              <w:left w:val="nil"/>
              <w:bottom w:val="nil"/>
              <w:right w:val="nil"/>
            </w:tcBorders>
            <w:tcMar>
              <w:top w:w="0" w:type="dxa"/>
              <w:left w:w="0" w:type="dxa"/>
              <w:bottom w:w="0" w:type="dxa"/>
              <w:right w:w="0" w:type="dxa"/>
            </w:tcMar>
          </w:tcPr>
          <w:p w14:paraId="10CF6D49" w14:textId="77777777" w:rsidR="009E4375" w:rsidRDefault="00000000">
            <w:pPr>
              <w:spacing w:before="0" w:after="0"/>
              <w:rPr>
                <w:sz w:val="28"/>
                <w:szCs w:val="28"/>
              </w:rPr>
            </w:pPr>
            <w:r>
              <w:rPr>
                <w:sz w:val="28"/>
                <w:szCs w:val="28"/>
              </w:rPr>
              <w:t xml:space="preserve"> </w:t>
            </w:r>
          </w:p>
        </w:tc>
        <w:tc>
          <w:tcPr>
            <w:tcW w:w="202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4A" w14:textId="77777777" w:rsidR="009E4375" w:rsidRDefault="00000000">
            <w:pPr>
              <w:spacing w:before="0" w:after="0" w:line="349" w:lineRule="auto"/>
              <w:ind w:left="60" w:right="60"/>
            </w:pPr>
            <w:r>
              <w:t>At school</w:t>
            </w:r>
          </w:p>
        </w:tc>
        <w:tc>
          <w:tcPr>
            <w:tcW w:w="150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4B" w14:textId="77777777" w:rsidR="009E4375" w:rsidRDefault="00000000">
            <w:pPr>
              <w:spacing w:before="0" w:after="0" w:line="349" w:lineRule="auto"/>
              <w:ind w:left="60" w:right="60"/>
              <w:jc w:val="center"/>
            </w:pPr>
            <w:r>
              <w:t>Mean</w:t>
            </w:r>
          </w:p>
        </w:tc>
        <w:tc>
          <w:tcPr>
            <w:tcW w:w="192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4C" w14:textId="77777777" w:rsidR="009E4375" w:rsidRDefault="00000000">
            <w:pPr>
              <w:spacing w:before="0" w:after="0" w:line="349" w:lineRule="auto"/>
              <w:ind w:left="60" w:right="60"/>
              <w:jc w:val="center"/>
            </w:pPr>
            <w:r>
              <w:t>Std. Deviation</w:t>
            </w:r>
          </w:p>
        </w:tc>
        <w:tc>
          <w:tcPr>
            <w:tcW w:w="1425"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4D" w14:textId="77777777" w:rsidR="009E4375" w:rsidRDefault="00000000">
            <w:pPr>
              <w:spacing w:before="0" w:after="0" w:line="349" w:lineRule="auto"/>
              <w:ind w:left="60" w:right="60"/>
              <w:jc w:val="center"/>
            </w:pPr>
            <w:r>
              <w:t>N</w:t>
            </w:r>
          </w:p>
        </w:tc>
      </w:tr>
      <w:tr w:rsidR="009E4375" w14:paraId="10CF6D54" w14:textId="77777777" w:rsidTr="007E2464">
        <w:trPr>
          <w:trHeight w:val="330"/>
        </w:trPr>
        <w:tc>
          <w:tcPr>
            <w:tcW w:w="2115" w:type="dxa"/>
            <w:vMerge w:val="restart"/>
            <w:tcBorders>
              <w:top w:val="single" w:sz="5" w:space="0" w:color="152935"/>
              <w:left w:val="nil"/>
              <w:bottom w:val="nil"/>
              <w:right w:val="nil"/>
            </w:tcBorders>
            <w:shd w:val="clear" w:color="auto" w:fill="E0E0E0"/>
            <w:tcMar>
              <w:top w:w="0" w:type="dxa"/>
              <w:left w:w="0" w:type="dxa"/>
              <w:bottom w:w="0" w:type="dxa"/>
              <w:right w:w="0" w:type="dxa"/>
            </w:tcMar>
          </w:tcPr>
          <w:p w14:paraId="10CF6D4F" w14:textId="05B90C0C" w:rsidR="009E4375" w:rsidRDefault="007E2464" w:rsidP="007E2464">
            <w:pPr>
              <w:spacing w:before="0" w:after="0" w:line="276" w:lineRule="auto"/>
              <w:ind w:left="60" w:right="60"/>
            </w:pPr>
            <w:proofErr w:type="spellStart"/>
            <w:r>
              <w:t>Self Acceptance</w:t>
            </w:r>
            <w:proofErr w:type="spellEnd"/>
            <w:r>
              <w:t xml:space="preserve"> / Advocacy</w:t>
            </w:r>
          </w:p>
        </w:tc>
        <w:tc>
          <w:tcPr>
            <w:tcW w:w="2025" w:type="dxa"/>
            <w:tcBorders>
              <w:top w:val="nil"/>
              <w:left w:val="nil"/>
              <w:bottom w:val="single" w:sz="5" w:space="0" w:color="AEAEAE"/>
              <w:right w:val="nil"/>
            </w:tcBorders>
            <w:shd w:val="clear" w:color="auto" w:fill="E0E0E0"/>
            <w:tcMar>
              <w:top w:w="0" w:type="dxa"/>
              <w:left w:w="0" w:type="dxa"/>
              <w:bottom w:w="0" w:type="dxa"/>
              <w:right w:w="0" w:type="dxa"/>
            </w:tcMar>
          </w:tcPr>
          <w:p w14:paraId="10CF6D50" w14:textId="77777777" w:rsidR="009E4375" w:rsidRDefault="00000000" w:rsidP="007E2464">
            <w:pPr>
              <w:spacing w:before="0" w:after="0"/>
              <w:ind w:left="60" w:right="60"/>
            </w:pPr>
            <w:r>
              <w:t>BIM</w:t>
            </w:r>
          </w:p>
        </w:tc>
        <w:tc>
          <w:tcPr>
            <w:tcW w:w="1500" w:type="dxa"/>
            <w:tcBorders>
              <w:top w:val="nil"/>
              <w:left w:val="nil"/>
              <w:bottom w:val="single" w:sz="5" w:space="0" w:color="AEAEAE"/>
              <w:right w:val="nil"/>
            </w:tcBorders>
            <w:shd w:val="clear" w:color="auto" w:fill="F9F9FB"/>
            <w:tcMar>
              <w:top w:w="0" w:type="dxa"/>
              <w:left w:w="0" w:type="dxa"/>
              <w:bottom w:w="0" w:type="dxa"/>
              <w:right w:w="0" w:type="dxa"/>
            </w:tcMar>
          </w:tcPr>
          <w:p w14:paraId="10CF6D51" w14:textId="77777777" w:rsidR="009E4375" w:rsidRDefault="00000000" w:rsidP="007E2464">
            <w:pPr>
              <w:spacing w:before="0" w:after="0"/>
              <w:ind w:left="60" w:right="60"/>
              <w:jc w:val="right"/>
            </w:pPr>
            <w:r>
              <w:t>71.0328</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52" w14:textId="77777777" w:rsidR="009E4375" w:rsidRDefault="00000000" w:rsidP="007E2464">
            <w:pPr>
              <w:spacing w:before="0" w:after="0"/>
              <w:ind w:left="60" w:right="60"/>
              <w:jc w:val="right"/>
            </w:pPr>
            <w:r>
              <w:t>16.85719</w:t>
            </w:r>
          </w:p>
        </w:tc>
        <w:tc>
          <w:tcPr>
            <w:tcW w:w="14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53" w14:textId="77777777" w:rsidR="009E4375" w:rsidRDefault="00000000" w:rsidP="007E2464">
            <w:pPr>
              <w:spacing w:before="0" w:after="0"/>
              <w:ind w:left="60" w:right="60"/>
              <w:jc w:val="right"/>
            </w:pPr>
            <w:r>
              <w:t>74</w:t>
            </w:r>
          </w:p>
        </w:tc>
      </w:tr>
      <w:tr w:rsidR="009E4375" w14:paraId="10CF6D5A" w14:textId="77777777" w:rsidTr="007E2464">
        <w:trPr>
          <w:trHeight w:val="20"/>
        </w:trPr>
        <w:tc>
          <w:tcPr>
            <w:tcW w:w="2115" w:type="dxa"/>
            <w:vMerge/>
            <w:tcBorders>
              <w:top w:val="single" w:sz="5" w:space="0" w:color="152935"/>
              <w:left w:val="nil"/>
              <w:bottom w:val="nil"/>
              <w:right w:val="nil"/>
            </w:tcBorders>
            <w:tcMar>
              <w:top w:w="100" w:type="dxa"/>
              <w:left w:w="100" w:type="dxa"/>
              <w:bottom w:w="100" w:type="dxa"/>
              <w:right w:w="100" w:type="dxa"/>
            </w:tcMar>
          </w:tcPr>
          <w:p w14:paraId="10CF6D55" w14:textId="77777777" w:rsidR="009E4375" w:rsidRDefault="009E4375" w:rsidP="007E2464">
            <w:pPr>
              <w:spacing w:before="0" w:after="0"/>
            </w:pPr>
          </w:p>
        </w:tc>
        <w:tc>
          <w:tcPr>
            <w:tcW w:w="2025" w:type="dxa"/>
            <w:tcBorders>
              <w:top w:val="nil"/>
              <w:left w:val="nil"/>
              <w:bottom w:val="single" w:sz="5" w:space="0" w:color="AEAEAE"/>
              <w:right w:val="nil"/>
            </w:tcBorders>
            <w:shd w:val="clear" w:color="auto" w:fill="E0E0E0"/>
            <w:tcMar>
              <w:top w:w="0" w:type="dxa"/>
              <w:left w:w="0" w:type="dxa"/>
              <w:bottom w:w="0" w:type="dxa"/>
              <w:right w:w="0" w:type="dxa"/>
            </w:tcMar>
          </w:tcPr>
          <w:p w14:paraId="10CF6D56" w14:textId="77777777" w:rsidR="009E4375" w:rsidRDefault="00000000" w:rsidP="007E2464">
            <w:pPr>
              <w:spacing w:before="0" w:after="0"/>
              <w:ind w:left="60" w:right="60"/>
            </w:pPr>
            <w:r>
              <w:t>KTBM</w:t>
            </w:r>
          </w:p>
        </w:tc>
        <w:tc>
          <w:tcPr>
            <w:tcW w:w="1500" w:type="dxa"/>
            <w:tcBorders>
              <w:top w:val="nil"/>
              <w:left w:val="nil"/>
              <w:bottom w:val="single" w:sz="5" w:space="0" w:color="AEAEAE"/>
              <w:right w:val="nil"/>
            </w:tcBorders>
            <w:shd w:val="clear" w:color="auto" w:fill="F9F9FB"/>
            <w:tcMar>
              <w:top w:w="0" w:type="dxa"/>
              <w:left w:w="0" w:type="dxa"/>
              <w:bottom w:w="0" w:type="dxa"/>
              <w:right w:w="0" w:type="dxa"/>
            </w:tcMar>
          </w:tcPr>
          <w:p w14:paraId="10CF6D57" w14:textId="77777777" w:rsidR="009E4375" w:rsidRDefault="00000000" w:rsidP="007E2464">
            <w:pPr>
              <w:spacing w:before="0" w:after="0"/>
              <w:ind w:left="60" w:right="60"/>
              <w:jc w:val="right"/>
            </w:pPr>
            <w:r>
              <w:t>67.1701</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58" w14:textId="77777777" w:rsidR="009E4375" w:rsidRDefault="00000000" w:rsidP="007E2464">
            <w:pPr>
              <w:spacing w:before="0" w:after="0"/>
              <w:ind w:left="60" w:right="60"/>
              <w:jc w:val="right"/>
            </w:pPr>
            <w:r>
              <w:t>18.89249</w:t>
            </w:r>
          </w:p>
        </w:tc>
        <w:tc>
          <w:tcPr>
            <w:tcW w:w="14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59" w14:textId="77777777" w:rsidR="009E4375" w:rsidRDefault="00000000" w:rsidP="007E2464">
            <w:pPr>
              <w:spacing w:before="0" w:after="0"/>
              <w:ind w:left="60" w:right="60"/>
              <w:jc w:val="right"/>
            </w:pPr>
            <w:r>
              <w:t>131</w:t>
            </w:r>
          </w:p>
        </w:tc>
      </w:tr>
      <w:tr w:rsidR="009E4375" w14:paraId="10CF6D60" w14:textId="77777777" w:rsidTr="007E2464">
        <w:trPr>
          <w:trHeight w:val="20"/>
        </w:trPr>
        <w:tc>
          <w:tcPr>
            <w:tcW w:w="2115" w:type="dxa"/>
            <w:vMerge/>
            <w:tcBorders>
              <w:top w:val="single" w:sz="5" w:space="0" w:color="152935"/>
              <w:left w:val="nil"/>
              <w:bottom w:val="nil"/>
              <w:right w:val="nil"/>
            </w:tcBorders>
            <w:tcMar>
              <w:top w:w="100" w:type="dxa"/>
              <w:left w:w="100" w:type="dxa"/>
              <w:bottom w:w="100" w:type="dxa"/>
              <w:right w:w="100" w:type="dxa"/>
            </w:tcMar>
          </w:tcPr>
          <w:p w14:paraId="10CF6D5B" w14:textId="77777777" w:rsidR="009E4375" w:rsidRDefault="009E4375" w:rsidP="007E2464">
            <w:pPr>
              <w:spacing w:before="0" w:after="0"/>
            </w:pPr>
          </w:p>
        </w:tc>
        <w:tc>
          <w:tcPr>
            <w:tcW w:w="2025" w:type="dxa"/>
            <w:tcBorders>
              <w:top w:val="nil"/>
              <w:left w:val="nil"/>
              <w:bottom w:val="nil"/>
              <w:right w:val="nil"/>
            </w:tcBorders>
            <w:shd w:val="clear" w:color="auto" w:fill="E0E0E0"/>
            <w:tcMar>
              <w:top w:w="0" w:type="dxa"/>
              <w:left w:w="0" w:type="dxa"/>
              <w:bottom w:w="0" w:type="dxa"/>
              <w:right w:w="0" w:type="dxa"/>
            </w:tcMar>
          </w:tcPr>
          <w:p w14:paraId="10CF6D5C" w14:textId="77777777" w:rsidR="009E4375" w:rsidRDefault="00000000" w:rsidP="007E2464">
            <w:pPr>
              <w:spacing w:before="0" w:after="0"/>
              <w:ind w:left="60" w:right="60"/>
            </w:pPr>
            <w:r>
              <w:t>Total</w:t>
            </w:r>
          </w:p>
        </w:tc>
        <w:tc>
          <w:tcPr>
            <w:tcW w:w="1500" w:type="dxa"/>
            <w:tcBorders>
              <w:top w:val="nil"/>
              <w:left w:val="nil"/>
              <w:bottom w:val="nil"/>
              <w:right w:val="nil"/>
            </w:tcBorders>
            <w:shd w:val="clear" w:color="auto" w:fill="F9F9FB"/>
            <w:tcMar>
              <w:top w:w="0" w:type="dxa"/>
              <w:left w:w="0" w:type="dxa"/>
              <w:bottom w:w="0" w:type="dxa"/>
              <w:right w:w="0" w:type="dxa"/>
            </w:tcMar>
          </w:tcPr>
          <w:p w14:paraId="10CF6D5D" w14:textId="77777777" w:rsidR="009E4375" w:rsidRDefault="00000000" w:rsidP="007E2464">
            <w:pPr>
              <w:spacing w:before="0" w:after="0"/>
              <w:ind w:left="60" w:right="60"/>
              <w:jc w:val="right"/>
            </w:pPr>
            <w:r>
              <w:t>68.5645</w:t>
            </w:r>
          </w:p>
        </w:tc>
        <w:tc>
          <w:tcPr>
            <w:tcW w:w="1920" w:type="dxa"/>
            <w:tcBorders>
              <w:top w:val="nil"/>
              <w:left w:val="single" w:sz="5" w:space="0" w:color="E0E0E0"/>
              <w:bottom w:val="nil"/>
              <w:right w:val="nil"/>
            </w:tcBorders>
            <w:shd w:val="clear" w:color="auto" w:fill="F9F9FB"/>
            <w:tcMar>
              <w:top w:w="0" w:type="dxa"/>
              <w:left w:w="0" w:type="dxa"/>
              <w:bottom w:w="0" w:type="dxa"/>
              <w:right w:w="0" w:type="dxa"/>
            </w:tcMar>
          </w:tcPr>
          <w:p w14:paraId="10CF6D5E" w14:textId="77777777" w:rsidR="009E4375" w:rsidRDefault="00000000" w:rsidP="007E2464">
            <w:pPr>
              <w:spacing w:before="0" w:after="0"/>
              <w:ind w:left="60" w:right="60"/>
              <w:jc w:val="right"/>
            </w:pPr>
            <w:r>
              <w:t>18.23727</w:t>
            </w:r>
          </w:p>
        </w:tc>
        <w:tc>
          <w:tcPr>
            <w:tcW w:w="1425" w:type="dxa"/>
            <w:tcBorders>
              <w:top w:val="nil"/>
              <w:left w:val="single" w:sz="5" w:space="0" w:color="E0E0E0"/>
              <w:bottom w:val="nil"/>
              <w:right w:val="nil"/>
            </w:tcBorders>
            <w:shd w:val="clear" w:color="auto" w:fill="F9F9FB"/>
            <w:tcMar>
              <w:top w:w="0" w:type="dxa"/>
              <w:left w:w="0" w:type="dxa"/>
              <w:bottom w:w="0" w:type="dxa"/>
              <w:right w:w="0" w:type="dxa"/>
            </w:tcMar>
          </w:tcPr>
          <w:p w14:paraId="10CF6D5F" w14:textId="77777777" w:rsidR="009E4375" w:rsidRDefault="00000000" w:rsidP="007E2464">
            <w:pPr>
              <w:spacing w:before="0" w:after="0"/>
              <w:ind w:left="60" w:right="60"/>
              <w:jc w:val="right"/>
            </w:pPr>
            <w:r>
              <w:t>205</w:t>
            </w:r>
          </w:p>
        </w:tc>
      </w:tr>
      <w:tr w:rsidR="009E4375" w14:paraId="10CF6D66" w14:textId="77777777" w:rsidTr="007E2464">
        <w:trPr>
          <w:trHeight w:val="20"/>
        </w:trPr>
        <w:tc>
          <w:tcPr>
            <w:tcW w:w="2115" w:type="dxa"/>
            <w:vMerge w:val="restart"/>
            <w:tcBorders>
              <w:top w:val="single" w:sz="5" w:space="0" w:color="AEAEAE"/>
              <w:left w:val="nil"/>
              <w:bottom w:val="nil"/>
              <w:right w:val="nil"/>
            </w:tcBorders>
            <w:shd w:val="clear" w:color="auto" w:fill="E0E0E0"/>
            <w:tcMar>
              <w:top w:w="0" w:type="dxa"/>
              <w:left w:w="0" w:type="dxa"/>
              <w:bottom w:w="0" w:type="dxa"/>
              <w:right w:w="0" w:type="dxa"/>
            </w:tcMar>
          </w:tcPr>
          <w:p w14:paraId="10CF6D61" w14:textId="77777777" w:rsidR="009E4375" w:rsidRDefault="00000000" w:rsidP="007E2464">
            <w:pPr>
              <w:spacing w:before="0" w:after="0" w:line="349" w:lineRule="auto"/>
              <w:ind w:left="60" w:right="60"/>
            </w:pPr>
            <w:r>
              <w:t>Perceived Stigma</w:t>
            </w:r>
          </w:p>
        </w:tc>
        <w:tc>
          <w:tcPr>
            <w:tcW w:w="202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D62" w14:textId="77777777" w:rsidR="009E4375" w:rsidRDefault="00000000" w:rsidP="007E2464">
            <w:pPr>
              <w:spacing w:before="0" w:after="0"/>
              <w:ind w:left="60" w:right="60"/>
            </w:pPr>
            <w:r>
              <w:t>BIM</w:t>
            </w:r>
          </w:p>
        </w:tc>
        <w:tc>
          <w:tcPr>
            <w:tcW w:w="1500"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D63" w14:textId="77777777" w:rsidR="009E4375" w:rsidRDefault="00000000" w:rsidP="007E2464">
            <w:pPr>
              <w:spacing w:before="0" w:after="0"/>
              <w:ind w:left="60" w:right="60"/>
              <w:jc w:val="right"/>
            </w:pPr>
            <w:r>
              <w:t>50.5574</w:t>
            </w:r>
          </w:p>
        </w:tc>
        <w:tc>
          <w:tcPr>
            <w:tcW w:w="1920"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D64" w14:textId="77777777" w:rsidR="009E4375" w:rsidRDefault="00000000" w:rsidP="007E2464">
            <w:pPr>
              <w:spacing w:before="0" w:after="0"/>
              <w:ind w:left="60" w:right="60"/>
              <w:jc w:val="right"/>
            </w:pPr>
            <w:r>
              <w:t>25.61917</w:t>
            </w:r>
          </w:p>
        </w:tc>
        <w:tc>
          <w:tcPr>
            <w:tcW w:w="1425"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D65" w14:textId="77777777" w:rsidR="009E4375" w:rsidRDefault="00000000" w:rsidP="007E2464">
            <w:pPr>
              <w:spacing w:before="0" w:after="0"/>
              <w:ind w:left="60" w:right="60"/>
              <w:jc w:val="right"/>
            </w:pPr>
            <w:r>
              <w:t>74</w:t>
            </w:r>
          </w:p>
        </w:tc>
      </w:tr>
      <w:tr w:rsidR="009E4375" w14:paraId="10CF6D6C" w14:textId="77777777" w:rsidTr="007E2464">
        <w:trPr>
          <w:trHeight w:val="20"/>
        </w:trPr>
        <w:tc>
          <w:tcPr>
            <w:tcW w:w="2115" w:type="dxa"/>
            <w:vMerge/>
            <w:tcBorders>
              <w:top w:val="single" w:sz="5" w:space="0" w:color="AEAEAE"/>
              <w:left w:val="nil"/>
              <w:bottom w:val="nil"/>
              <w:right w:val="nil"/>
            </w:tcBorders>
            <w:tcMar>
              <w:top w:w="100" w:type="dxa"/>
              <w:left w:w="100" w:type="dxa"/>
              <w:bottom w:w="100" w:type="dxa"/>
              <w:right w:w="100" w:type="dxa"/>
            </w:tcMar>
          </w:tcPr>
          <w:p w14:paraId="10CF6D67" w14:textId="77777777" w:rsidR="009E4375" w:rsidRDefault="009E4375" w:rsidP="007E2464">
            <w:pPr>
              <w:spacing w:before="0" w:after="0"/>
            </w:pPr>
          </w:p>
        </w:tc>
        <w:tc>
          <w:tcPr>
            <w:tcW w:w="2025" w:type="dxa"/>
            <w:tcBorders>
              <w:top w:val="nil"/>
              <w:left w:val="nil"/>
              <w:bottom w:val="single" w:sz="5" w:space="0" w:color="AEAEAE"/>
              <w:right w:val="nil"/>
            </w:tcBorders>
            <w:shd w:val="clear" w:color="auto" w:fill="E0E0E0"/>
            <w:tcMar>
              <w:top w:w="0" w:type="dxa"/>
              <w:left w:w="0" w:type="dxa"/>
              <w:bottom w:w="0" w:type="dxa"/>
              <w:right w:w="0" w:type="dxa"/>
            </w:tcMar>
          </w:tcPr>
          <w:p w14:paraId="10CF6D68" w14:textId="77777777" w:rsidR="009E4375" w:rsidRDefault="00000000" w:rsidP="007E2464">
            <w:pPr>
              <w:spacing w:before="0" w:after="0"/>
              <w:ind w:left="60" w:right="60"/>
            </w:pPr>
            <w:r>
              <w:t>KTBM</w:t>
            </w:r>
          </w:p>
        </w:tc>
        <w:tc>
          <w:tcPr>
            <w:tcW w:w="1500" w:type="dxa"/>
            <w:tcBorders>
              <w:top w:val="nil"/>
              <w:left w:val="nil"/>
              <w:bottom w:val="single" w:sz="5" w:space="0" w:color="AEAEAE"/>
              <w:right w:val="nil"/>
            </w:tcBorders>
            <w:shd w:val="clear" w:color="auto" w:fill="F9F9FB"/>
            <w:tcMar>
              <w:top w:w="0" w:type="dxa"/>
              <w:left w:w="0" w:type="dxa"/>
              <w:bottom w:w="0" w:type="dxa"/>
              <w:right w:w="0" w:type="dxa"/>
            </w:tcMar>
          </w:tcPr>
          <w:p w14:paraId="10CF6D69" w14:textId="77777777" w:rsidR="009E4375" w:rsidRDefault="00000000" w:rsidP="007E2464">
            <w:pPr>
              <w:spacing w:before="0" w:after="0"/>
              <w:ind w:left="60" w:right="60"/>
              <w:jc w:val="right"/>
            </w:pPr>
            <w:r>
              <w:t>49.4943</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6A" w14:textId="77777777" w:rsidR="009E4375" w:rsidRDefault="00000000" w:rsidP="007E2464">
            <w:pPr>
              <w:spacing w:before="0" w:after="0"/>
              <w:ind w:left="60" w:right="60"/>
              <w:jc w:val="right"/>
            </w:pPr>
            <w:r>
              <w:t>24.85234</w:t>
            </w:r>
          </w:p>
        </w:tc>
        <w:tc>
          <w:tcPr>
            <w:tcW w:w="14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6B" w14:textId="77777777" w:rsidR="009E4375" w:rsidRDefault="00000000" w:rsidP="007E2464">
            <w:pPr>
              <w:spacing w:before="0" w:after="0"/>
              <w:ind w:left="60" w:right="60"/>
              <w:jc w:val="right"/>
            </w:pPr>
            <w:r>
              <w:t>131</w:t>
            </w:r>
          </w:p>
        </w:tc>
      </w:tr>
      <w:tr w:rsidR="009E4375" w14:paraId="10CF6D72" w14:textId="77777777" w:rsidTr="007E2464">
        <w:trPr>
          <w:trHeight w:val="20"/>
        </w:trPr>
        <w:tc>
          <w:tcPr>
            <w:tcW w:w="2115" w:type="dxa"/>
            <w:vMerge/>
            <w:tcBorders>
              <w:top w:val="single" w:sz="5" w:space="0" w:color="AEAEAE"/>
              <w:left w:val="nil"/>
              <w:bottom w:val="nil"/>
              <w:right w:val="nil"/>
            </w:tcBorders>
            <w:tcMar>
              <w:top w:w="100" w:type="dxa"/>
              <w:left w:w="100" w:type="dxa"/>
              <w:bottom w:w="100" w:type="dxa"/>
              <w:right w:w="100" w:type="dxa"/>
            </w:tcMar>
          </w:tcPr>
          <w:p w14:paraId="10CF6D6D" w14:textId="77777777" w:rsidR="009E4375" w:rsidRDefault="009E4375" w:rsidP="007E2464">
            <w:pPr>
              <w:spacing w:before="0" w:after="0"/>
            </w:pPr>
          </w:p>
        </w:tc>
        <w:tc>
          <w:tcPr>
            <w:tcW w:w="2025" w:type="dxa"/>
            <w:tcBorders>
              <w:top w:val="nil"/>
              <w:left w:val="nil"/>
              <w:bottom w:val="nil"/>
              <w:right w:val="nil"/>
            </w:tcBorders>
            <w:shd w:val="clear" w:color="auto" w:fill="E0E0E0"/>
            <w:tcMar>
              <w:top w:w="0" w:type="dxa"/>
              <w:left w:w="0" w:type="dxa"/>
              <w:bottom w:w="0" w:type="dxa"/>
              <w:right w:w="0" w:type="dxa"/>
            </w:tcMar>
          </w:tcPr>
          <w:p w14:paraId="10CF6D6E" w14:textId="77777777" w:rsidR="009E4375" w:rsidRDefault="00000000" w:rsidP="007E2464">
            <w:pPr>
              <w:spacing w:before="0" w:after="0"/>
              <w:ind w:left="60" w:right="60"/>
            </w:pPr>
            <w:r>
              <w:t>Total</w:t>
            </w:r>
          </w:p>
        </w:tc>
        <w:tc>
          <w:tcPr>
            <w:tcW w:w="1500" w:type="dxa"/>
            <w:tcBorders>
              <w:top w:val="nil"/>
              <w:left w:val="nil"/>
              <w:bottom w:val="nil"/>
              <w:right w:val="nil"/>
            </w:tcBorders>
            <w:shd w:val="clear" w:color="auto" w:fill="F9F9FB"/>
            <w:tcMar>
              <w:top w:w="0" w:type="dxa"/>
              <w:left w:w="0" w:type="dxa"/>
              <w:bottom w:w="0" w:type="dxa"/>
              <w:right w:w="0" w:type="dxa"/>
            </w:tcMar>
          </w:tcPr>
          <w:p w14:paraId="10CF6D6F" w14:textId="77777777" w:rsidR="009E4375" w:rsidRDefault="00000000" w:rsidP="007E2464">
            <w:pPr>
              <w:spacing w:before="0" w:after="0"/>
              <w:ind w:left="60" w:right="60"/>
              <w:jc w:val="right"/>
            </w:pPr>
            <w:r>
              <w:t>49.8780</w:t>
            </w:r>
          </w:p>
        </w:tc>
        <w:tc>
          <w:tcPr>
            <w:tcW w:w="1920" w:type="dxa"/>
            <w:tcBorders>
              <w:top w:val="nil"/>
              <w:left w:val="single" w:sz="5" w:space="0" w:color="E0E0E0"/>
              <w:bottom w:val="nil"/>
              <w:right w:val="nil"/>
            </w:tcBorders>
            <w:shd w:val="clear" w:color="auto" w:fill="F9F9FB"/>
            <w:tcMar>
              <w:top w:w="0" w:type="dxa"/>
              <w:left w:w="0" w:type="dxa"/>
              <w:bottom w:w="0" w:type="dxa"/>
              <w:right w:w="0" w:type="dxa"/>
            </w:tcMar>
          </w:tcPr>
          <w:p w14:paraId="10CF6D70" w14:textId="77777777" w:rsidR="009E4375" w:rsidRDefault="00000000" w:rsidP="007E2464">
            <w:pPr>
              <w:spacing w:before="0" w:after="0"/>
              <w:ind w:left="60" w:right="60"/>
              <w:jc w:val="right"/>
            </w:pPr>
            <w:r>
              <w:t>25.07435</w:t>
            </w:r>
          </w:p>
        </w:tc>
        <w:tc>
          <w:tcPr>
            <w:tcW w:w="1425" w:type="dxa"/>
            <w:tcBorders>
              <w:top w:val="nil"/>
              <w:left w:val="single" w:sz="5" w:space="0" w:color="E0E0E0"/>
              <w:bottom w:val="nil"/>
              <w:right w:val="nil"/>
            </w:tcBorders>
            <w:shd w:val="clear" w:color="auto" w:fill="F9F9FB"/>
            <w:tcMar>
              <w:top w:w="0" w:type="dxa"/>
              <w:left w:w="0" w:type="dxa"/>
              <w:bottom w:w="0" w:type="dxa"/>
              <w:right w:w="0" w:type="dxa"/>
            </w:tcMar>
          </w:tcPr>
          <w:p w14:paraId="10CF6D71" w14:textId="77777777" w:rsidR="009E4375" w:rsidRDefault="00000000" w:rsidP="007E2464">
            <w:pPr>
              <w:spacing w:before="0" w:after="0"/>
              <w:ind w:left="60" w:right="60"/>
              <w:jc w:val="right"/>
            </w:pPr>
            <w:r>
              <w:t>205</w:t>
            </w:r>
          </w:p>
        </w:tc>
      </w:tr>
      <w:tr w:rsidR="009E4375" w14:paraId="10CF6D78" w14:textId="77777777" w:rsidTr="007E2464">
        <w:trPr>
          <w:trHeight w:val="20"/>
        </w:trPr>
        <w:tc>
          <w:tcPr>
            <w:tcW w:w="2115" w:type="dxa"/>
            <w:vMerge w:val="restart"/>
            <w:tcBorders>
              <w:top w:val="single" w:sz="5" w:space="0" w:color="AEAEAE"/>
              <w:left w:val="nil"/>
              <w:bottom w:val="single" w:sz="5" w:space="0" w:color="152935"/>
              <w:right w:val="nil"/>
            </w:tcBorders>
            <w:shd w:val="clear" w:color="auto" w:fill="E0E0E0"/>
            <w:tcMar>
              <w:top w:w="0" w:type="dxa"/>
              <w:left w:w="0" w:type="dxa"/>
              <w:bottom w:w="0" w:type="dxa"/>
              <w:right w:w="0" w:type="dxa"/>
            </w:tcMar>
          </w:tcPr>
          <w:p w14:paraId="10CF6D73" w14:textId="77777777" w:rsidR="009E4375" w:rsidRDefault="00000000" w:rsidP="007E2464">
            <w:pPr>
              <w:spacing w:before="0" w:after="0" w:line="349" w:lineRule="auto"/>
              <w:ind w:left="60" w:right="60"/>
            </w:pPr>
            <w:r>
              <w:t>Participation</w:t>
            </w:r>
          </w:p>
        </w:tc>
        <w:tc>
          <w:tcPr>
            <w:tcW w:w="202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D74" w14:textId="77777777" w:rsidR="009E4375" w:rsidRDefault="00000000" w:rsidP="007E2464">
            <w:pPr>
              <w:spacing w:before="0" w:after="0"/>
              <w:ind w:left="60" w:right="60"/>
            </w:pPr>
            <w:r>
              <w:t>BIM</w:t>
            </w:r>
          </w:p>
        </w:tc>
        <w:tc>
          <w:tcPr>
            <w:tcW w:w="1500"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D75" w14:textId="77777777" w:rsidR="009E4375" w:rsidRDefault="00000000" w:rsidP="007E2464">
            <w:pPr>
              <w:spacing w:before="0" w:after="0"/>
              <w:ind w:left="60" w:right="60"/>
              <w:jc w:val="right"/>
            </w:pPr>
            <w:r>
              <w:t>40.8108</w:t>
            </w:r>
          </w:p>
        </w:tc>
        <w:tc>
          <w:tcPr>
            <w:tcW w:w="1920"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D76" w14:textId="77777777" w:rsidR="009E4375" w:rsidRDefault="00000000" w:rsidP="007E2464">
            <w:pPr>
              <w:spacing w:before="0" w:after="0"/>
              <w:ind w:left="60" w:right="60"/>
              <w:jc w:val="right"/>
            </w:pPr>
            <w:r>
              <w:t>24.47122</w:t>
            </w:r>
          </w:p>
        </w:tc>
        <w:tc>
          <w:tcPr>
            <w:tcW w:w="1425"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D77" w14:textId="77777777" w:rsidR="009E4375" w:rsidRDefault="00000000" w:rsidP="007E2464">
            <w:pPr>
              <w:spacing w:before="0" w:after="0"/>
              <w:ind w:left="60" w:right="60"/>
              <w:jc w:val="right"/>
            </w:pPr>
            <w:r>
              <w:t>74</w:t>
            </w:r>
          </w:p>
        </w:tc>
      </w:tr>
      <w:tr w:rsidR="009E4375" w14:paraId="10CF6D7E" w14:textId="77777777" w:rsidTr="007E2464">
        <w:trPr>
          <w:trHeight w:val="20"/>
        </w:trPr>
        <w:tc>
          <w:tcPr>
            <w:tcW w:w="2115" w:type="dxa"/>
            <w:vMerge/>
            <w:tcBorders>
              <w:top w:val="single" w:sz="5" w:space="0" w:color="AEAEAE"/>
              <w:left w:val="nil"/>
              <w:bottom w:val="single" w:sz="5" w:space="0" w:color="152935"/>
              <w:right w:val="nil"/>
            </w:tcBorders>
            <w:tcMar>
              <w:top w:w="100" w:type="dxa"/>
              <w:left w:w="100" w:type="dxa"/>
              <w:bottom w:w="100" w:type="dxa"/>
              <w:right w:w="100" w:type="dxa"/>
            </w:tcMar>
          </w:tcPr>
          <w:p w14:paraId="10CF6D79" w14:textId="77777777" w:rsidR="009E4375" w:rsidRDefault="009E4375" w:rsidP="007E2464">
            <w:pPr>
              <w:spacing w:before="0" w:after="0"/>
            </w:pPr>
          </w:p>
        </w:tc>
        <w:tc>
          <w:tcPr>
            <w:tcW w:w="2025" w:type="dxa"/>
            <w:tcBorders>
              <w:top w:val="nil"/>
              <w:left w:val="nil"/>
              <w:bottom w:val="single" w:sz="5" w:space="0" w:color="AEAEAE"/>
              <w:right w:val="nil"/>
            </w:tcBorders>
            <w:shd w:val="clear" w:color="auto" w:fill="E0E0E0"/>
            <w:tcMar>
              <w:top w:w="0" w:type="dxa"/>
              <w:left w:w="0" w:type="dxa"/>
              <w:bottom w:w="0" w:type="dxa"/>
              <w:right w:w="0" w:type="dxa"/>
            </w:tcMar>
          </w:tcPr>
          <w:p w14:paraId="10CF6D7A" w14:textId="77777777" w:rsidR="009E4375" w:rsidRDefault="00000000" w:rsidP="007E2464">
            <w:pPr>
              <w:spacing w:before="0" w:after="0"/>
              <w:ind w:left="60" w:right="60"/>
            </w:pPr>
            <w:r>
              <w:t>KTBM</w:t>
            </w:r>
          </w:p>
        </w:tc>
        <w:tc>
          <w:tcPr>
            <w:tcW w:w="1500" w:type="dxa"/>
            <w:tcBorders>
              <w:top w:val="nil"/>
              <w:left w:val="nil"/>
              <w:bottom w:val="single" w:sz="5" w:space="0" w:color="AEAEAE"/>
              <w:right w:val="nil"/>
            </w:tcBorders>
            <w:shd w:val="clear" w:color="auto" w:fill="F9F9FB"/>
            <w:tcMar>
              <w:top w:w="0" w:type="dxa"/>
              <w:left w:w="0" w:type="dxa"/>
              <w:bottom w:w="0" w:type="dxa"/>
              <w:right w:w="0" w:type="dxa"/>
            </w:tcMar>
          </w:tcPr>
          <w:p w14:paraId="10CF6D7B" w14:textId="77777777" w:rsidR="009E4375" w:rsidRDefault="00000000" w:rsidP="007E2464">
            <w:pPr>
              <w:spacing w:before="0" w:after="0"/>
              <w:ind w:left="60" w:right="60"/>
              <w:jc w:val="right"/>
            </w:pPr>
            <w:r>
              <w:t>38.4580</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7C" w14:textId="77777777" w:rsidR="009E4375" w:rsidRDefault="00000000" w:rsidP="007E2464">
            <w:pPr>
              <w:spacing w:before="0" w:after="0"/>
              <w:ind w:left="60" w:right="60"/>
              <w:jc w:val="right"/>
            </w:pPr>
            <w:r>
              <w:t>21.63909</w:t>
            </w:r>
          </w:p>
        </w:tc>
        <w:tc>
          <w:tcPr>
            <w:tcW w:w="142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7D" w14:textId="77777777" w:rsidR="009E4375" w:rsidRDefault="00000000" w:rsidP="007E2464">
            <w:pPr>
              <w:spacing w:before="0" w:after="0"/>
              <w:ind w:left="60" w:right="60"/>
              <w:jc w:val="right"/>
            </w:pPr>
            <w:r>
              <w:t>131</w:t>
            </w:r>
          </w:p>
        </w:tc>
      </w:tr>
      <w:tr w:rsidR="009E4375" w14:paraId="10CF6D84" w14:textId="77777777" w:rsidTr="007E2464">
        <w:trPr>
          <w:trHeight w:val="266"/>
        </w:trPr>
        <w:tc>
          <w:tcPr>
            <w:tcW w:w="2115" w:type="dxa"/>
            <w:vMerge/>
            <w:tcBorders>
              <w:top w:val="single" w:sz="5" w:space="0" w:color="AEAEAE"/>
              <w:left w:val="nil"/>
              <w:bottom w:val="single" w:sz="5" w:space="0" w:color="152935"/>
              <w:right w:val="nil"/>
            </w:tcBorders>
            <w:tcMar>
              <w:top w:w="100" w:type="dxa"/>
              <w:left w:w="100" w:type="dxa"/>
              <w:bottom w:w="100" w:type="dxa"/>
              <w:right w:w="100" w:type="dxa"/>
            </w:tcMar>
          </w:tcPr>
          <w:p w14:paraId="10CF6D7F" w14:textId="77777777" w:rsidR="009E4375" w:rsidRDefault="009E4375" w:rsidP="007E2464">
            <w:pPr>
              <w:spacing w:before="0" w:after="0"/>
            </w:pPr>
          </w:p>
        </w:tc>
        <w:tc>
          <w:tcPr>
            <w:tcW w:w="2025" w:type="dxa"/>
            <w:tcBorders>
              <w:top w:val="nil"/>
              <w:left w:val="nil"/>
              <w:bottom w:val="single" w:sz="5" w:space="0" w:color="152935"/>
              <w:right w:val="nil"/>
            </w:tcBorders>
            <w:shd w:val="clear" w:color="auto" w:fill="E0E0E0"/>
            <w:tcMar>
              <w:top w:w="0" w:type="dxa"/>
              <w:left w:w="0" w:type="dxa"/>
              <w:bottom w:w="0" w:type="dxa"/>
              <w:right w:w="0" w:type="dxa"/>
            </w:tcMar>
          </w:tcPr>
          <w:p w14:paraId="10CF6D80" w14:textId="77777777" w:rsidR="009E4375" w:rsidRDefault="00000000" w:rsidP="007E2464">
            <w:pPr>
              <w:spacing w:before="0" w:after="0"/>
              <w:ind w:left="60" w:right="60"/>
            </w:pPr>
            <w:r>
              <w:t>Total</w:t>
            </w:r>
          </w:p>
        </w:tc>
        <w:tc>
          <w:tcPr>
            <w:tcW w:w="1500" w:type="dxa"/>
            <w:tcBorders>
              <w:top w:val="nil"/>
              <w:left w:val="nil"/>
              <w:bottom w:val="single" w:sz="5" w:space="0" w:color="152935"/>
              <w:right w:val="nil"/>
            </w:tcBorders>
            <w:shd w:val="clear" w:color="auto" w:fill="F9F9FB"/>
            <w:tcMar>
              <w:top w:w="0" w:type="dxa"/>
              <w:left w:w="0" w:type="dxa"/>
              <w:bottom w:w="0" w:type="dxa"/>
              <w:right w:w="0" w:type="dxa"/>
            </w:tcMar>
          </w:tcPr>
          <w:p w14:paraId="10CF6D81" w14:textId="77777777" w:rsidR="009E4375" w:rsidRDefault="00000000" w:rsidP="007E2464">
            <w:pPr>
              <w:spacing w:before="0" w:after="0"/>
              <w:ind w:left="60" w:right="60"/>
              <w:jc w:val="right"/>
            </w:pPr>
            <w:r>
              <w:t>39.3073</w:t>
            </w:r>
          </w:p>
        </w:tc>
        <w:tc>
          <w:tcPr>
            <w:tcW w:w="192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82" w14:textId="77777777" w:rsidR="009E4375" w:rsidRDefault="00000000" w:rsidP="007E2464">
            <w:pPr>
              <w:spacing w:before="0" w:after="0"/>
              <w:ind w:left="60" w:right="60"/>
              <w:jc w:val="right"/>
            </w:pPr>
            <w:r>
              <w:t>22.67088</w:t>
            </w:r>
          </w:p>
        </w:tc>
        <w:tc>
          <w:tcPr>
            <w:tcW w:w="142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83" w14:textId="77777777" w:rsidR="009E4375" w:rsidRDefault="00000000" w:rsidP="007E2464">
            <w:pPr>
              <w:spacing w:before="0" w:after="0"/>
              <w:ind w:left="60" w:right="60"/>
              <w:jc w:val="right"/>
            </w:pPr>
            <w:r>
              <w:t>205</w:t>
            </w:r>
          </w:p>
        </w:tc>
      </w:tr>
    </w:tbl>
    <w:p w14:paraId="10CF6D85" w14:textId="77777777" w:rsidR="009E4375" w:rsidRDefault="009E4375">
      <w:pPr>
        <w:spacing w:after="200"/>
      </w:pPr>
    </w:p>
    <w:p w14:paraId="10CF6D86" w14:textId="77777777" w:rsidR="009E4375" w:rsidRDefault="00000000">
      <w:pPr>
        <w:spacing w:after="200"/>
      </w:pPr>
      <w:r>
        <w:lastRenderedPageBreak/>
        <w:t>3.2</w:t>
      </w:r>
      <w:r>
        <w:tab/>
        <w:t xml:space="preserve">Is there a difference in QOL for deaf Malaysians based on the type of signed communication they most often used with their family members at home during their formative school years? </w:t>
      </w:r>
    </w:p>
    <w:p w14:paraId="10CF6D8C" w14:textId="4370A154" w:rsidR="009E4375" w:rsidRDefault="00000000" w:rsidP="00897D9F">
      <w:pPr>
        <w:ind w:firstLine="720"/>
      </w:pPr>
      <w:r>
        <w:t xml:space="preserve">An independent sample t-test was conducted to compare the effect of the type of signed communication they most often used, such as BIM and KTBM with their family members at home during their formative school years. In Table 14 and Table 15, there was no significant difference in the overall QOL for BIM (M = 56.20, SD = 12.06) and KTBM (M = 54.47, SD = 12.73) conditions; </w:t>
      </w:r>
      <w:proofErr w:type="gramStart"/>
      <w:r>
        <w:t>t(</w:t>
      </w:r>
      <w:proofErr w:type="gramEnd"/>
      <w:r>
        <w:t>179) = .894, p = .372, Cohen’s d = .139.</w:t>
      </w:r>
    </w:p>
    <w:p w14:paraId="5449447D" w14:textId="77777777" w:rsidR="00505832" w:rsidRDefault="00505832">
      <w:pPr>
        <w:spacing w:before="0" w:after="0"/>
      </w:pPr>
    </w:p>
    <w:p w14:paraId="10CF6D8D" w14:textId="77777777" w:rsidR="009E4375" w:rsidRDefault="00000000">
      <w:pPr>
        <w:spacing w:before="0" w:after="200"/>
        <w:rPr>
          <w:b/>
          <w:bCs/>
        </w:rPr>
      </w:pPr>
      <w:r>
        <w:rPr>
          <w:b/>
          <w:bCs/>
        </w:rPr>
        <w:t>Table 14</w:t>
      </w:r>
    </w:p>
    <w:p w14:paraId="10CF6D8E" w14:textId="77777777" w:rsidR="009E4375" w:rsidRDefault="00000000">
      <w:pPr>
        <w:spacing w:before="0" w:after="200"/>
        <w:rPr>
          <w:i/>
          <w:iCs/>
        </w:rPr>
      </w:pPr>
      <w:r>
        <w:rPr>
          <w:i/>
          <w:iCs/>
        </w:rPr>
        <w:t>Mean and Standard Deviation of QOL by Signed Communication at Home</w:t>
      </w:r>
    </w:p>
    <w:tbl>
      <w:tblPr>
        <w:tblStyle w:val="ac"/>
        <w:tblW w:w="91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10"/>
        <w:gridCol w:w="1155"/>
        <w:gridCol w:w="1035"/>
        <w:gridCol w:w="1290"/>
        <w:gridCol w:w="2010"/>
        <w:gridCol w:w="1995"/>
      </w:tblGrid>
      <w:tr w:rsidR="009E4375" w14:paraId="10CF6D90" w14:textId="77777777">
        <w:trPr>
          <w:trHeight w:val="390"/>
        </w:trPr>
        <w:tc>
          <w:tcPr>
            <w:tcW w:w="9195" w:type="dxa"/>
            <w:gridSpan w:val="6"/>
            <w:tcBorders>
              <w:top w:val="nil"/>
              <w:left w:val="nil"/>
              <w:bottom w:val="nil"/>
              <w:right w:val="nil"/>
            </w:tcBorders>
            <w:shd w:val="clear" w:color="auto" w:fill="FFFFFF"/>
            <w:tcMar>
              <w:top w:w="0" w:type="dxa"/>
              <w:left w:w="0" w:type="dxa"/>
              <w:bottom w:w="0" w:type="dxa"/>
              <w:right w:w="0" w:type="dxa"/>
            </w:tcMar>
          </w:tcPr>
          <w:p w14:paraId="10CF6D8F" w14:textId="77777777" w:rsidR="009E4375" w:rsidRDefault="00000000">
            <w:pPr>
              <w:spacing w:before="0" w:after="0" w:line="349" w:lineRule="auto"/>
              <w:ind w:left="60" w:right="60"/>
              <w:jc w:val="center"/>
              <w:rPr>
                <w:color w:val="010205"/>
              </w:rPr>
            </w:pPr>
            <w:r>
              <w:rPr>
                <w:color w:val="010205"/>
              </w:rPr>
              <w:t>Group Statistics</w:t>
            </w:r>
          </w:p>
        </w:tc>
      </w:tr>
      <w:tr w:rsidR="009E4375" w14:paraId="10CF6D97" w14:textId="77777777">
        <w:trPr>
          <w:trHeight w:val="660"/>
        </w:trPr>
        <w:tc>
          <w:tcPr>
            <w:tcW w:w="1710" w:type="dxa"/>
            <w:tcBorders>
              <w:top w:val="nil"/>
              <w:left w:val="nil"/>
              <w:bottom w:val="nil"/>
              <w:right w:val="nil"/>
            </w:tcBorders>
            <w:tcMar>
              <w:top w:w="0" w:type="dxa"/>
              <w:left w:w="0" w:type="dxa"/>
              <w:bottom w:w="0" w:type="dxa"/>
              <w:right w:w="0" w:type="dxa"/>
            </w:tcMar>
          </w:tcPr>
          <w:p w14:paraId="10CF6D91" w14:textId="77777777" w:rsidR="009E4375" w:rsidRDefault="00000000">
            <w:pPr>
              <w:spacing w:before="0" w:after="0"/>
            </w:pPr>
            <w:r>
              <w:rPr>
                <w:sz w:val="28"/>
                <w:szCs w:val="28"/>
              </w:rPr>
              <w:t xml:space="preserve"> </w:t>
            </w:r>
          </w:p>
        </w:tc>
        <w:tc>
          <w:tcPr>
            <w:tcW w:w="115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92" w14:textId="77777777" w:rsidR="009E4375" w:rsidRDefault="00000000">
            <w:pPr>
              <w:spacing w:before="0" w:after="0" w:line="349" w:lineRule="auto"/>
              <w:ind w:left="60" w:right="60"/>
            </w:pPr>
            <w:r>
              <w:t>Family</w:t>
            </w:r>
          </w:p>
        </w:tc>
        <w:tc>
          <w:tcPr>
            <w:tcW w:w="103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93" w14:textId="77777777" w:rsidR="009E4375" w:rsidRDefault="00000000">
            <w:pPr>
              <w:spacing w:before="0" w:after="0" w:line="349" w:lineRule="auto"/>
              <w:ind w:left="60" w:right="60"/>
              <w:jc w:val="center"/>
            </w:pPr>
            <w:r>
              <w:t>N</w:t>
            </w:r>
          </w:p>
        </w:tc>
        <w:tc>
          <w:tcPr>
            <w:tcW w:w="129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94" w14:textId="77777777" w:rsidR="009E4375" w:rsidRDefault="00000000">
            <w:pPr>
              <w:spacing w:before="0" w:after="0" w:line="349" w:lineRule="auto"/>
              <w:ind w:left="60" w:right="60"/>
              <w:jc w:val="center"/>
            </w:pPr>
            <w:r>
              <w:t>Mean</w:t>
            </w:r>
          </w:p>
        </w:tc>
        <w:tc>
          <w:tcPr>
            <w:tcW w:w="201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95" w14:textId="77777777" w:rsidR="009E4375" w:rsidRDefault="00000000">
            <w:pPr>
              <w:spacing w:before="0" w:after="0" w:line="349" w:lineRule="auto"/>
              <w:ind w:left="60" w:right="60"/>
              <w:jc w:val="center"/>
            </w:pPr>
            <w:r>
              <w:t>Std. Deviation</w:t>
            </w:r>
          </w:p>
        </w:tc>
        <w:tc>
          <w:tcPr>
            <w:tcW w:w="1995"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D96" w14:textId="77777777" w:rsidR="009E4375" w:rsidRDefault="00000000">
            <w:pPr>
              <w:spacing w:before="0" w:after="0" w:line="349" w:lineRule="auto"/>
              <w:ind w:left="60" w:right="60"/>
              <w:jc w:val="center"/>
            </w:pPr>
            <w:r>
              <w:t>Std. Error Mean</w:t>
            </w:r>
          </w:p>
        </w:tc>
      </w:tr>
      <w:tr w:rsidR="009E4375" w14:paraId="10CF6D9E" w14:textId="77777777">
        <w:trPr>
          <w:trHeight w:val="330"/>
        </w:trPr>
        <w:tc>
          <w:tcPr>
            <w:tcW w:w="1710" w:type="dxa"/>
            <w:vMerge w:val="restart"/>
            <w:tcBorders>
              <w:top w:val="single" w:sz="5" w:space="0" w:color="152935"/>
              <w:left w:val="nil"/>
              <w:bottom w:val="single" w:sz="5" w:space="0" w:color="152935"/>
              <w:right w:val="nil"/>
            </w:tcBorders>
            <w:shd w:val="clear" w:color="auto" w:fill="E0E0E0"/>
            <w:tcMar>
              <w:top w:w="0" w:type="dxa"/>
              <w:left w:w="0" w:type="dxa"/>
              <w:bottom w:w="0" w:type="dxa"/>
              <w:right w:w="0" w:type="dxa"/>
            </w:tcMar>
          </w:tcPr>
          <w:p w14:paraId="10CF6D98" w14:textId="77777777" w:rsidR="009E4375" w:rsidRDefault="00000000">
            <w:pPr>
              <w:spacing w:before="0" w:after="0" w:line="349" w:lineRule="auto"/>
              <w:ind w:left="60" w:right="60"/>
            </w:pPr>
            <w:r>
              <w:t>Overall QOL</w:t>
            </w:r>
          </w:p>
        </w:tc>
        <w:tc>
          <w:tcPr>
            <w:tcW w:w="1155" w:type="dxa"/>
            <w:tcBorders>
              <w:top w:val="nil"/>
              <w:left w:val="nil"/>
              <w:bottom w:val="single" w:sz="5" w:space="0" w:color="AEAEAE"/>
              <w:right w:val="nil"/>
            </w:tcBorders>
            <w:shd w:val="clear" w:color="auto" w:fill="E0E0E0"/>
            <w:tcMar>
              <w:top w:w="0" w:type="dxa"/>
              <w:left w:w="0" w:type="dxa"/>
              <w:bottom w:w="0" w:type="dxa"/>
              <w:right w:w="0" w:type="dxa"/>
            </w:tcMar>
          </w:tcPr>
          <w:p w14:paraId="10CF6D99" w14:textId="77777777" w:rsidR="009E4375" w:rsidRDefault="00000000">
            <w:pPr>
              <w:spacing w:before="0" w:after="0" w:line="349" w:lineRule="auto"/>
              <w:ind w:left="60" w:right="60"/>
            </w:pPr>
            <w:r>
              <w:t>BIM</w:t>
            </w:r>
          </w:p>
        </w:tc>
        <w:tc>
          <w:tcPr>
            <w:tcW w:w="1035" w:type="dxa"/>
            <w:tcBorders>
              <w:top w:val="nil"/>
              <w:left w:val="nil"/>
              <w:bottom w:val="single" w:sz="5" w:space="0" w:color="AEAEAE"/>
              <w:right w:val="nil"/>
            </w:tcBorders>
            <w:shd w:val="clear" w:color="auto" w:fill="F9F9FB"/>
            <w:tcMar>
              <w:top w:w="0" w:type="dxa"/>
              <w:left w:w="0" w:type="dxa"/>
              <w:bottom w:w="0" w:type="dxa"/>
              <w:right w:w="0" w:type="dxa"/>
            </w:tcMar>
          </w:tcPr>
          <w:p w14:paraId="10CF6D9A" w14:textId="77777777" w:rsidR="009E4375" w:rsidRDefault="00000000">
            <w:pPr>
              <w:spacing w:before="0" w:after="0" w:line="349" w:lineRule="auto"/>
              <w:ind w:left="60" w:right="60"/>
              <w:jc w:val="right"/>
            </w:pPr>
            <w:r>
              <w:t>65</w:t>
            </w:r>
          </w:p>
        </w:tc>
        <w:tc>
          <w:tcPr>
            <w:tcW w:w="129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9B" w14:textId="77777777" w:rsidR="009E4375" w:rsidRDefault="00000000">
            <w:pPr>
              <w:spacing w:before="0" w:after="0" w:line="349" w:lineRule="auto"/>
              <w:ind w:left="60" w:right="60"/>
              <w:jc w:val="right"/>
            </w:pPr>
            <w:r>
              <w:t>56.1971</w:t>
            </w:r>
          </w:p>
        </w:tc>
        <w:tc>
          <w:tcPr>
            <w:tcW w:w="201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9C" w14:textId="77777777" w:rsidR="009E4375" w:rsidRDefault="00000000">
            <w:pPr>
              <w:spacing w:before="0" w:after="0" w:line="349" w:lineRule="auto"/>
              <w:ind w:left="60" w:right="60"/>
              <w:jc w:val="right"/>
            </w:pPr>
            <w:r>
              <w:t>12.05666</w:t>
            </w:r>
          </w:p>
        </w:tc>
        <w:tc>
          <w:tcPr>
            <w:tcW w:w="199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D9D" w14:textId="77777777" w:rsidR="009E4375" w:rsidRDefault="00000000">
            <w:pPr>
              <w:spacing w:before="0" w:after="0" w:line="349" w:lineRule="auto"/>
              <w:ind w:left="60" w:right="60"/>
              <w:jc w:val="right"/>
            </w:pPr>
            <w:r>
              <w:t>1.49544</w:t>
            </w:r>
          </w:p>
        </w:tc>
      </w:tr>
      <w:tr w:rsidR="009E4375" w14:paraId="10CF6DA5" w14:textId="77777777">
        <w:trPr>
          <w:trHeight w:val="375"/>
        </w:trPr>
        <w:tc>
          <w:tcPr>
            <w:tcW w:w="1710" w:type="dxa"/>
            <w:vMerge/>
            <w:tcBorders>
              <w:top w:val="single" w:sz="5" w:space="0" w:color="152935"/>
              <w:left w:val="nil"/>
              <w:bottom w:val="single" w:sz="5" w:space="0" w:color="152935"/>
              <w:right w:val="nil"/>
            </w:tcBorders>
            <w:tcMar>
              <w:top w:w="100" w:type="dxa"/>
              <w:left w:w="100" w:type="dxa"/>
              <w:bottom w:w="100" w:type="dxa"/>
              <w:right w:w="100" w:type="dxa"/>
            </w:tcMar>
          </w:tcPr>
          <w:p w14:paraId="10CF6D9F" w14:textId="77777777" w:rsidR="009E4375" w:rsidRDefault="009E4375"/>
        </w:tc>
        <w:tc>
          <w:tcPr>
            <w:tcW w:w="1155" w:type="dxa"/>
            <w:tcBorders>
              <w:top w:val="nil"/>
              <w:left w:val="nil"/>
              <w:bottom w:val="single" w:sz="5" w:space="0" w:color="152935"/>
              <w:right w:val="nil"/>
            </w:tcBorders>
            <w:shd w:val="clear" w:color="auto" w:fill="E0E0E0"/>
            <w:tcMar>
              <w:top w:w="0" w:type="dxa"/>
              <w:left w:w="0" w:type="dxa"/>
              <w:bottom w:w="0" w:type="dxa"/>
              <w:right w:w="0" w:type="dxa"/>
            </w:tcMar>
          </w:tcPr>
          <w:p w14:paraId="10CF6DA0" w14:textId="77777777" w:rsidR="009E4375" w:rsidRDefault="00000000">
            <w:pPr>
              <w:spacing w:before="0" w:after="0" w:line="349" w:lineRule="auto"/>
              <w:ind w:left="60" w:right="60"/>
            </w:pPr>
            <w:r>
              <w:t>KTBM</w:t>
            </w:r>
          </w:p>
        </w:tc>
        <w:tc>
          <w:tcPr>
            <w:tcW w:w="1035" w:type="dxa"/>
            <w:tcBorders>
              <w:top w:val="nil"/>
              <w:left w:val="nil"/>
              <w:bottom w:val="single" w:sz="5" w:space="0" w:color="152935"/>
              <w:right w:val="nil"/>
            </w:tcBorders>
            <w:shd w:val="clear" w:color="auto" w:fill="F9F9FB"/>
            <w:tcMar>
              <w:top w:w="0" w:type="dxa"/>
              <w:left w:w="0" w:type="dxa"/>
              <w:bottom w:w="0" w:type="dxa"/>
              <w:right w:w="0" w:type="dxa"/>
            </w:tcMar>
          </w:tcPr>
          <w:p w14:paraId="10CF6DA1" w14:textId="77777777" w:rsidR="009E4375" w:rsidRDefault="00000000">
            <w:pPr>
              <w:spacing w:before="0" w:after="0" w:line="349" w:lineRule="auto"/>
              <w:ind w:left="60" w:right="60"/>
              <w:jc w:val="right"/>
            </w:pPr>
            <w:r>
              <w:t>116</w:t>
            </w:r>
          </w:p>
        </w:tc>
        <w:tc>
          <w:tcPr>
            <w:tcW w:w="129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A2" w14:textId="77777777" w:rsidR="009E4375" w:rsidRDefault="00000000">
            <w:pPr>
              <w:spacing w:before="0" w:after="0" w:line="349" w:lineRule="auto"/>
              <w:ind w:left="60" w:right="60"/>
              <w:jc w:val="right"/>
            </w:pPr>
            <w:r>
              <w:t>54.4666</w:t>
            </w:r>
          </w:p>
        </w:tc>
        <w:tc>
          <w:tcPr>
            <w:tcW w:w="201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A3" w14:textId="77777777" w:rsidR="009E4375" w:rsidRDefault="00000000">
            <w:pPr>
              <w:spacing w:before="0" w:after="0" w:line="349" w:lineRule="auto"/>
              <w:ind w:left="60" w:right="60"/>
              <w:jc w:val="right"/>
            </w:pPr>
            <w:r>
              <w:t>12.72775</w:t>
            </w:r>
          </w:p>
        </w:tc>
        <w:tc>
          <w:tcPr>
            <w:tcW w:w="199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DA4" w14:textId="77777777" w:rsidR="009E4375" w:rsidRDefault="00000000">
            <w:pPr>
              <w:spacing w:before="0" w:after="0" w:line="349" w:lineRule="auto"/>
              <w:ind w:left="60" w:right="60"/>
              <w:jc w:val="right"/>
            </w:pPr>
            <w:r>
              <w:t>1.18174</w:t>
            </w:r>
          </w:p>
        </w:tc>
      </w:tr>
    </w:tbl>
    <w:p w14:paraId="10CF6DA6" w14:textId="77777777" w:rsidR="009E4375" w:rsidRDefault="009E4375">
      <w:pPr>
        <w:rPr>
          <w:sz w:val="28"/>
          <w:szCs w:val="28"/>
        </w:rPr>
      </w:pPr>
    </w:p>
    <w:p w14:paraId="2CD1AE7E" w14:textId="77777777" w:rsidR="007E2464" w:rsidRDefault="007E2464" w:rsidP="007E2464">
      <w:pPr>
        <w:spacing w:before="0" w:after="0"/>
        <w:ind w:firstLine="720"/>
        <w:rPr>
          <w:b/>
          <w:bCs/>
        </w:rPr>
      </w:pPr>
      <w:r>
        <w:t xml:space="preserve">A multivariate analysis of variance (MANOVA) was used to examine the effect of the type of signed communication with family members at home during their formative school years, in each subdomain of the QOL. In Table 16 for BIM, the means of each subdomain of QOL are: Self Accept (M = 72.73, SD = 15.99), Perceived Stigma (M = 47.90, SD = 24.72), Participation (M = 39.69, SD = 25.18). For KTBM, the means of each subdomain of QOL </w:t>
      </w:r>
      <w:proofErr w:type="gramStart"/>
      <w:r>
        <w:t>are:</w:t>
      </w:r>
      <w:proofErr w:type="gramEnd"/>
      <w:r>
        <w:t xml:space="preserve"> Self Accept (M = 66.62, SD = 19.11), Perceived Stigma (M = 51.31, SD = 25.24), Participation (M = 39.97, SD = 22.10). The results of the MANOVA indicate that there was no significant difference between BIM and KTBM, on each subdomain of QOL, [</w:t>
      </w:r>
      <w:proofErr w:type="gramStart"/>
      <w:r>
        <w:t>F(</w:t>
      </w:r>
      <w:proofErr w:type="gramEnd"/>
      <w:r>
        <w:t>3, 177) = 2.305, p = .079, Wilks’ λ = .962, partial η2 = .038] (See table 17).</w:t>
      </w:r>
    </w:p>
    <w:p w14:paraId="763AA393" w14:textId="77777777" w:rsidR="00505832" w:rsidRDefault="00505832" w:rsidP="00F050B2">
      <w:pPr>
        <w:spacing w:before="0" w:after="0"/>
        <w:rPr>
          <w:sz w:val="28"/>
          <w:szCs w:val="28"/>
        </w:rPr>
      </w:pPr>
    </w:p>
    <w:p w14:paraId="10CF6DA7" w14:textId="77777777" w:rsidR="009E4375" w:rsidRDefault="00000000">
      <w:pPr>
        <w:rPr>
          <w:b/>
          <w:bCs/>
        </w:rPr>
      </w:pPr>
      <w:r>
        <w:rPr>
          <w:b/>
          <w:bCs/>
        </w:rPr>
        <w:lastRenderedPageBreak/>
        <w:t>Table 15</w:t>
      </w:r>
    </w:p>
    <w:p w14:paraId="10CF6DA8" w14:textId="77777777" w:rsidR="009E4375" w:rsidRDefault="00000000">
      <w:pPr>
        <w:rPr>
          <w:i/>
          <w:iCs/>
        </w:rPr>
      </w:pPr>
      <w:r>
        <w:rPr>
          <w:i/>
          <w:iCs/>
        </w:rPr>
        <w:t>Independent Samples T-test Comparing BIM and KTBM</w:t>
      </w:r>
    </w:p>
    <w:tbl>
      <w:tblPr>
        <w:tblStyle w:val="ad"/>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10"/>
        <w:gridCol w:w="990"/>
        <w:gridCol w:w="540"/>
        <w:gridCol w:w="540"/>
        <w:gridCol w:w="540"/>
        <w:gridCol w:w="900"/>
        <w:gridCol w:w="720"/>
        <w:gridCol w:w="720"/>
        <w:gridCol w:w="1080"/>
        <w:gridCol w:w="1080"/>
        <w:gridCol w:w="720"/>
        <w:gridCol w:w="720"/>
      </w:tblGrid>
      <w:tr w:rsidR="009E4375" w14:paraId="10CF6DAA" w14:textId="77777777" w:rsidTr="00F050B2">
        <w:trPr>
          <w:trHeight w:val="315"/>
        </w:trPr>
        <w:tc>
          <w:tcPr>
            <w:tcW w:w="9360" w:type="dxa"/>
            <w:gridSpan w:val="12"/>
            <w:tcBorders>
              <w:top w:val="nil"/>
              <w:left w:val="nil"/>
              <w:bottom w:val="nil"/>
              <w:right w:val="nil"/>
            </w:tcBorders>
            <w:shd w:val="clear" w:color="auto" w:fill="FFFFFF"/>
            <w:tcMar>
              <w:top w:w="0" w:type="dxa"/>
              <w:left w:w="0" w:type="dxa"/>
              <w:bottom w:w="0" w:type="dxa"/>
              <w:right w:w="0" w:type="dxa"/>
            </w:tcMar>
          </w:tcPr>
          <w:p w14:paraId="10CF6DA9" w14:textId="77777777" w:rsidR="009E4375" w:rsidRPr="00972D68" w:rsidRDefault="00000000" w:rsidP="00103E29">
            <w:pPr>
              <w:spacing w:before="0" w:after="0" w:line="240" w:lineRule="auto"/>
              <w:ind w:left="60" w:right="60"/>
              <w:jc w:val="center"/>
            </w:pPr>
            <w:r w:rsidRPr="00972D68">
              <w:t>Independent Samples Test</w:t>
            </w:r>
          </w:p>
        </w:tc>
      </w:tr>
      <w:tr w:rsidR="009E4375" w14:paraId="10CF6DAE" w14:textId="77777777" w:rsidTr="001666DE">
        <w:trPr>
          <w:trHeight w:val="1170"/>
        </w:trPr>
        <w:tc>
          <w:tcPr>
            <w:tcW w:w="1800" w:type="dxa"/>
            <w:gridSpan w:val="2"/>
            <w:vMerge w:val="restart"/>
            <w:tcBorders>
              <w:top w:val="nil"/>
              <w:left w:val="nil"/>
              <w:bottom w:val="nil"/>
              <w:right w:val="nil"/>
            </w:tcBorders>
            <w:shd w:val="clear" w:color="auto" w:fill="FFFFFF"/>
            <w:tcMar>
              <w:top w:w="0" w:type="dxa"/>
              <w:left w:w="0" w:type="dxa"/>
              <w:bottom w:w="0" w:type="dxa"/>
              <w:right w:w="0" w:type="dxa"/>
            </w:tcMar>
            <w:vAlign w:val="bottom"/>
          </w:tcPr>
          <w:p w14:paraId="10CF6DAB" w14:textId="77777777" w:rsidR="009E4375" w:rsidRPr="00A00C11" w:rsidRDefault="00000000" w:rsidP="00103E29">
            <w:pPr>
              <w:spacing w:before="0" w:after="0" w:line="240" w:lineRule="auto"/>
              <w:rPr>
                <w:sz w:val="20"/>
                <w:szCs w:val="20"/>
              </w:rPr>
            </w:pPr>
            <w:r w:rsidRPr="00A00C11">
              <w:rPr>
                <w:sz w:val="20"/>
                <w:szCs w:val="20"/>
              </w:rPr>
              <w:t xml:space="preserve"> </w:t>
            </w:r>
          </w:p>
        </w:tc>
        <w:tc>
          <w:tcPr>
            <w:tcW w:w="1080" w:type="dxa"/>
            <w:gridSpan w:val="2"/>
            <w:tcBorders>
              <w:top w:val="nil"/>
              <w:left w:val="nil"/>
              <w:bottom w:val="single" w:sz="4" w:space="0" w:color="auto"/>
              <w:right w:val="single" w:sz="6" w:space="0" w:color="E0E0E0"/>
            </w:tcBorders>
            <w:shd w:val="clear" w:color="auto" w:fill="FFFFFF"/>
            <w:tcMar>
              <w:top w:w="0" w:type="dxa"/>
              <w:left w:w="0" w:type="dxa"/>
              <w:bottom w:w="0" w:type="dxa"/>
              <w:right w:w="0" w:type="dxa"/>
            </w:tcMar>
            <w:vAlign w:val="bottom"/>
          </w:tcPr>
          <w:p w14:paraId="10CF6DAC" w14:textId="77777777" w:rsidR="009E4375" w:rsidRPr="00A00C11" w:rsidRDefault="00000000" w:rsidP="00103E29">
            <w:pPr>
              <w:spacing w:before="0" w:after="0" w:line="240" w:lineRule="auto"/>
              <w:ind w:left="60" w:right="60"/>
              <w:jc w:val="center"/>
              <w:rPr>
                <w:sz w:val="20"/>
                <w:szCs w:val="20"/>
              </w:rPr>
            </w:pPr>
            <w:r w:rsidRPr="00A00C11">
              <w:rPr>
                <w:sz w:val="20"/>
                <w:szCs w:val="20"/>
              </w:rPr>
              <w:t>Levene's Test for Equality of Variances</w:t>
            </w:r>
          </w:p>
        </w:tc>
        <w:tc>
          <w:tcPr>
            <w:tcW w:w="6480" w:type="dxa"/>
            <w:gridSpan w:val="8"/>
            <w:tcBorders>
              <w:top w:val="nil"/>
              <w:left w:val="single" w:sz="6" w:space="0" w:color="E0E0E0"/>
              <w:bottom w:val="single" w:sz="4" w:space="0" w:color="auto"/>
              <w:right w:val="nil"/>
            </w:tcBorders>
            <w:shd w:val="clear" w:color="auto" w:fill="FFFFFF"/>
            <w:tcMar>
              <w:top w:w="0" w:type="dxa"/>
              <w:left w:w="0" w:type="dxa"/>
              <w:bottom w:w="0" w:type="dxa"/>
              <w:right w:w="0" w:type="dxa"/>
            </w:tcMar>
            <w:vAlign w:val="bottom"/>
          </w:tcPr>
          <w:p w14:paraId="10CF6DAD" w14:textId="77777777" w:rsidR="009E4375" w:rsidRPr="00A00C11" w:rsidRDefault="00000000" w:rsidP="00103E29">
            <w:pPr>
              <w:spacing w:before="0" w:after="0" w:line="240" w:lineRule="auto"/>
              <w:ind w:left="60" w:right="60"/>
              <w:jc w:val="center"/>
              <w:rPr>
                <w:sz w:val="20"/>
                <w:szCs w:val="20"/>
              </w:rPr>
            </w:pPr>
            <w:r w:rsidRPr="00A00C11">
              <w:rPr>
                <w:sz w:val="20"/>
                <w:szCs w:val="20"/>
              </w:rPr>
              <w:t>t-test for Equality of Means</w:t>
            </w:r>
          </w:p>
        </w:tc>
      </w:tr>
      <w:tr w:rsidR="00F050B2" w14:paraId="10CF6DB8" w14:textId="77777777" w:rsidTr="00226C41">
        <w:trPr>
          <w:trHeight w:val="250"/>
        </w:trPr>
        <w:tc>
          <w:tcPr>
            <w:tcW w:w="1800" w:type="dxa"/>
            <w:gridSpan w:val="2"/>
            <w:vMerge/>
            <w:tcBorders>
              <w:top w:val="single" w:sz="4" w:space="0" w:color="auto"/>
              <w:left w:val="nil"/>
              <w:bottom w:val="nil"/>
            </w:tcBorders>
            <w:tcMar>
              <w:top w:w="100" w:type="dxa"/>
              <w:left w:w="100" w:type="dxa"/>
              <w:bottom w:w="100" w:type="dxa"/>
              <w:right w:w="100" w:type="dxa"/>
            </w:tcMar>
          </w:tcPr>
          <w:p w14:paraId="10CF6DAF" w14:textId="77777777" w:rsidR="009E4375" w:rsidRPr="00A00C11" w:rsidRDefault="009E4375" w:rsidP="00103E29">
            <w:pPr>
              <w:spacing w:line="240" w:lineRule="auto"/>
              <w:rPr>
                <w:sz w:val="20"/>
                <w:szCs w:val="20"/>
              </w:rPr>
            </w:pPr>
          </w:p>
        </w:tc>
        <w:tc>
          <w:tcPr>
            <w:tcW w:w="540" w:type="dxa"/>
            <w:vMerge w:val="restart"/>
            <w:tcBorders>
              <w:top w:val="single" w:sz="4" w:space="0" w:color="auto"/>
              <w:left w:val="nil"/>
              <w:bottom w:val="nil"/>
              <w:right w:val="nil"/>
            </w:tcBorders>
            <w:shd w:val="clear" w:color="auto" w:fill="FFFFFF"/>
            <w:tcMar>
              <w:top w:w="0" w:type="dxa"/>
              <w:left w:w="0" w:type="dxa"/>
              <w:bottom w:w="0" w:type="dxa"/>
              <w:right w:w="0" w:type="dxa"/>
            </w:tcMar>
            <w:vAlign w:val="bottom"/>
          </w:tcPr>
          <w:p w14:paraId="10CF6DB0" w14:textId="77777777" w:rsidR="009E4375" w:rsidRPr="00A00C11" w:rsidRDefault="00000000" w:rsidP="00103E29">
            <w:pPr>
              <w:spacing w:before="0" w:after="0" w:line="240" w:lineRule="auto"/>
              <w:ind w:left="60" w:right="60"/>
              <w:jc w:val="center"/>
              <w:rPr>
                <w:sz w:val="20"/>
                <w:szCs w:val="20"/>
              </w:rPr>
            </w:pPr>
            <w:r w:rsidRPr="00A00C11">
              <w:rPr>
                <w:sz w:val="20"/>
                <w:szCs w:val="20"/>
              </w:rPr>
              <w:t>F</w:t>
            </w:r>
          </w:p>
        </w:tc>
        <w:tc>
          <w:tcPr>
            <w:tcW w:w="540" w:type="dxa"/>
            <w:vMerge w:val="restart"/>
            <w:tcBorders>
              <w:top w:val="single" w:sz="4" w:space="0" w:color="auto"/>
              <w:left w:val="single" w:sz="5" w:space="0" w:color="E0E0E0"/>
              <w:bottom w:val="nil"/>
              <w:right w:val="nil"/>
            </w:tcBorders>
            <w:shd w:val="clear" w:color="auto" w:fill="FFFFFF"/>
            <w:tcMar>
              <w:top w:w="0" w:type="dxa"/>
              <w:left w:w="0" w:type="dxa"/>
              <w:bottom w:w="0" w:type="dxa"/>
              <w:right w:w="0" w:type="dxa"/>
            </w:tcMar>
            <w:vAlign w:val="bottom"/>
          </w:tcPr>
          <w:p w14:paraId="10CF6DB1" w14:textId="77777777" w:rsidR="009E4375" w:rsidRPr="00A00C11" w:rsidRDefault="00000000" w:rsidP="00103E29">
            <w:pPr>
              <w:spacing w:before="0" w:after="0" w:line="240" w:lineRule="auto"/>
              <w:ind w:left="60" w:right="60"/>
              <w:jc w:val="center"/>
              <w:rPr>
                <w:sz w:val="20"/>
                <w:szCs w:val="20"/>
              </w:rPr>
            </w:pPr>
            <w:r w:rsidRPr="00A00C11">
              <w:rPr>
                <w:sz w:val="20"/>
                <w:szCs w:val="20"/>
              </w:rPr>
              <w:t>Sig.</w:t>
            </w:r>
          </w:p>
        </w:tc>
        <w:tc>
          <w:tcPr>
            <w:tcW w:w="540" w:type="dxa"/>
            <w:vMerge w:val="restart"/>
            <w:tcBorders>
              <w:top w:val="single" w:sz="4" w:space="0" w:color="auto"/>
              <w:left w:val="single" w:sz="5" w:space="0" w:color="E0E0E0"/>
              <w:bottom w:val="nil"/>
              <w:right w:val="nil"/>
            </w:tcBorders>
            <w:shd w:val="clear" w:color="auto" w:fill="FFFFFF"/>
            <w:tcMar>
              <w:top w:w="0" w:type="dxa"/>
              <w:left w:w="0" w:type="dxa"/>
              <w:bottom w:w="0" w:type="dxa"/>
              <w:right w:w="0" w:type="dxa"/>
            </w:tcMar>
            <w:vAlign w:val="bottom"/>
          </w:tcPr>
          <w:p w14:paraId="10CF6DB2" w14:textId="77777777" w:rsidR="009E4375" w:rsidRPr="00A00C11" w:rsidRDefault="00000000" w:rsidP="00103E29">
            <w:pPr>
              <w:spacing w:before="0" w:after="0" w:line="240" w:lineRule="auto"/>
              <w:ind w:left="60" w:right="60"/>
              <w:jc w:val="center"/>
              <w:rPr>
                <w:sz w:val="20"/>
                <w:szCs w:val="20"/>
              </w:rPr>
            </w:pPr>
            <w:r w:rsidRPr="00A00C11">
              <w:rPr>
                <w:sz w:val="20"/>
                <w:szCs w:val="20"/>
              </w:rPr>
              <w:t>t</w:t>
            </w:r>
          </w:p>
        </w:tc>
        <w:tc>
          <w:tcPr>
            <w:tcW w:w="900" w:type="dxa"/>
            <w:vMerge w:val="restart"/>
            <w:tcBorders>
              <w:top w:val="single" w:sz="4" w:space="0" w:color="auto"/>
              <w:left w:val="single" w:sz="5" w:space="0" w:color="E0E0E0"/>
              <w:bottom w:val="nil"/>
              <w:right w:val="single" w:sz="5" w:space="0" w:color="E0E0E0"/>
            </w:tcBorders>
            <w:shd w:val="clear" w:color="auto" w:fill="FFFFFF"/>
            <w:tcMar>
              <w:top w:w="0" w:type="dxa"/>
              <w:left w:w="0" w:type="dxa"/>
              <w:bottom w:w="0" w:type="dxa"/>
              <w:right w:w="0" w:type="dxa"/>
            </w:tcMar>
            <w:vAlign w:val="bottom"/>
          </w:tcPr>
          <w:p w14:paraId="10CF6DB3" w14:textId="77777777" w:rsidR="009E4375" w:rsidRPr="00A00C11" w:rsidRDefault="00000000" w:rsidP="00103E29">
            <w:pPr>
              <w:spacing w:before="0" w:after="0" w:line="240" w:lineRule="auto"/>
              <w:ind w:left="60" w:right="60"/>
              <w:jc w:val="center"/>
              <w:rPr>
                <w:sz w:val="20"/>
                <w:szCs w:val="20"/>
              </w:rPr>
            </w:pPr>
            <w:proofErr w:type="spellStart"/>
            <w:r w:rsidRPr="00A00C11">
              <w:rPr>
                <w:sz w:val="20"/>
                <w:szCs w:val="20"/>
              </w:rPr>
              <w:t>df</w:t>
            </w:r>
            <w:proofErr w:type="spellEnd"/>
          </w:p>
        </w:tc>
        <w:tc>
          <w:tcPr>
            <w:tcW w:w="1440" w:type="dxa"/>
            <w:gridSpan w:val="2"/>
            <w:tcBorders>
              <w:top w:val="single" w:sz="4" w:space="0" w:color="auto"/>
              <w:left w:val="nil"/>
              <w:bottom w:val="nil"/>
              <w:right w:val="nil"/>
            </w:tcBorders>
            <w:shd w:val="clear" w:color="auto" w:fill="FFFFFF"/>
            <w:tcMar>
              <w:top w:w="0" w:type="dxa"/>
              <w:left w:w="0" w:type="dxa"/>
              <w:bottom w:w="0" w:type="dxa"/>
              <w:right w:w="0" w:type="dxa"/>
            </w:tcMar>
            <w:vAlign w:val="bottom"/>
          </w:tcPr>
          <w:p w14:paraId="10CF6DB4" w14:textId="77777777" w:rsidR="009E4375" w:rsidRPr="00A00C11" w:rsidRDefault="00000000" w:rsidP="00103E29">
            <w:pPr>
              <w:spacing w:before="0" w:after="0" w:line="240" w:lineRule="auto"/>
              <w:ind w:left="60" w:right="60"/>
              <w:jc w:val="center"/>
              <w:rPr>
                <w:sz w:val="20"/>
                <w:szCs w:val="20"/>
              </w:rPr>
            </w:pPr>
            <w:r w:rsidRPr="00A00C11">
              <w:rPr>
                <w:sz w:val="20"/>
                <w:szCs w:val="20"/>
              </w:rPr>
              <w:t>Significance</w:t>
            </w:r>
          </w:p>
        </w:tc>
        <w:tc>
          <w:tcPr>
            <w:tcW w:w="1080" w:type="dxa"/>
            <w:vMerge w:val="restart"/>
            <w:tcBorders>
              <w:top w:val="single" w:sz="4" w:space="0" w:color="auto"/>
              <w:left w:val="single" w:sz="5" w:space="0" w:color="E0E0E0"/>
              <w:bottom w:val="nil"/>
              <w:right w:val="single" w:sz="5" w:space="0" w:color="E0E0E0"/>
            </w:tcBorders>
            <w:shd w:val="clear" w:color="auto" w:fill="FFFFFF"/>
            <w:tcMar>
              <w:top w:w="0" w:type="dxa"/>
              <w:left w:w="0" w:type="dxa"/>
              <w:bottom w:w="0" w:type="dxa"/>
              <w:right w:w="0" w:type="dxa"/>
            </w:tcMar>
            <w:vAlign w:val="bottom"/>
          </w:tcPr>
          <w:p w14:paraId="10CF6DB5" w14:textId="77777777" w:rsidR="009E4375" w:rsidRPr="00A00C11" w:rsidRDefault="00000000" w:rsidP="00103E29">
            <w:pPr>
              <w:spacing w:before="0" w:after="0" w:line="240" w:lineRule="auto"/>
              <w:ind w:left="60" w:right="60"/>
              <w:jc w:val="center"/>
              <w:rPr>
                <w:sz w:val="20"/>
                <w:szCs w:val="20"/>
              </w:rPr>
            </w:pPr>
            <w:r w:rsidRPr="00A00C11">
              <w:rPr>
                <w:sz w:val="20"/>
                <w:szCs w:val="20"/>
              </w:rPr>
              <w:t>Mean Difference</w:t>
            </w:r>
          </w:p>
        </w:tc>
        <w:tc>
          <w:tcPr>
            <w:tcW w:w="1080" w:type="dxa"/>
            <w:vMerge w:val="restart"/>
            <w:tcBorders>
              <w:top w:val="single" w:sz="4" w:space="0" w:color="auto"/>
              <w:left w:val="nil"/>
              <w:bottom w:val="nil"/>
              <w:right w:val="single" w:sz="5" w:space="0" w:color="E0E0E0"/>
            </w:tcBorders>
            <w:shd w:val="clear" w:color="auto" w:fill="FFFFFF"/>
            <w:tcMar>
              <w:top w:w="0" w:type="dxa"/>
              <w:left w:w="0" w:type="dxa"/>
              <w:bottom w:w="0" w:type="dxa"/>
              <w:right w:w="0" w:type="dxa"/>
            </w:tcMar>
            <w:vAlign w:val="bottom"/>
          </w:tcPr>
          <w:p w14:paraId="10CF6DB6" w14:textId="77777777" w:rsidR="009E4375" w:rsidRPr="00A00C11" w:rsidRDefault="00000000" w:rsidP="00103E29">
            <w:pPr>
              <w:spacing w:before="0" w:after="0" w:line="240" w:lineRule="auto"/>
              <w:ind w:left="60" w:right="60"/>
              <w:jc w:val="center"/>
              <w:rPr>
                <w:sz w:val="20"/>
                <w:szCs w:val="20"/>
              </w:rPr>
            </w:pPr>
            <w:r w:rsidRPr="00A00C11">
              <w:rPr>
                <w:sz w:val="20"/>
                <w:szCs w:val="20"/>
              </w:rPr>
              <w:t>Std. Error Difference</w:t>
            </w:r>
          </w:p>
        </w:tc>
        <w:tc>
          <w:tcPr>
            <w:tcW w:w="1440" w:type="dxa"/>
            <w:gridSpan w:val="2"/>
            <w:tcBorders>
              <w:top w:val="single" w:sz="4" w:space="0" w:color="auto"/>
              <w:left w:val="nil"/>
              <w:bottom w:val="nil"/>
              <w:right w:val="nil"/>
            </w:tcBorders>
            <w:shd w:val="clear" w:color="auto" w:fill="FFFFFF"/>
            <w:tcMar>
              <w:top w:w="0" w:type="dxa"/>
              <w:left w:w="0" w:type="dxa"/>
              <w:bottom w:w="0" w:type="dxa"/>
              <w:right w:w="0" w:type="dxa"/>
            </w:tcMar>
            <w:vAlign w:val="bottom"/>
          </w:tcPr>
          <w:p w14:paraId="10CF6DB7" w14:textId="77777777" w:rsidR="009E4375" w:rsidRPr="00A00C11" w:rsidRDefault="00000000" w:rsidP="00103E29">
            <w:pPr>
              <w:spacing w:before="0" w:after="0" w:line="240" w:lineRule="auto"/>
              <w:ind w:left="60" w:right="60"/>
              <w:jc w:val="center"/>
              <w:rPr>
                <w:sz w:val="20"/>
                <w:szCs w:val="20"/>
              </w:rPr>
            </w:pPr>
            <w:r w:rsidRPr="00A00C11">
              <w:rPr>
                <w:sz w:val="20"/>
                <w:szCs w:val="20"/>
              </w:rPr>
              <w:t xml:space="preserve">95% Confidence Interval of the </w:t>
            </w:r>
            <w:r w:rsidRPr="003041C2">
              <w:rPr>
                <w:sz w:val="20"/>
                <w:szCs w:val="20"/>
              </w:rPr>
              <w:t>Difference</w:t>
            </w:r>
          </w:p>
        </w:tc>
      </w:tr>
      <w:tr w:rsidR="00F050B2" w14:paraId="10CF6DC4" w14:textId="77777777" w:rsidTr="00226C41">
        <w:trPr>
          <w:trHeight w:val="20"/>
        </w:trPr>
        <w:tc>
          <w:tcPr>
            <w:tcW w:w="1800" w:type="dxa"/>
            <w:gridSpan w:val="2"/>
            <w:vMerge/>
            <w:tcBorders>
              <w:top w:val="nil"/>
              <w:left w:val="nil"/>
              <w:bottom w:val="nil"/>
            </w:tcBorders>
            <w:tcMar>
              <w:top w:w="100" w:type="dxa"/>
              <w:left w:w="100" w:type="dxa"/>
              <w:bottom w:w="100" w:type="dxa"/>
              <w:right w:w="100" w:type="dxa"/>
            </w:tcMar>
          </w:tcPr>
          <w:p w14:paraId="10CF6DB9" w14:textId="77777777" w:rsidR="009E4375" w:rsidRPr="00A00C11" w:rsidRDefault="009E4375" w:rsidP="00103E29">
            <w:pPr>
              <w:spacing w:line="240" w:lineRule="auto"/>
              <w:rPr>
                <w:sz w:val="20"/>
                <w:szCs w:val="20"/>
              </w:rPr>
            </w:pPr>
          </w:p>
        </w:tc>
        <w:tc>
          <w:tcPr>
            <w:tcW w:w="540" w:type="dxa"/>
            <w:vMerge/>
            <w:tcBorders>
              <w:top w:val="nil"/>
              <w:left w:val="nil"/>
              <w:bottom w:val="nil"/>
              <w:right w:val="nil"/>
            </w:tcBorders>
            <w:tcMar>
              <w:top w:w="100" w:type="dxa"/>
              <w:left w:w="100" w:type="dxa"/>
              <w:bottom w:w="100" w:type="dxa"/>
              <w:right w:w="100" w:type="dxa"/>
            </w:tcMar>
          </w:tcPr>
          <w:p w14:paraId="10CF6DBA" w14:textId="77777777" w:rsidR="009E4375" w:rsidRPr="00A00C11" w:rsidRDefault="009E4375" w:rsidP="00103E29">
            <w:pPr>
              <w:spacing w:line="240" w:lineRule="auto"/>
              <w:rPr>
                <w:sz w:val="20"/>
                <w:szCs w:val="20"/>
              </w:rPr>
            </w:pPr>
          </w:p>
        </w:tc>
        <w:tc>
          <w:tcPr>
            <w:tcW w:w="540" w:type="dxa"/>
            <w:vMerge/>
            <w:tcBorders>
              <w:top w:val="nil"/>
              <w:left w:val="single" w:sz="5" w:space="0" w:color="E0E0E0"/>
              <w:bottom w:val="nil"/>
              <w:right w:val="nil"/>
            </w:tcBorders>
            <w:tcMar>
              <w:top w:w="100" w:type="dxa"/>
              <w:left w:w="100" w:type="dxa"/>
              <w:bottom w:w="100" w:type="dxa"/>
              <w:right w:w="100" w:type="dxa"/>
            </w:tcMar>
          </w:tcPr>
          <w:p w14:paraId="10CF6DBB" w14:textId="77777777" w:rsidR="009E4375" w:rsidRPr="00A00C11" w:rsidRDefault="009E4375" w:rsidP="00103E29">
            <w:pPr>
              <w:spacing w:line="240" w:lineRule="auto"/>
              <w:rPr>
                <w:sz w:val="20"/>
                <w:szCs w:val="20"/>
              </w:rPr>
            </w:pPr>
          </w:p>
        </w:tc>
        <w:tc>
          <w:tcPr>
            <w:tcW w:w="540" w:type="dxa"/>
            <w:vMerge/>
            <w:tcBorders>
              <w:top w:val="nil"/>
              <w:left w:val="single" w:sz="5" w:space="0" w:color="E0E0E0"/>
              <w:bottom w:val="nil"/>
              <w:right w:val="nil"/>
            </w:tcBorders>
            <w:tcMar>
              <w:top w:w="100" w:type="dxa"/>
              <w:left w:w="100" w:type="dxa"/>
              <w:bottom w:w="100" w:type="dxa"/>
              <w:right w:w="100" w:type="dxa"/>
            </w:tcMar>
          </w:tcPr>
          <w:p w14:paraId="10CF6DBC" w14:textId="77777777" w:rsidR="009E4375" w:rsidRPr="00A00C11" w:rsidRDefault="009E4375" w:rsidP="00103E29">
            <w:pPr>
              <w:spacing w:line="240" w:lineRule="auto"/>
              <w:rPr>
                <w:sz w:val="20"/>
                <w:szCs w:val="20"/>
              </w:rPr>
            </w:pPr>
          </w:p>
        </w:tc>
        <w:tc>
          <w:tcPr>
            <w:tcW w:w="900" w:type="dxa"/>
            <w:vMerge/>
            <w:tcBorders>
              <w:top w:val="nil"/>
              <w:left w:val="single" w:sz="5" w:space="0" w:color="E0E0E0"/>
              <w:bottom w:val="nil"/>
              <w:right w:val="single" w:sz="5" w:space="0" w:color="E0E0E0"/>
            </w:tcBorders>
            <w:tcMar>
              <w:top w:w="100" w:type="dxa"/>
              <w:left w:w="100" w:type="dxa"/>
              <w:bottom w:w="100" w:type="dxa"/>
              <w:right w:w="100" w:type="dxa"/>
            </w:tcMar>
          </w:tcPr>
          <w:p w14:paraId="10CF6DBD" w14:textId="77777777" w:rsidR="009E4375" w:rsidRPr="00A00C11" w:rsidRDefault="009E4375" w:rsidP="00103E29">
            <w:pPr>
              <w:spacing w:line="240" w:lineRule="auto"/>
              <w:rPr>
                <w:sz w:val="20"/>
                <w:szCs w:val="20"/>
              </w:rPr>
            </w:pPr>
          </w:p>
        </w:tc>
        <w:tc>
          <w:tcPr>
            <w:tcW w:w="72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BE" w14:textId="77777777" w:rsidR="009E4375" w:rsidRPr="00A00C11" w:rsidRDefault="00000000" w:rsidP="00103E29">
            <w:pPr>
              <w:spacing w:before="0" w:after="0" w:line="240" w:lineRule="auto"/>
              <w:ind w:left="60" w:right="60"/>
              <w:jc w:val="center"/>
              <w:rPr>
                <w:sz w:val="20"/>
                <w:szCs w:val="20"/>
              </w:rPr>
            </w:pPr>
            <w:r w:rsidRPr="00A00C11">
              <w:rPr>
                <w:sz w:val="20"/>
                <w:szCs w:val="20"/>
              </w:rPr>
              <w:t>One-Sided p</w:t>
            </w:r>
          </w:p>
        </w:tc>
        <w:tc>
          <w:tcPr>
            <w:tcW w:w="720" w:type="dxa"/>
            <w:tcBorders>
              <w:top w:val="nil"/>
              <w:left w:val="single" w:sz="5" w:space="0" w:color="E0E0E0"/>
              <w:bottom w:val="single" w:sz="5" w:space="0" w:color="152935"/>
              <w:right w:val="single" w:sz="5" w:space="0" w:color="E0E0E0"/>
            </w:tcBorders>
            <w:shd w:val="clear" w:color="auto" w:fill="FFFFFF"/>
            <w:tcMar>
              <w:top w:w="0" w:type="dxa"/>
              <w:left w:w="0" w:type="dxa"/>
              <w:bottom w:w="0" w:type="dxa"/>
              <w:right w:w="0" w:type="dxa"/>
            </w:tcMar>
            <w:vAlign w:val="bottom"/>
          </w:tcPr>
          <w:p w14:paraId="10CF6DBF" w14:textId="77777777" w:rsidR="009E4375" w:rsidRPr="00A00C11" w:rsidRDefault="00000000" w:rsidP="00103E29">
            <w:pPr>
              <w:spacing w:before="0" w:after="0" w:line="240" w:lineRule="auto"/>
              <w:ind w:left="60" w:right="60"/>
              <w:jc w:val="center"/>
              <w:rPr>
                <w:sz w:val="20"/>
                <w:szCs w:val="20"/>
              </w:rPr>
            </w:pPr>
            <w:r w:rsidRPr="00A00C11">
              <w:rPr>
                <w:sz w:val="20"/>
                <w:szCs w:val="20"/>
              </w:rPr>
              <w:t>Two-Sided p</w:t>
            </w:r>
          </w:p>
        </w:tc>
        <w:tc>
          <w:tcPr>
            <w:tcW w:w="1080" w:type="dxa"/>
            <w:vMerge/>
            <w:tcBorders>
              <w:top w:val="nil"/>
              <w:left w:val="single" w:sz="5" w:space="0" w:color="E0E0E0"/>
              <w:bottom w:val="nil"/>
              <w:right w:val="single" w:sz="5" w:space="0" w:color="E0E0E0"/>
            </w:tcBorders>
            <w:tcMar>
              <w:top w:w="100" w:type="dxa"/>
              <w:left w:w="100" w:type="dxa"/>
              <w:bottom w:w="100" w:type="dxa"/>
              <w:right w:w="100" w:type="dxa"/>
            </w:tcMar>
          </w:tcPr>
          <w:p w14:paraId="10CF6DC0" w14:textId="77777777" w:rsidR="009E4375" w:rsidRPr="00A00C11" w:rsidRDefault="009E4375" w:rsidP="00103E29">
            <w:pPr>
              <w:spacing w:line="240" w:lineRule="auto"/>
              <w:rPr>
                <w:sz w:val="20"/>
                <w:szCs w:val="20"/>
              </w:rPr>
            </w:pPr>
          </w:p>
        </w:tc>
        <w:tc>
          <w:tcPr>
            <w:tcW w:w="1080" w:type="dxa"/>
            <w:vMerge/>
            <w:tcBorders>
              <w:top w:val="nil"/>
              <w:left w:val="nil"/>
              <w:bottom w:val="nil"/>
              <w:right w:val="single" w:sz="5" w:space="0" w:color="E0E0E0"/>
            </w:tcBorders>
            <w:tcMar>
              <w:top w:w="100" w:type="dxa"/>
              <w:left w:w="100" w:type="dxa"/>
              <w:bottom w:w="100" w:type="dxa"/>
              <w:right w:w="100" w:type="dxa"/>
            </w:tcMar>
          </w:tcPr>
          <w:p w14:paraId="10CF6DC1" w14:textId="77777777" w:rsidR="009E4375" w:rsidRPr="00A00C11" w:rsidRDefault="009E4375" w:rsidP="00103E29">
            <w:pPr>
              <w:spacing w:line="240" w:lineRule="auto"/>
              <w:rPr>
                <w:sz w:val="20"/>
                <w:szCs w:val="20"/>
              </w:rPr>
            </w:pPr>
          </w:p>
        </w:tc>
        <w:tc>
          <w:tcPr>
            <w:tcW w:w="72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DC2" w14:textId="77777777" w:rsidR="009E4375" w:rsidRPr="00A00C11" w:rsidRDefault="00000000" w:rsidP="00103E29">
            <w:pPr>
              <w:spacing w:before="0" w:after="0" w:line="240" w:lineRule="auto"/>
              <w:ind w:left="60" w:right="60"/>
              <w:jc w:val="center"/>
              <w:rPr>
                <w:sz w:val="20"/>
                <w:szCs w:val="20"/>
              </w:rPr>
            </w:pPr>
            <w:r w:rsidRPr="00A00C11">
              <w:rPr>
                <w:sz w:val="20"/>
                <w:szCs w:val="20"/>
              </w:rPr>
              <w:t>Lower</w:t>
            </w:r>
          </w:p>
        </w:tc>
        <w:tc>
          <w:tcPr>
            <w:tcW w:w="72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C3" w14:textId="77777777" w:rsidR="009E4375" w:rsidRPr="00A00C11" w:rsidRDefault="00000000" w:rsidP="00103E29">
            <w:pPr>
              <w:spacing w:before="0" w:after="0" w:line="240" w:lineRule="auto"/>
              <w:ind w:left="60" w:right="60"/>
              <w:jc w:val="center"/>
              <w:rPr>
                <w:sz w:val="20"/>
                <w:szCs w:val="20"/>
              </w:rPr>
            </w:pPr>
            <w:r w:rsidRPr="00A00C11">
              <w:rPr>
                <w:sz w:val="20"/>
                <w:szCs w:val="20"/>
              </w:rPr>
              <w:t>Upper</w:t>
            </w:r>
          </w:p>
        </w:tc>
      </w:tr>
      <w:tr w:rsidR="00F050B2" w14:paraId="10CF6DD1" w14:textId="77777777" w:rsidTr="00226C41">
        <w:trPr>
          <w:trHeight w:val="501"/>
        </w:trPr>
        <w:tc>
          <w:tcPr>
            <w:tcW w:w="810" w:type="dxa"/>
            <w:vMerge w:val="restart"/>
            <w:tcBorders>
              <w:top w:val="single" w:sz="5" w:space="0" w:color="152935"/>
              <w:left w:val="nil"/>
              <w:bottom w:val="single" w:sz="5" w:space="0" w:color="152935"/>
              <w:right w:val="nil"/>
            </w:tcBorders>
            <w:shd w:val="clear" w:color="auto" w:fill="E0E0E0"/>
            <w:tcMar>
              <w:top w:w="0" w:type="dxa"/>
              <w:left w:w="0" w:type="dxa"/>
              <w:bottom w:w="0" w:type="dxa"/>
              <w:right w:w="0" w:type="dxa"/>
            </w:tcMar>
          </w:tcPr>
          <w:p w14:paraId="10CF6DC5" w14:textId="77777777" w:rsidR="009E4375" w:rsidRPr="00A00C11" w:rsidRDefault="00000000" w:rsidP="00103E29">
            <w:pPr>
              <w:spacing w:before="0" w:after="0" w:line="240" w:lineRule="auto"/>
              <w:ind w:left="60" w:right="60"/>
              <w:rPr>
                <w:sz w:val="20"/>
                <w:szCs w:val="20"/>
              </w:rPr>
            </w:pPr>
            <w:r w:rsidRPr="00A00C11">
              <w:rPr>
                <w:sz w:val="20"/>
                <w:szCs w:val="20"/>
              </w:rPr>
              <w:t>Overall QOL</w:t>
            </w:r>
          </w:p>
        </w:tc>
        <w:tc>
          <w:tcPr>
            <w:tcW w:w="990" w:type="dxa"/>
            <w:tcBorders>
              <w:top w:val="single" w:sz="5" w:space="0" w:color="152935"/>
              <w:left w:val="nil"/>
              <w:bottom w:val="single" w:sz="5" w:space="0" w:color="AEAEAE"/>
              <w:right w:val="nil"/>
            </w:tcBorders>
            <w:shd w:val="clear" w:color="auto" w:fill="E0E0E0"/>
            <w:tcMar>
              <w:top w:w="0" w:type="dxa"/>
              <w:left w:w="0" w:type="dxa"/>
              <w:bottom w:w="0" w:type="dxa"/>
              <w:right w:w="0" w:type="dxa"/>
            </w:tcMar>
          </w:tcPr>
          <w:p w14:paraId="10CF6DC6" w14:textId="77777777" w:rsidR="009E4375" w:rsidRPr="00A00C11" w:rsidRDefault="00000000" w:rsidP="00103E29">
            <w:pPr>
              <w:spacing w:before="0" w:after="0" w:line="240" w:lineRule="auto"/>
              <w:ind w:left="60" w:right="60"/>
              <w:rPr>
                <w:sz w:val="20"/>
                <w:szCs w:val="20"/>
              </w:rPr>
            </w:pPr>
            <w:r w:rsidRPr="00A00C11">
              <w:rPr>
                <w:sz w:val="20"/>
                <w:szCs w:val="20"/>
              </w:rPr>
              <w:t>Equal variances assumed</w:t>
            </w:r>
          </w:p>
        </w:tc>
        <w:tc>
          <w:tcPr>
            <w:tcW w:w="540" w:type="dxa"/>
            <w:tcBorders>
              <w:top w:val="single" w:sz="5" w:space="0" w:color="152935"/>
              <w:left w:val="nil"/>
              <w:bottom w:val="single" w:sz="5" w:space="0" w:color="AEAEAE"/>
              <w:right w:val="nil"/>
            </w:tcBorders>
            <w:shd w:val="clear" w:color="auto" w:fill="F9F9FB"/>
            <w:tcMar>
              <w:top w:w="0" w:type="dxa"/>
              <w:left w:w="0" w:type="dxa"/>
              <w:bottom w:w="0" w:type="dxa"/>
              <w:right w:w="0" w:type="dxa"/>
            </w:tcMar>
            <w:vAlign w:val="center"/>
          </w:tcPr>
          <w:p w14:paraId="10CF6DC7" w14:textId="77777777" w:rsidR="009E4375" w:rsidRPr="00A00C11" w:rsidRDefault="00000000" w:rsidP="00103E29">
            <w:pPr>
              <w:spacing w:before="0" w:after="0" w:line="240" w:lineRule="auto"/>
              <w:ind w:left="60" w:right="60"/>
              <w:jc w:val="right"/>
              <w:rPr>
                <w:sz w:val="20"/>
                <w:szCs w:val="20"/>
              </w:rPr>
            </w:pPr>
            <w:r w:rsidRPr="00A00C11">
              <w:rPr>
                <w:sz w:val="20"/>
                <w:szCs w:val="20"/>
              </w:rPr>
              <w:t>.293</w:t>
            </w:r>
          </w:p>
        </w:tc>
        <w:tc>
          <w:tcPr>
            <w:tcW w:w="540" w:type="dxa"/>
            <w:tcBorders>
              <w:top w:val="single" w:sz="5" w:space="0" w:color="152935"/>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DC8" w14:textId="77777777" w:rsidR="009E4375" w:rsidRPr="00A00C11" w:rsidRDefault="00000000" w:rsidP="00103E29">
            <w:pPr>
              <w:spacing w:before="0" w:after="0" w:line="240" w:lineRule="auto"/>
              <w:ind w:left="60" w:right="60"/>
              <w:jc w:val="right"/>
              <w:rPr>
                <w:sz w:val="20"/>
                <w:szCs w:val="20"/>
              </w:rPr>
            </w:pPr>
            <w:r w:rsidRPr="00A00C11">
              <w:rPr>
                <w:sz w:val="20"/>
                <w:szCs w:val="20"/>
              </w:rPr>
              <w:t>.589</w:t>
            </w:r>
          </w:p>
        </w:tc>
        <w:tc>
          <w:tcPr>
            <w:tcW w:w="540" w:type="dxa"/>
            <w:tcBorders>
              <w:top w:val="single" w:sz="5" w:space="0" w:color="152935"/>
              <w:left w:val="single" w:sz="5" w:space="0" w:color="E0E0E0"/>
              <w:bottom w:val="single" w:sz="5" w:space="0" w:color="AEAEAE"/>
              <w:right w:val="nil"/>
            </w:tcBorders>
            <w:shd w:val="clear" w:color="auto" w:fill="F9F9FB"/>
            <w:tcMar>
              <w:top w:w="0" w:type="dxa"/>
              <w:left w:w="0" w:type="dxa"/>
              <w:bottom w:w="0" w:type="dxa"/>
              <w:right w:w="0" w:type="dxa"/>
            </w:tcMar>
            <w:vAlign w:val="center"/>
          </w:tcPr>
          <w:p w14:paraId="10CF6DC9" w14:textId="77777777" w:rsidR="009E4375" w:rsidRPr="00A00C11" w:rsidRDefault="00000000" w:rsidP="00103E29">
            <w:pPr>
              <w:spacing w:before="0" w:after="0" w:line="240" w:lineRule="auto"/>
              <w:ind w:left="60" w:right="60"/>
              <w:jc w:val="right"/>
              <w:rPr>
                <w:sz w:val="20"/>
                <w:szCs w:val="20"/>
              </w:rPr>
            </w:pPr>
            <w:r w:rsidRPr="00A00C11">
              <w:rPr>
                <w:sz w:val="20"/>
                <w:szCs w:val="20"/>
              </w:rPr>
              <w:t>.894</w:t>
            </w:r>
          </w:p>
        </w:tc>
        <w:tc>
          <w:tcPr>
            <w:tcW w:w="900" w:type="dxa"/>
            <w:tcBorders>
              <w:top w:val="single" w:sz="5" w:space="0" w:color="152935"/>
              <w:left w:val="single" w:sz="5" w:space="0" w:color="E0E0E0"/>
              <w:bottom w:val="single" w:sz="5" w:space="0" w:color="AEAEAE"/>
              <w:right w:val="single" w:sz="5" w:space="0" w:color="E0E0E0"/>
            </w:tcBorders>
            <w:shd w:val="clear" w:color="auto" w:fill="F9F9FB"/>
            <w:tcMar>
              <w:top w:w="0" w:type="dxa"/>
              <w:left w:w="0" w:type="dxa"/>
              <w:bottom w:w="0" w:type="dxa"/>
              <w:right w:w="0" w:type="dxa"/>
            </w:tcMar>
            <w:vAlign w:val="center"/>
          </w:tcPr>
          <w:p w14:paraId="10CF6DCA" w14:textId="77777777" w:rsidR="009E4375" w:rsidRPr="00A00C11" w:rsidRDefault="00000000" w:rsidP="00103E29">
            <w:pPr>
              <w:spacing w:before="0" w:after="0" w:line="240" w:lineRule="auto"/>
              <w:ind w:left="60" w:right="60"/>
              <w:jc w:val="right"/>
              <w:rPr>
                <w:sz w:val="20"/>
                <w:szCs w:val="20"/>
              </w:rPr>
            </w:pPr>
            <w:r w:rsidRPr="00A00C11">
              <w:rPr>
                <w:sz w:val="20"/>
                <w:szCs w:val="20"/>
              </w:rPr>
              <w:t>179</w:t>
            </w:r>
          </w:p>
        </w:tc>
        <w:tc>
          <w:tcPr>
            <w:tcW w:w="720" w:type="dxa"/>
            <w:tcBorders>
              <w:top w:val="nil"/>
              <w:left w:val="nil"/>
              <w:bottom w:val="single" w:sz="5" w:space="0" w:color="AEAEAE"/>
              <w:right w:val="nil"/>
            </w:tcBorders>
            <w:shd w:val="clear" w:color="auto" w:fill="F9F9FB"/>
            <w:tcMar>
              <w:top w:w="0" w:type="dxa"/>
              <w:left w:w="0" w:type="dxa"/>
              <w:bottom w:w="0" w:type="dxa"/>
              <w:right w:w="0" w:type="dxa"/>
            </w:tcMar>
            <w:vAlign w:val="center"/>
          </w:tcPr>
          <w:p w14:paraId="10CF6DCB" w14:textId="77777777" w:rsidR="009E4375" w:rsidRPr="00A00C11" w:rsidRDefault="00000000" w:rsidP="00103E29">
            <w:pPr>
              <w:spacing w:before="0" w:after="0" w:line="240" w:lineRule="auto"/>
              <w:ind w:left="60" w:right="60"/>
              <w:jc w:val="right"/>
              <w:rPr>
                <w:sz w:val="20"/>
                <w:szCs w:val="20"/>
              </w:rPr>
            </w:pPr>
            <w:r w:rsidRPr="00A00C11">
              <w:rPr>
                <w:sz w:val="20"/>
                <w:szCs w:val="20"/>
              </w:rPr>
              <w:t>.186</w:t>
            </w:r>
          </w:p>
        </w:tc>
        <w:tc>
          <w:tcPr>
            <w:tcW w:w="720" w:type="dxa"/>
            <w:tcBorders>
              <w:top w:val="nil"/>
              <w:left w:val="single" w:sz="5" w:space="0" w:color="E0E0E0"/>
              <w:bottom w:val="single" w:sz="5" w:space="0" w:color="AEAEAE"/>
              <w:right w:val="single" w:sz="5" w:space="0" w:color="E0E0E0"/>
            </w:tcBorders>
            <w:tcMar>
              <w:top w:w="0" w:type="dxa"/>
              <w:left w:w="0" w:type="dxa"/>
              <w:bottom w:w="0" w:type="dxa"/>
              <w:right w:w="0" w:type="dxa"/>
            </w:tcMar>
            <w:vAlign w:val="center"/>
          </w:tcPr>
          <w:p w14:paraId="10CF6DCC" w14:textId="77777777" w:rsidR="009E4375" w:rsidRPr="00A00C11" w:rsidRDefault="00000000" w:rsidP="00103E29">
            <w:pPr>
              <w:spacing w:before="0" w:after="0" w:line="240" w:lineRule="auto"/>
              <w:ind w:left="60" w:right="60"/>
              <w:jc w:val="right"/>
              <w:rPr>
                <w:sz w:val="20"/>
                <w:szCs w:val="20"/>
              </w:rPr>
            </w:pPr>
            <w:r w:rsidRPr="00A00C11">
              <w:rPr>
                <w:sz w:val="20"/>
                <w:szCs w:val="20"/>
              </w:rPr>
              <w:t>.372</w:t>
            </w:r>
          </w:p>
        </w:tc>
        <w:tc>
          <w:tcPr>
            <w:tcW w:w="1080" w:type="dxa"/>
            <w:tcBorders>
              <w:top w:val="single" w:sz="5" w:space="0" w:color="152935"/>
              <w:left w:val="nil"/>
              <w:bottom w:val="single" w:sz="5" w:space="0" w:color="AEAEAE"/>
              <w:right w:val="single" w:sz="5" w:space="0" w:color="E0E0E0"/>
            </w:tcBorders>
            <w:shd w:val="clear" w:color="auto" w:fill="F9F9FB"/>
            <w:tcMar>
              <w:top w:w="0" w:type="dxa"/>
              <w:left w:w="0" w:type="dxa"/>
              <w:bottom w:w="0" w:type="dxa"/>
              <w:right w:w="0" w:type="dxa"/>
            </w:tcMar>
            <w:vAlign w:val="center"/>
          </w:tcPr>
          <w:p w14:paraId="10CF6DCD" w14:textId="170EE08D" w:rsidR="009E4375" w:rsidRPr="00A00C11" w:rsidRDefault="00000000" w:rsidP="00103E29">
            <w:pPr>
              <w:spacing w:before="0" w:after="0" w:line="240" w:lineRule="auto"/>
              <w:ind w:left="60" w:right="60"/>
              <w:jc w:val="right"/>
              <w:rPr>
                <w:sz w:val="20"/>
                <w:szCs w:val="20"/>
              </w:rPr>
            </w:pPr>
            <w:r w:rsidRPr="00A00C11">
              <w:rPr>
                <w:sz w:val="20"/>
                <w:szCs w:val="20"/>
              </w:rPr>
              <w:t>1.73</w:t>
            </w:r>
            <w:r w:rsidR="000C4BA3">
              <w:rPr>
                <w:sz w:val="20"/>
                <w:szCs w:val="20"/>
              </w:rPr>
              <w:t>1</w:t>
            </w:r>
          </w:p>
        </w:tc>
        <w:tc>
          <w:tcPr>
            <w:tcW w:w="1080" w:type="dxa"/>
            <w:tcBorders>
              <w:top w:val="single" w:sz="5" w:space="0" w:color="152935"/>
              <w:left w:val="nil"/>
              <w:bottom w:val="single" w:sz="5" w:space="0" w:color="AEAEAE"/>
              <w:right w:val="single" w:sz="5" w:space="0" w:color="E0E0E0"/>
            </w:tcBorders>
            <w:shd w:val="clear" w:color="auto" w:fill="F9F9FB"/>
            <w:tcMar>
              <w:top w:w="0" w:type="dxa"/>
              <w:left w:w="0" w:type="dxa"/>
              <w:bottom w:w="0" w:type="dxa"/>
              <w:right w:w="0" w:type="dxa"/>
            </w:tcMar>
            <w:vAlign w:val="center"/>
          </w:tcPr>
          <w:p w14:paraId="10CF6DCE" w14:textId="361F18D9" w:rsidR="009E4375" w:rsidRPr="00A00C11" w:rsidRDefault="00000000" w:rsidP="00103E29">
            <w:pPr>
              <w:spacing w:before="0" w:after="0" w:line="240" w:lineRule="auto"/>
              <w:ind w:left="60" w:right="60"/>
              <w:jc w:val="right"/>
              <w:rPr>
                <w:sz w:val="20"/>
                <w:szCs w:val="20"/>
              </w:rPr>
            </w:pPr>
            <w:r w:rsidRPr="00A00C11">
              <w:rPr>
                <w:sz w:val="20"/>
                <w:szCs w:val="20"/>
              </w:rPr>
              <w:t>1.935</w:t>
            </w:r>
          </w:p>
        </w:tc>
        <w:tc>
          <w:tcPr>
            <w:tcW w:w="72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vAlign w:val="center"/>
          </w:tcPr>
          <w:p w14:paraId="10CF6DCF" w14:textId="72DCAAA3" w:rsidR="009E4375" w:rsidRPr="00A00C11" w:rsidRDefault="00000000" w:rsidP="00103E29">
            <w:pPr>
              <w:spacing w:before="0" w:after="0" w:line="240" w:lineRule="auto"/>
              <w:ind w:left="60" w:right="60"/>
              <w:jc w:val="right"/>
              <w:rPr>
                <w:sz w:val="20"/>
                <w:szCs w:val="20"/>
              </w:rPr>
            </w:pPr>
            <w:r w:rsidRPr="00A00C11">
              <w:rPr>
                <w:sz w:val="20"/>
                <w:szCs w:val="20"/>
              </w:rPr>
              <w:t>-2.08</w:t>
            </w:r>
            <w:r w:rsidR="000C4BA3">
              <w:rPr>
                <w:sz w:val="20"/>
                <w:szCs w:val="20"/>
              </w:rPr>
              <w:t>9</w:t>
            </w:r>
          </w:p>
        </w:tc>
        <w:tc>
          <w:tcPr>
            <w:tcW w:w="720" w:type="dxa"/>
            <w:tcBorders>
              <w:top w:val="nil"/>
              <w:left w:val="nil"/>
              <w:bottom w:val="single" w:sz="5" w:space="0" w:color="AEAEAE"/>
              <w:right w:val="nil"/>
            </w:tcBorders>
            <w:shd w:val="clear" w:color="auto" w:fill="F9F9FB"/>
            <w:tcMar>
              <w:top w:w="0" w:type="dxa"/>
              <w:left w:w="0" w:type="dxa"/>
              <w:bottom w:w="0" w:type="dxa"/>
              <w:right w:w="0" w:type="dxa"/>
            </w:tcMar>
            <w:vAlign w:val="center"/>
          </w:tcPr>
          <w:p w14:paraId="10CF6DD0" w14:textId="7674DC00" w:rsidR="009E4375" w:rsidRPr="00A00C11" w:rsidRDefault="00000000" w:rsidP="00103E29">
            <w:pPr>
              <w:spacing w:before="0" w:after="0" w:line="240" w:lineRule="auto"/>
              <w:ind w:left="60" w:right="60"/>
              <w:jc w:val="right"/>
              <w:rPr>
                <w:sz w:val="20"/>
                <w:szCs w:val="20"/>
              </w:rPr>
            </w:pPr>
            <w:r w:rsidRPr="00A00C11">
              <w:rPr>
                <w:sz w:val="20"/>
                <w:szCs w:val="20"/>
              </w:rPr>
              <w:t>5.5</w:t>
            </w:r>
            <w:r w:rsidR="00F050B2">
              <w:rPr>
                <w:sz w:val="20"/>
                <w:szCs w:val="20"/>
              </w:rPr>
              <w:t>50</w:t>
            </w:r>
          </w:p>
        </w:tc>
      </w:tr>
      <w:tr w:rsidR="00F050B2" w14:paraId="10CF6DDE" w14:textId="77777777" w:rsidTr="00226C41">
        <w:trPr>
          <w:trHeight w:val="590"/>
        </w:trPr>
        <w:tc>
          <w:tcPr>
            <w:tcW w:w="810" w:type="dxa"/>
            <w:vMerge/>
            <w:tcBorders>
              <w:top w:val="single" w:sz="5" w:space="0" w:color="152935"/>
              <w:left w:val="nil"/>
              <w:bottom w:val="single" w:sz="5" w:space="0" w:color="152935"/>
              <w:right w:val="nil"/>
            </w:tcBorders>
            <w:tcMar>
              <w:top w:w="100" w:type="dxa"/>
              <w:left w:w="100" w:type="dxa"/>
              <w:bottom w:w="100" w:type="dxa"/>
              <w:right w:w="100" w:type="dxa"/>
            </w:tcMar>
          </w:tcPr>
          <w:p w14:paraId="10CF6DD2" w14:textId="77777777" w:rsidR="009E4375" w:rsidRPr="00A00C11" w:rsidRDefault="009E4375" w:rsidP="00103E29">
            <w:pPr>
              <w:spacing w:line="240" w:lineRule="auto"/>
              <w:rPr>
                <w:sz w:val="20"/>
                <w:szCs w:val="20"/>
              </w:rPr>
            </w:pPr>
          </w:p>
        </w:tc>
        <w:tc>
          <w:tcPr>
            <w:tcW w:w="990" w:type="dxa"/>
            <w:tcBorders>
              <w:top w:val="nil"/>
              <w:left w:val="nil"/>
              <w:bottom w:val="single" w:sz="5" w:space="0" w:color="152935"/>
              <w:right w:val="nil"/>
            </w:tcBorders>
            <w:shd w:val="clear" w:color="auto" w:fill="E0E0E0"/>
            <w:tcMar>
              <w:top w:w="0" w:type="dxa"/>
              <w:left w:w="0" w:type="dxa"/>
              <w:bottom w:w="0" w:type="dxa"/>
              <w:right w:w="0" w:type="dxa"/>
            </w:tcMar>
          </w:tcPr>
          <w:p w14:paraId="10CF6DD3" w14:textId="77777777" w:rsidR="009E4375" w:rsidRPr="00A00C11" w:rsidRDefault="00000000" w:rsidP="00103E29">
            <w:pPr>
              <w:spacing w:before="0" w:after="0" w:line="240" w:lineRule="auto"/>
              <w:ind w:left="60" w:right="60"/>
              <w:rPr>
                <w:sz w:val="20"/>
                <w:szCs w:val="20"/>
              </w:rPr>
            </w:pPr>
            <w:r w:rsidRPr="00A00C11">
              <w:rPr>
                <w:sz w:val="20"/>
                <w:szCs w:val="20"/>
              </w:rPr>
              <w:t>Equal variances not assumed</w:t>
            </w:r>
          </w:p>
        </w:tc>
        <w:tc>
          <w:tcPr>
            <w:tcW w:w="54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10CF6DD4" w14:textId="77777777" w:rsidR="009E4375" w:rsidRPr="00A00C11" w:rsidRDefault="00000000" w:rsidP="00103E29">
            <w:pPr>
              <w:spacing w:line="240" w:lineRule="auto"/>
              <w:rPr>
                <w:sz w:val="20"/>
                <w:szCs w:val="20"/>
              </w:rPr>
            </w:pPr>
            <w:r w:rsidRPr="00A00C11">
              <w:rPr>
                <w:sz w:val="20"/>
                <w:szCs w:val="20"/>
              </w:rPr>
              <w:t xml:space="preserve"> </w:t>
            </w:r>
          </w:p>
        </w:tc>
        <w:tc>
          <w:tcPr>
            <w:tcW w:w="54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vAlign w:val="center"/>
          </w:tcPr>
          <w:p w14:paraId="10CF6DD5" w14:textId="77777777" w:rsidR="009E4375" w:rsidRPr="00A00C11" w:rsidRDefault="00000000" w:rsidP="00103E29">
            <w:pPr>
              <w:spacing w:line="240" w:lineRule="auto"/>
              <w:rPr>
                <w:sz w:val="20"/>
                <w:szCs w:val="20"/>
              </w:rPr>
            </w:pPr>
            <w:r w:rsidRPr="00A00C11">
              <w:rPr>
                <w:sz w:val="20"/>
                <w:szCs w:val="20"/>
              </w:rPr>
              <w:t xml:space="preserve"> </w:t>
            </w:r>
          </w:p>
        </w:tc>
        <w:tc>
          <w:tcPr>
            <w:tcW w:w="54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vAlign w:val="center"/>
          </w:tcPr>
          <w:p w14:paraId="10CF6DD6" w14:textId="77777777" w:rsidR="009E4375" w:rsidRPr="00A00C11" w:rsidRDefault="00000000" w:rsidP="00103E29">
            <w:pPr>
              <w:spacing w:before="0" w:after="0" w:line="240" w:lineRule="auto"/>
              <w:ind w:left="60" w:right="60"/>
              <w:jc w:val="right"/>
              <w:rPr>
                <w:sz w:val="20"/>
                <w:szCs w:val="20"/>
              </w:rPr>
            </w:pPr>
            <w:r w:rsidRPr="00A00C11">
              <w:rPr>
                <w:sz w:val="20"/>
                <w:szCs w:val="20"/>
              </w:rPr>
              <w:t>.908</w:t>
            </w:r>
          </w:p>
        </w:tc>
        <w:tc>
          <w:tcPr>
            <w:tcW w:w="900" w:type="dxa"/>
            <w:tcBorders>
              <w:top w:val="nil"/>
              <w:left w:val="single" w:sz="5" w:space="0" w:color="E0E0E0"/>
              <w:bottom w:val="single" w:sz="5" w:space="0" w:color="152935"/>
              <w:right w:val="single" w:sz="5" w:space="0" w:color="E0E0E0"/>
            </w:tcBorders>
            <w:shd w:val="clear" w:color="auto" w:fill="F9F9FB"/>
            <w:tcMar>
              <w:top w:w="0" w:type="dxa"/>
              <w:left w:w="0" w:type="dxa"/>
              <w:bottom w:w="0" w:type="dxa"/>
              <w:right w:w="0" w:type="dxa"/>
            </w:tcMar>
            <w:vAlign w:val="center"/>
          </w:tcPr>
          <w:p w14:paraId="10CF6DD7" w14:textId="77777777" w:rsidR="009E4375" w:rsidRPr="00A00C11" w:rsidRDefault="00000000" w:rsidP="00103E29">
            <w:pPr>
              <w:spacing w:before="0" w:after="0" w:line="240" w:lineRule="auto"/>
              <w:ind w:left="60" w:right="60"/>
              <w:jc w:val="right"/>
              <w:rPr>
                <w:sz w:val="20"/>
                <w:szCs w:val="20"/>
              </w:rPr>
            </w:pPr>
            <w:r w:rsidRPr="00A00C11">
              <w:rPr>
                <w:sz w:val="20"/>
                <w:szCs w:val="20"/>
              </w:rPr>
              <w:t>138.772</w:t>
            </w:r>
          </w:p>
        </w:tc>
        <w:tc>
          <w:tcPr>
            <w:tcW w:w="72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10CF6DD8" w14:textId="77777777" w:rsidR="009E4375" w:rsidRPr="00A00C11" w:rsidRDefault="00000000" w:rsidP="00103E29">
            <w:pPr>
              <w:spacing w:before="0" w:after="0" w:line="240" w:lineRule="auto"/>
              <w:ind w:left="60" w:right="60"/>
              <w:jc w:val="right"/>
              <w:rPr>
                <w:sz w:val="20"/>
                <w:szCs w:val="20"/>
              </w:rPr>
            </w:pPr>
            <w:r w:rsidRPr="00A00C11">
              <w:rPr>
                <w:sz w:val="20"/>
                <w:szCs w:val="20"/>
              </w:rPr>
              <w:t>.183</w:t>
            </w:r>
          </w:p>
        </w:tc>
        <w:tc>
          <w:tcPr>
            <w:tcW w:w="720" w:type="dxa"/>
            <w:tcBorders>
              <w:top w:val="nil"/>
              <w:left w:val="single" w:sz="5" w:space="0" w:color="E0E0E0"/>
              <w:bottom w:val="single" w:sz="5" w:space="0" w:color="152935"/>
              <w:right w:val="single" w:sz="5" w:space="0" w:color="E0E0E0"/>
            </w:tcBorders>
            <w:shd w:val="clear" w:color="auto" w:fill="F9F9FB"/>
            <w:tcMar>
              <w:top w:w="0" w:type="dxa"/>
              <w:left w:w="0" w:type="dxa"/>
              <w:bottom w:w="0" w:type="dxa"/>
              <w:right w:w="0" w:type="dxa"/>
            </w:tcMar>
            <w:vAlign w:val="center"/>
          </w:tcPr>
          <w:p w14:paraId="10CF6DD9" w14:textId="77777777" w:rsidR="009E4375" w:rsidRPr="00A00C11" w:rsidRDefault="00000000" w:rsidP="00103E29">
            <w:pPr>
              <w:spacing w:before="0" w:after="0" w:line="240" w:lineRule="auto"/>
              <w:ind w:left="60" w:right="60"/>
              <w:jc w:val="right"/>
              <w:rPr>
                <w:sz w:val="20"/>
                <w:szCs w:val="20"/>
              </w:rPr>
            </w:pPr>
            <w:r w:rsidRPr="00A00C11">
              <w:rPr>
                <w:sz w:val="20"/>
                <w:szCs w:val="20"/>
              </w:rPr>
              <w:t>.365</w:t>
            </w:r>
          </w:p>
        </w:tc>
        <w:tc>
          <w:tcPr>
            <w:tcW w:w="108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vAlign w:val="center"/>
          </w:tcPr>
          <w:p w14:paraId="10CF6DDA" w14:textId="515537C6" w:rsidR="009E4375" w:rsidRPr="00A00C11" w:rsidRDefault="00000000" w:rsidP="00103E29">
            <w:pPr>
              <w:spacing w:before="0" w:after="0" w:line="240" w:lineRule="auto"/>
              <w:ind w:left="60" w:right="60"/>
              <w:jc w:val="right"/>
              <w:rPr>
                <w:sz w:val="20"/>
                <w:szCs w:val="20"/>
              </w:rPr>
            </w:pPr>
            <w:r w:rsidRPr="00A00C11">
              <w:rPr>
                <w:sz w:val="20"/>
                <w:szCs w:val="20"/>
              </w:rPr>
              <w:t>1.73</w:t>
            </w:r>
            <w:r w:rsidR="000C4BA3">
              <w:rPr>
                <w:sz w:val="20"/>
                <w:szCs w:val="20"/>
              </w:rPr>
              <w:t>1</w:t>
            </w:r>
          </w:p>
        </w:tc>
        <w:tc>
          <w:tcPr>
            <w:tcW w:w="108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vAlign w:val="center"/>
          </w:tcPr>
          <w:p w14:paraId="10CF6DDB" w14:textId="131C061F" w:rsidR="009E4375" w:rsidRPr="00A00C11" w:rsidRDefault="00000000" w:rsidP="00103E29">
            <w:pPr>
              <w:spacing w:before="0" w:after="0" w:line="240" w:lineRule="auto"/>
              <w:ind w:left="60" w:right="60"/>
              <w:jc w:val="right"/>
              <w:rPr>
                <w:sz w:val="20"/>
                <w:szCs w:val="20"/>
              </w:rPr>
            </w:pPr>
            <w:r w:rsidRPr="00A00C11">
              <w:rPr>
                <w:sz w:val="20"/>
                <w:szCs w:val="20"/>
              </w:rPr>
              <w:t>1.906</w:t>
            </w:r>
          </w:p>
        </w:tc>
        <w:tc>
          <w:tcPr>
            <w:tcW w:w="72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vAlign w:val="center"/>
          </w:tcPr>
          <w:p w14:paraId="10CF6DDC" w14:textId="7045E00D" w:rsidR="009E4375" w:rsidRPr="00A00C11" w:rsidRDefault="00000000" w:rsidP="00103E29">
            <w:pPr>
              <w:spacing w:before="0" w:after="0" w:line="240" w:lineRule="auto"/>
              <w:ind w:left="60" w:right="60"/>
              <w:jc w:val="right"/>
              <w:rPr>
                <w:sz w:val="20"/>
                <w:szCs w:val="20"/>
              </w:rPr>
            </w:pPr>
            <w:r w:rsidRPr="00A00C11">
              <w:rPr>
                <w:sz w:val="20"/>
                <w:szCs w:val="20"/>
              </w:rPr>
              <w:t>-2.038</w:t>
            </w:r>
          </w:p>
        </w:tc>
        <w:tc>
          <w:tcPr>
            <w:tcW w:w="72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10CF6DDD" w14:textId="7C4C7ACD" w:rsidR="009E4375" w:rsidRPr="00A00C11" w:rsidRDefault="00000000" w:rsidP="00103E29">
            <w:pPr>
              <w:spacing w:before="0" w:after="0" w:line="240" w:lineRule="auto"/>
              <w:ind w:left="60" w:right="60"/>
              <w:jc w:val="right"/>
              <w:rPr>
                <w:sz w:val="20"/>
                <w:szCs w:val="20"/>
              </w:rPr>
            </w:pPr>
            <w:r w:rsidRPr="00A00C11">
              <w:rPr>
                <w:sz w:val="20"/>
                <w:szCs w:val="20"/>
              </w:rPr>
              <w:t>5.</w:t>
            </w:r>
            <w:r w:rsidR="00F050B2">
              <w:rPr>
                <w:sz w:val="20"/>
                <w:szCs w:val="20"/>
              </w:rPr>
              <w:t>500</w:t>
            </w:r>
          </w:p>
        </w:tc>
      </w:tr>
    </w:tbl>
    <w:p w14:paraId="10CF6DE0" w14:textId="77777777" w:rsidR="009E4375" w:rsidRDefault="009E4375" w:rsidP="00103E29">
      <w:pPr>
        <w:spacing w:before="0" w:after="0" w:line="240" w:lineRule="auto"/>
      </w:pPr>
    </w:p>
    <w:p w14:paraId="51CDFA64" w14:textId="77777777" w:rsidR="00103E29" w:rsidRDefault="00103E29" w:rsidP="00505832">
      <w:pPr>
        <w:spacing w:before="0" w:after="0"/>
        <w:rPr>
          <w:b/>
          <w:bCs/>
        </w:rPr>
      </w:pPr>
    </w:p>
    <w:p w14:paraId="10CF6DE3" w14:textId="77777777" w:rsidR="009E4375" w:rsidRDefault="00000000">
      <w:pPr>
        <w:spacing w:before="200" w:after="200" w:line="276" w:lineRule="auto"/>
        <w:rPr>
          <w:b/>
          <w:bCs/>
        </w:rPr>
      </w:pPr>
      <w:r>
        <w:rPr>
          <w:b/>
          <w:bCs/>
        </w:rPr>
        <w:t>Table 16</w:t>
      </w:r>
    </w:p>
    <w:p w14:paraId="10CF6DE4" w14:textId="77777777" w:rsidR="009E4375" w:rsidRDefault="00000000">
      <w:pPr>
        <w:spacing w:before="200" w:after="200" w:line="276" w:lineRule="auto"/>
        <w:rPr>
          <w:i/>
          <w:iCs/>
        </w:rPr>
      </w:pPr>
      <w:r>
        <w:rPr>
          <w:i/>
          <w:iCs/>
        </w:rPr>
        <w:t>Mean and Standard Deviation of Subdomains by Signed Communication in Family</w:t>
      </w:r>
    </w:p>
    <w:tbl>
      <w:tblPr>
        <w:tblStyle w:val="ae"/>
        <w:tblW w:w="81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325"/>
        <w:gridCol w:w="1575"/>
        <w:gridCol w:w="1245"/>
        <w:gridCol w:w="1890"/>
        <w:gridCol w:w="1095"/>
      </w:tblGrid>
      <w:tr w:rsidR="009E4375" w:rsidRPr="004B32F4" w14:paraId="10CF6DE6" w14:textId="77777777">
        <w:trPr>
          <w:trHeight w:val="33"/>
        </w:trPr>
        <w:tc>
          <w:tcPr>
            <w:tcW w:w="8130" w:type="dxa"/>
            <w:gridSpan w:val="5"/>
            <w:tcBorders>
              <w:top w:val="nil"/>
              <w:left w:val="nil"/>
              <w:bottom w:val="nil"/>
              <w:right w:val="nil"/>
            </w:tcBorders>
            <w:shd w:val="clear" w:color="auto" w:fill="FFFFFF"/>
            <w:tcMar>
              <w:top w:w="0" w:type="dxa"/>
              <w:left w:w="0" w:type="dxa"/>
              <w:bottom w:w="0" w:type="dxa"/>
              <w:right w:w="0" w:type="dxa"/>
            </w:tcMar>
          </w:tcPr>
          <w:p w14:paraId="10CF6DE5" w14:textId="77777777" w:rsidR="009E4375" w:rsidRPr="004B32F4" w:rsidRDefault="00000000" w:rsidP="00103E29">
            <w:pPr>
              <w:spacing w:before="0" w:after="0" w:line="240" w:lineRule="auto"/>
              <w:ind w:left="60" w:right="60"/>
              <w:jc w:val="center"/>
              <w:rPr>
                <w:sz w:val="22"/>
                <w:szCs w:val="22"/>
              </w:rPr>
            </w:pPr>
            <w:r w:rsidRPr="004B32F4">
              <w:rPr>
                <w:sz w:val="22"/>
                <w:szCs w:val="22"/>
              </w:rPr>
              <w:t>Descriptive Statistics</w:t>
            </w:r>
          </w:p>
        </w:tc>
      </w:tr>
      <w:tr w:rsidR="009E4375" w:rsidRPr="004B32F4" w14:paraId="10CF6DEC" w14:textId="77777777" w:rsidTr="00D45233">
        <w:trPr>
          <w:trHeight w:val="423"/>
        </w:trPr>
        <w:tc>
          <w:tcPr>
            <w:tcW w:w="2325" w:type="dxa"/>
            <w:tcBorders>
              <w:top w:val="nil"/>
              <w:left w:val="nil"/>
              <w:bottom w:val="nil"/>
              <w:right w:val="nil"/>
            </w:tcBorders>
            <w:tcMar>
              <w:top w:w="0" w:type="dxa"/>
              <w:left w:w="0" w:type="dxa"/>
              <w:bottom w:w="0" w:type="dxa"/>
              <w:right w:w="0" w:type="dxa"/>
            </w:tcMar>
          </w:tcPr>
          <w:p w14:paraId="10CF6DE7" w14:textId="77777777" w:rsidR="009E4375" w:rsidRPr="004B32F4" w:rsidRDefault="00000000" w:rsidP="00103E29">
            <w:pPr>
              <w:spacing w:before="0" w:after="0" w:line="240" w:lineRule="auto"/>
              <w:rPr>
                <w:sz w:val="22"/>
                <w:szCs w:val="22"/>
              </w:rPr>
            </w:pPr>
            <w:r w:rsidRPr="004B32F4">
              <w:rPr>
                <w:sz w:val="22"/>
                <w:szCs w:val="22"/>
              </w:rPr>
              <w:t xml:space="preserve"> </w:t>
            </w:r>
          </w:p>
        </w:tc>
        <w:tc>
          <w:tcPr>
            <w:tcW w:w="157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E8" w14:textId="77777777" w:rsidR="009E4375" w:rsidRPr="004B32F4" w:rsidRDefault="00000000" w:rsidP="00103E29">
            <w:pPr>
              <w:spacing w:before="0" w:after="0" w:line="240" w:lineRule="auto"/>
              <w:ind w:left="60" w:right="60"/>
              <w:rPr>
                <w:sz w:val="22"/>
                <w:szCs w:val="22"/>
              </w:rPr>
            </w:pPr>
            <w:r w:rsidRPr="004B32F4">
              <w:rPr>
                <w:sz w:val="22"/>
                <w:szCs w:val="22"/>
              </w:rPr>
              <w:t>Family</w:t>
            </w:r>
          </w:p>
        </w:tc>
        <w:tc>
          <w:tcPr>
            <w:tcW w:w="1245"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DE9" w14:textId="77777777" w:rsidR="009E4375" w:rsidRPr="004B32F4" w:rsidRDefault="00000000" w:rsidP="00103E29">
            <w:pPr>
              <w:spacing w:before="0" w:after="0" w:line="240" w:lineRule="auto"/>
              <w:ind w:left="60" w:right="60"/>
              <w:jc w:val="center"/>
              <w:rPr>
                <w:sz w:val="22"/>
                <w:szCs w:val="22"/>
              </w:rPr>
            </w:pPr>
            <w:r w:rsidRPr="004B32F4">
              <w:rPr>
                <w:sz w:val="22"/>
                <w:szCs w:val="22"/>
              </w:rPr>
              <w:t>Mean</w:t>
            </w:r>
          </w:p>
        </w:tc>
        <w:tc>
          <w:tcPr>
            <w:tcW w:w="189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DEA" w14:textId="77777777" w:rsidR="009E4375" w:rsidRPr="004B32F4" w:rsidRDefault="00000000" w:rsidP="00103E29">
            <w:pPr>
              <w:spacing w:before="0" w:after="0" w:line="240" w:lineRule="auto"/>
              <w:ind w:left="60" w:right="60"/>
              <w:jc w:val="center"/>
              <w:rPr>
                <w:sz w:val="22"/>
                <w:szCs w:val="22"/>
              </w:rPr>
            </w:pPr>
            <w:r w:rsidRPr="004B32F4">
              <w:rPr>
                <w:sz w:val="22"/>
                <w:szCs w:val="22"/>
              </w:rPr>
              <w:t>Std. Deviation</w:t>
            </w:r>
          </w:p>
        </w:tc>
        <w:tc>
          <w:tcPr>
            <w:tcW w:w="109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DEB" w14:textId="77777777" w:rsidR="009E4375" w:rsidRPr="004B32F4" w:rsidRDefault="00000000" w:rsidP="00103E29">
            <w:pPr>
              <w:spacing w:before="0" w:after="0" w:line="240" w:lineRule="auto"/>
              <w:ind w:left="60" w:right="60"/>
              <w:jc w:val="center"/>
              <w:rPr>
                <w:sz w:val="22"/>
                <w:szCs w:val="22"/>
              </w:rPr>
            </w:pPr>
            <w:r w:rsidRPr="004B32F4">
              <w:rPr>
                <w:sz w:val="22"/>
                <w:szCs w:val="22"/>
              </w:rPr>
              <w:t>N</w:t>
            </w:r>
          </w:p>
        </w:tc>
      </w:tr>
      <w:tr w:rsidR="009E4375" w:rsidRPr="004B32F4" w14:paraId="10CF6DF2" w14:textId="77777777" w:rsidTr="00226C41">
        <w:trPr>
          <w:trHeight w:val="285"/>
        </w:trPr>
        <w:tc>
          <w:tcPr>
            <w:tcW w:w="2325" w:type="dxa"/>
            <w:vMerge w:val="restart"/>
            <w:tcBorders>
              <w:top w:val="single" w:sz="5" w:space="0" w:color="152935"/>
              <w:left w:val="nil"/>
              <w:bottom w:val="nil"/>
              <w:right w:val="nil"/>
            </w:tcBorders>
            <w:shd w:val="clear" w:color="auto" w:fill="E0E0E0"/>
            <w:tcMar>
              <w:top w:w="0" w:type="dxa"/>
              <w:left w:w="0" w:type="dxa"/>
              <w:bottom w:w="0" w:type="dxa"/>
              <w:right w:w="0" w:type="dxa"/>
            </w:tcMar>
          </w:tcPr>
          <w:p w14:paraId="10CF6DED" w14:textId="77777777" w:rsidR="009E4375" w:rsidRPr="004B32F4" w:rsidRDefault="00000000" w:rsidP="00B52658">
            <w:pPr>
              <w:spacing w:before="0" w:after="0" w:line="240" w:lineRule="auto"/>
              <w:ind w:left="60" w:right="60"/>
              <w:rPr>
                <w:sz w:val="22"/>
                <w:szCs w:val="22"/>
              </w:rPr>
            </w:pPr>
            <w:proofErr w:type="spellStart"/>
            <w:r w:rsidRPr="004B32F4">
              <w:rPr>
                <w:sz w:val="22"/>
                <w:szCs w:val="22"/>
              </w:rPr>
              <w:t>Self Acceptance</w:t>
            </w:r>
            <w:proofErr w:type="spellEnd"/>
            <w:r w:rsidRPr="004B32F4">
              <w:rPr>
                <w:sz w:val="22"/>
                <w:szCs w:val="22"/>
              </w:rPr>
              <w:t xml:space="preserve"> / Advocacy</w:t>
            </w:r>
          </w:p>
        </w:tc>
        <w:tc>
          <w:tcPr>
            <w:tcW w:w="1575" w:type="dxa"/>
            <w:tcBorders>
              <w:top w:val="nil"/>
              <w:left w:val="nil"/>
              <w:bottom w:val="single" w:sz="5" w:space="0" w:color="AEAEAE"/>
              <w:right w:val="nil"/>
            </w:tcBorders>
            <w:shd w:val="clear" w:color="auto" w:fill="E0E0E0"/>
            <w:tcMar>
              <w:top w:w="0" w:type="dxa"/>
              <w:left w:w="0" w:type="dxa"/>
              <w:bottom w:w="0" w:type="dxa"/>
              <w:right w:w="0" w:type="dxa"/>
            </w:tcMar>
          </w:tcPr>
          <w:p w14:paraId="10CF6DEE" w14:textId="77777777" w:rsidR="009E4375" w:rsidRPr="004B32F4" w:rsidRDefault="00000000" w:rsidP="00B52658">
            <w:pPr>
              <w:spacing w:before="0" w:after="0" w:line="240" w:lineRule="auto"/>
              <w:ind w:left="60" w:right="60"/>
              <w:rPr>
                <w:sz w:val="22"/>
                <w:szCs w:val="22"/>
              </w:rPr>
            </w:pPr>
            <w:r w:rsidRPr="004B32F4">
              <w:rPr>
                <w:sz w:val="22"/>
                <w:szCs w:val="22"/>
              </w:rPr>
              <w:t>BIM</w:t>
            </w:r>
          </w:p>
        </w:tc>
        <w:tc>
          <w:tcPr>
            <w:tcW w:w="124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DEF" w14:textId="77777777" w:rsidR="009E4375" w:rsidRPr="004B32F4" w:rsidRDefault="00000000" w:rsidP="00B52658">
            <w:pPr>
              <w:spacing w:before="0" w:after="0" w:line="240" w:lineRule="auto"/>
              <w:ind w:left="60" w:right="60"/>
              <w:jc w:val="right"/>
              <w:rPr>
                <w:sz w:val="22"/>
                <w:szCs w:val="22"/>
              </w:rPr>
            </w:pPr>
            <w:r w:rsidRPr="004B32F4">
              <w:rPr>
                <w:sz w:val="22"/>
                <w:szCs w:val="22"/>
              </w:rPr>
              <w:t>72.7253</w:t>
            </w:r>
          </w:p>
        </w:tc>
        <w:tc>
          <w:tcPr>
            <w:tcW w:w="18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DF0" w14:textId="77777777" w:rsidR="009E4375" w:rsidRPr="004B32F4" w:rsidRDefault="00000000" w:rsidP="00B52658">
            <w:pPr>
              <w:spacing w:before="0" w:after="0" w:line="240" w:lineRule="auto"/>
              <w:ind w:left="60" w:right="60"/>
              <w:jc w:val="right"/>
              <w:rPr>
                <w:sz w:val="22"/>
                <w:szCs w:val="22"/>
              </w:rPr>
            </w:pPr>
            <w:r w:rsidRPr="004B32F4">
              <w:rPr>
                <w:sz w:val="22"/>
                <w:szCs w:val="22"/>
              </w:rPr>
              <w:t>15.98982</w:t>
            </w:r>
          </w:p>
        </w:tc>
        <w:tc>
          <w:tcPr>
            <w:tcW w:w="1095" w:type="dxa"/>
            <w:tcBorders>
              <w:top w:val="nil"/>
              <w:left w:val="nil"/>
              <w:bottom w:val="single" w:sz="5" w:space="0" w:color="AEAEAE"/>
              <w:right w:val="nil"/>
            </w:tcBorders>
            <w:shd w:val="clear" w:color="auto" w:fill="F9F9FB"/>
            <w:tcMar>
              <w:top w:w="0" w:type="dxa"/>
              <w:left w:w="0" w:type="dxa"/>
              <w:bottom w:w="0" w:type="dxa"/>
              <w:right w:w="0" w:type="dxa"/>
            </w:tcMar>
          </w:tcPr>
          <w:p w14:paraId="10CF6DF1" w14:textId="77777777" w:rsidR="009E4375" w:rsidRPr="004B32F4" w:rsidRDefault="00000000" w:rsidP="00B52658">
            <w:pPr>
              <w:spacing w:before="0" w:after="0" w:line="240" w:lineRule="auto"/>
              <w:ind w:left="60" w:right="60"/>
              <w:jc w:val="right"/>
              <w:rPr>
                <w:sz w:val="22"/>
                <w:szCs w:val="22"/>
              </w:rPr>
            </w:pPr>
            <w:r w:rsidRPr="004B32F4">
              <w:rPr>
                <w:sz w:val="22"/>
                <w:szCs w:val="22"/>
              </w:rPr>
              <w:t>65</w:t>
            </w:r>
          </w:p>
        </w:tc>
      </w:tr>
      <w:tr w:rsidR="009E4375" w:rsidRPr="004B32F4" w14:paraId="10CF6DF8" w14:textId="77777777" w:rsidTr="00B52658">
        <w:trPr>
          <w:trHeight w:val="68"/>
        </w:trPr>
        <w:tc>
          <w:tcPr>
            <w:tcW w:w="2325" w:type="dxa"/>
            <w:vMerge/>
            <w:tcBorders>
              <w:top w:val="single" w:sz="5" w:space="0" w:color="152935"/>
              <w:left w:val="nil"/>
              <w:bottom w:val="nil"/>
              <w:right w:val="nil"/>
            </w:tcBorders>
            <w:tcMar>
              <w:top w:w="100" w:type="dxa"/>
              <w:left w:w="100" w:type="dxa"/>
              <w:bottom w:w="100" w:type="dxa"/>
              <w:right w:w="100" w:type="dxa"/>
            </w:tcMar>
          </w:tcPr>
          <w:p w14:paraId="10CF6DF3" w14:textId="77777777" w:rsidR="009E4375" w:rsidRPr="004B32F4" w:rsidRDefault="009E4375" w:rsidP="00B52658">
            <w:pPr>
              <w:spacing w:before="0" w:after="0" w:line="240" w:lineRule="auto"/>
              <w:rPr>
                <w:sz w:val="22"/>
                <w:szCs w:val="22"/>
              </w:rPr>
            </w:pPr>
          </w:p>
        </w:tc>
        <w:tc>
          <w:tcPr>
            <w:tcW w:w="1575" w:type="dxa"/>
            <w:tcBorders>
              <w:top w:val="nil"/>
              <w:left w:val="nil"/>
              <w:bottom w:val="single" w:sz="5" w:space="0" w:color="AEAEAE"/>
              <w:right w:val="nil"/>
            </w:tcBorders>
            <w:shd w:val="clear" w:color="auto" w:fill="E0E0E0"/>
            <w:tcMar>
              <w:top w:w="0" w:type="dxa"/>
              <w:left w:w="0" w:type="dxa"/>
              <w:bottom w:w="0" w:type="dxa"/>
              <w:right w:w="0" w:type="dxa"/>
            </w:tcMar>
          </w:tcPr>
          <w:p w14:paraId="10CF6DF4" w14:textId="77777777" w:rsidR="009E4375" w:rsidRPr="004B32F4" w:rsidRDefault="00000000" w:rsidP="00B52658">
            <w:pPr>
              <w:spacing w:before="0" w:after="0" w:line="240" w:lineRule="auto"/>
              <w:ind w:left="60" w:right="60"/>
              <w:rPr>
                <w:sz w:val="22"/>
                <w:szCs w:val="22"/>
              </w:rPr>
            </w:pPr>
            <w:r w:rsidRPr="004B32F4">
              <w:rPr>
                <w:sz w:val="22"/>
                <w:szCs w:val="22"/>
              </w:rPr>
              <w:t>KTBM</w:t>
            </w:r>
          </w:p>
        </w:tc>
        <w:tc>
          <w:tcPr>
            <w:tcW w:w="124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DF5" w14:textId="77777777" w:rsidR="009E4375" w:rsidRPr="004B32F4" w:rsidRDefault="00000000" w:rsidP="00B52658">
            <w:pPr>
              <w:spacing w:before="0" w:after="0" w:line="240" w:lineRule="auto"/>
              <w:ind w:left="60" w:right="60"/>
              <w:jc w:val="right"/>
              <w:rPr>
                <w:sz w:val="22"/>
                <w:szCs w:val="22"/>
              </w:rPr>
            </w:pPr>
            <w:r w:rsidRPr="004B32F4">
              <w:rPr>
                <w:sz w:val="22"/>
                <w:szCs w:val="22"/>
              </w:rPr>
              <w:t>66.6195</w:t>
            </w:r>
          </w:p>
        </w:tc>
        <w:tc>
          <w:tcPr>
            <w:tcW w:w="18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DF6" w14:textId="77777777" w:rsidR="009E4375" w:rsidRPr="004B32F4" w:rsidRDefault="00000000" w:rsidP="00B52658">
            <w:pPr>
              <w:spacing w:before="0" w:after="0" w:line="240" w:lineRule="auto"/>
              <w:ind w:left="60" w:right="60"/>
              <w:jc w:val="right"/>
              <w:rPr>
                <w:sz w:val="22"/>
                <w:szCs w:val="22"/>
              </w:rPr>
            </w:pPr>
            <w:r w:rsidRPr="004B32F4">
              <w:rPr>
                <w:sz w:val="22"/>
                <w:szCs w:val="22"/>
              </w:rPr>
              <w:t>19.11307</w:t>
            </w:r>
          </w:p>
        </w:tc>
        <w:tc>
          <w:tcPr>
            <w:tcW w:w="1095" w:type="dxa"/>
            <w:tcBorders>
              <w:top w:val="nil"/>
              <w:left w:val="nil"/>
              <w:bottom w:val="single" w:sz="5" w:space="0" w:color="AEAEAE"/>
              <w:right w:val="nil"/>
            </w:tcBorders>
            <w:shd w:val="clear" w:color="auto" w:fill="F9F9FB"/>
            <w:tcMar>
              <w:top w:w="0" w:type="dxa"/>
              <w:left w:w="0" w:type="dxa"/>
              <w:bottom w:w="0" w:type="dxa"/>
              <w:right w:w="0" w:type="dxa"/>
            </w:tcMar>
          </w:tcPr>
          <w:p w14:paraId="10CF6DF7" w14:textId="77777777" w:rsidR="009E4375" w:rsidRPr="004B32F4" w:rsidRDefault="00000000" w:rsidP="00B52658">
            <w:pPr>
              <w:spacing w:before="0" w:after="0" w:line="240" w:lineRule="auto"/>
              <w:ind w:left="60" w:right="60"/>
              <w:jc w:val="right"/>
              <w:rPr>
                <w:sz w:val="22"/>
                <w:szCs w:val="22"/>
              </w:rPr>
            </w:pPr>
            <w:r w:rsidRPr="004B32F4">
              <w:rPr>
                <w:sz w:val="22"/>
                <w:szCs w:val="22"/>
              </w:rPr>
              <w:t>116</w:t>
            </w:r>
          </w:p>
        </w:tc>
      </w:tr>
      <w:tr w:rsidR="009E4375" w:rsidRPr="004B32F4" w14:paraId="10CF6DFE" w14:textId="77777777" w:rsidTr="00226C41">
        <w:trPr>
          <w:trHeight w:val="95"/>
        </w:trPr>
        <w:tc>
          <w:tcPr>
            <w:tcW w:w="2325" w:type="dxa"/>
            <w:vMerge/>
            <w:tcBorders>
              <w:top w:val="single" w:sz="5" w:space="0" w:color="152935"/>
              <w:left w:val="nil"/>
              <w:bottom w:val="nil"/>
              <w:right w:val="nil"/>
            </w:tcBorders>
            <w:tcMar>
              <w:top w:w="100" w:type="dxa"/>
              <w:left w:w="100" w:type="dxa"/>
              <w:bottom w:w="100" w:type="dxa"/>
              <w:right w:w="100" w:type="dxa"/>
            </w:tcMar>
          </w:tcPr>
          <w:p w14:paraId="10CF6DF9" w14:textId="77777777" w:rsidR="009E4375" w:rsidRPr="004B32F4" w:rsidRDefault="009E4375" w:rsidP="00B52658">
            <w:pPr>
              <w:spacing w:before="0" w:after="0" w:line="240" w:lineRule="auto"/>
              <w:rPr>
                <w:sz w:val="22"/>
                <w:szCs w:val="22"/>
              </w:rPr>
            </w:pPr>
          </w:p>
        </w:tc>
        <w:tc>
          <w:tcPr>
            <w:tcW w:w="1575" w:type="dxa"/>
            <w:tcBorders>
              <w:top w:val="nil"/>
              <w:left w:val="nil"/>
              <w:bottom w:val="nil"/>
              <w:right w:val="nil"/>
            </w:tcBorders>
            <w:shd w:val="clear" w:color="auto" w:fill="E0E0E0"/>
            <w:tcMar>
              <w:top w:w="0" w:type="dxa"/>
              <w:left w:w="0" w:type="dxa"/>
              <w:bottom w:w="0" w:type="dxa"/>
              <w:right w:w="0" w:type="dxa"/>
            </w:tcMar>
          </w:tcPr>
          <w:p w14:paraId="10CF6DFA" w14:textId="77777777" w:rsidR="009E4375" w:rsidRPr="004B32F4" w:rsidRDefault="00000000" w:rsidP="00B52658">
            <w:pPr>
              <w:spacing w:before="0" w:after="0" w:line="240" w:lineRule="auto"/>
              <w:ind w:left="60" w:right="60"/>
              <w:rPr>
                <w:sz w:val="22"/>
                <w:szCs w:val="22"/>
              </w:rPr>
            </w:pPr>
            <w:r w:rsidRPr="004B32F4">
              <w:rPr>
                <w:sz w:val="22"/>
                <w:szCs w:val="22"/>
              </w:rPr>
              <w:t>Total</w:t>
            </w:r>
          </w:p>
        </w:tc>
        <w:tc>
          <w:tcPr>
            <w:tcW w:w="1245" w:type="dxa"/>
            <w:tcBorders>
              <w:top w:val="nil"/>
              <w:left w:val="nil"/>
              <w:bottom w:val="nil"/>
              <w:right w:val="single" w:sz="5" w:space="0" w:color="E0E0E0"/>
            </w:tcBorders>
            <w:shd w:val="clear" w:color="auto" w:fill="F9F9FB"/>
            <w:tcMar>
              <w:top w:w="0" w:type="dxa"/>
              <w:left w:w="0" w:type="dxa"/>
              <w:bottom w:w="0" w:type="dxa"/>
              <w:right w:w="0" w:type="dxa"/>
            </w:tcMar>
          </w:tcPr>
          <w:p w14:paraId="10CF6DFB" w14:textId="77777777" w:rsidR="009E4375" w:rsidRPr="004B32F4" w:rsidRDefault="00000000" w:rsidP="00B52658">
            <w:pPr>
              <w:spacing w:before="0" w:after="0" w:line="240" w:lineRule="auto"/>
              <w:ind w:left="60" w:right="60"/>
              <w:jc w:val="right"/>
              <w:rPr>
                <w:sz w:val="22"/>
                <w:szCs w:val="22"/>
              </w:rPr>
            </w:pPr>
            <w:r w:rsidRPr="004B32F4">
              <w:rPr>
                <w:sz w:val="22"/>
                <w:szCs w:val="22"/>
              </w:rPr>
              <w:t>68.8122</w:t>
            </w:r>
          </w:p>
        </w:tc>
        <w:tc>
          <w:tcPr>
            <w:tcW w:w="1890" w:type="dxa"/>
            <w:tcBorders>
              <w:top w:val="nil"/>
              <w:left w:val="nil"/>
              <w:bottom w:val="nil"/>
              <w:right w:val="single" w:sz="5" w:space="0" w:color="E0E0E0"/>
            </w:tcBorders>
            <w:shd w:val="clear" w:color="auto" w:fill="F9F9FB"/>
            <w:tcMar>
              <w:top w:w="0" w:type="dxa"/>
              <w:left w:w="0" w:type="dxa"/>
              <w:bottom w:w="0" w:type="dxa"/>
              <w:right w:w="0" w:type="dxa"/>
            </w:tcMar>
          </w:tcPr>
          <w:p w14:paraId="10CF6DFC" w14:textId="77777777" w:rsidR="009E4375" w:rsidRPr="004B32F4" w:rsidRDefault="00000000" w:rsidP="00B52658">
            <w:pPr>
              <w:spacing w:before="0" w:after="0" w:line="240" w:lineRule="auto"/>
              <w:ind w:left="60" w:right="60"/>
              <w:jc w:val="right"/>
              <w:rPr>
                <w:sz w:val="22"/>
                <w:szCs w:val="22"/>
              </w:rPr>
            </w:pPr>
            <w:r w:rsidRPr="004B32F4">
              <w:rPr>
                <w:sz w:val="22"/>
                <w:szCs w:val="22"/>
              </w:rPr>
              <w:t>18.24627</w:t>
            </w:r>
          </w:p>
        </w:tc>
        <w:tc>
          <w:tcPr>
            <w:tcW w:w="1095" w:type="dxa"/>
            <w:tcBorders>
              <w:top w:val="nil"/>
              <w:left w:val="nil"/>
              <w:bottom w:val="nil"/>
              <w:right w:val="nil"/>
            </w:tcBorders>
            <w:shd w:val="clear" w:color="auto" w:fill="F9F9FB"/>
            <w:tcMar>
              <w:top w:w="0" w:type="dxa"/>
              <w:left w:w="0" w:type="dxa"/>
              <w:bottom w:w="0" w:type="dxa"/>
              <w:right w:w="0" w:type="dxa"/>
            </w:tcMar>
          </w:tcPr>
          <w:p w14:paraId="10CF6DFD" w14:textId="77777777" w:rsidR="009E4375" w:rsidRPr="004B32F4" w:rsidRDefault="00000000" w:rsidP="00B52658">
            <w:pPr>
              <w:spacing w:before="0" w:after="0" w:line="240" w:lineRule="auto"/>
              <w:ind w:left="60" w:right="60"/>
              <w:jc w:val="right"/>
              <w:rPr>
                <w:sz w:val="22"/>
                <w:szCs w:val="22"/>
              </w:rPr>
            </w:pPr>
            <w:r w:rsidRPr="004B32F4">
              <w:rPr>
                <w:sz w:val="22"/>
                <w:szCs w:val="22"/>
              </w:rPr>
              <w:t>181</w:t>
            </w:r>
          </w:p>
        </w:tc>
      </w:tr>
      <w:tr w:rsidR="009E4375" w:rsidRPr="004B32F4" w14:paraId="10CF6E04" w14:textId="77777777" w:rsidTr="00226C41">
        <w:trPr>
          <w:trHeight w:val="96"/>
        </w:trPr>
        <w:tc>
          <w:tcPr>
            <w:tcW w:w="2325" w:type="dxa"/>
            <w:vMerge w:val="restart"/>
            <w:tcBorders>
              <w:top w:val="single" w:sz="5" w:space="0" w:color="AEAEAE"/>
              <w:left w:val="nil"/>
              <w:bottom w:val="nil"/>
              <w:right w:val="nil"/>
            </w:tcBorders>
            <w:shd w:val="clear" w:color="auto" w:fill="E0E0E0"/>
            <w:tcMar>
              <w:top w:w="0" w:type="dxa"/>
              <w:left w:w="0" w:type="dxa"/>
              <w:bottom w:w="0" w:type="dxa"/>
              <w:right w:w="0" w:type="dxa"/>
            </w:tcMar>
          </w:tcPr>
          <w:p w14:paraId="10CF6DFF" w14:textId="77777777" w:rsidR="009E4375" w:rsidRPr="004B32F4" w:rsidRDefault="00000000" w:rsidP="00B52658">
            <w:pPr>
              <w:spacing w:before="0" w:after="0" w:line="240" w:lineRule="auto"/>
              <w:ind w:left="60" w:right="60"/>
              <w:rPr>
                <w:sz w:val="22"/>
                <w:szCs w:val="22"/>
              </w:rPr>
            </w:pPr>
            <w:r w:rsidRPr="004B32F4">
              <w:rPr>
                <w:sz w:val="22"/>
                <w:szCs w:val="22"/>
              </w:rPr>
              <w:t>Perceived Stigma</w:t>
            </w:r>
          </w:p>
        </w:tc>
        <w:tc>
          <w:tcPr>
            <w:tcW w:w="157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E00" w14:textId="77777777" w:rsidR="009E4375" w:rsidRPr="004B32F4" w:rsidRDefault="00000000" w:rsidP="00B52658">
            <w:pPr>
              <w:spacing w:before="0" w:after="0" w:line="240" w:lineRule="auto"/>
              <w:ind w:left="60" w:right="60"/>
              <w:rPr>
                <w:sz w:val="22"/>
                <w:szCs w:val="22"/>
              </w:rPr>
            </w:pPr>
            <w:r w:rsidRPr="004B32F4">
              <w:rPr>
                <w:sz w:val="22"/>
                <w:szCs w:val="22"/>
              </w:rPr>
              <w:t>BIM</w:t>
            </w:r>
          </w:p>
        </w:tc>
        <w:tc>
          <w:tcPr>
            <w:tcW w:w="124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01" w14:textId="77777777" w:rsidR="009E4375" w:rsidRPr="004B32F4" w:rsidRDefault="00000000" w:rsidP="00B52658">
            <w:pPr>
              <w:spacing w:before="0" w:after="0" w:line="240" w:lineRule="auto"/>
              <w:ind w:left="60" w:right="60"/>
              <w:jc w:val="right"/>
              <w:rPr>
                <w:sz w:val="22"/>
                <w:szCs w:val="22"/>
              </w:rPr>
            </w:pPr>
            <w:r w:rsidRPr="004B32F4">
              <w:rPr>
                <w:sz w:val="22"/>
                <w:szCs w:val="22"/>
              </w:rPr>
              <w:t>47.9038</w:t>
            </w:r>
          </w:p>
        </w:tc>
        <w:tc>
          <w:tcPr>
            <w:tcW w:w="189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02" w14:textId="77777777" w:rsidR="009E4375" w:rsidRPr="004B32F4" w:rsidRDefault="00000000" w:rsidP="00B52658">
            <w:pPr>
              <w:spacing w:before="0" w:after="0" w:line="240" w:lineRule="auto"/>
              <w:ind w:left="60" w:right="60"/>
              <w:jc w:val="right"/>
              <w:rPr>
                <w:sz w:val="22"/>
                <w:szCs w:val="22"/>
              </w:rPr>
            </w:pPr>
            <w:r w:rsidRPr="004B32F4">
              <w:rPr>
                <w:sz w:val="22"/>
                <w:szCs w:val="22"/>
              </w:rPr>
              <w:t>24.71627</w:t>
            </w:r>
          </w:p>
        </w:tc>
        <w:tc>
          <w:tcPr>
            <w:tcW w:w="109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E03" w14:textId="77777777" w:rsidR="009E4375" w:rsidRPr="004B32F4" w:rsidRDefault="00000000" w:rsidP="00B52658">
            <w:pPr>
              <w:spacing w:before="0" w:after="0" w:line="240" w:lineRule="auto"/>
              <w:ind w:left="60" w:right="60"/>
              <w:jc w:val="right"/>
              <w:rPr>
                <w:sz w:val="22"/>
                <w:szCs w:val="22"/>
              </w:rPr>
            </w:pPr>
            <w:r w:rsidRPr="004B32F4">
              <w:rPr>
                <w:sz w:val="22"/>
                <w:szCs w:val="22"/>
              </w:rPr>
              <w:t>65</w:t>
            </w:r>
          </w:p>
        </w:tc>
      </w:tr>
      <w:tr w:rsidR="009E4375" w:rsidRPr="004B32F4" w14:paraId="10CF6E0A" w14:textId="77777777" w:rsidTr="00226C41">
        <w:trPr>
          <w:trHeight w:val="140"/>
        </w:trPr>
        <w:tc>
          <w:tcPr>
            <w:tcW w:w="2325" w:type="dxa"/>
            <w:vMerge/>
            <w:tcBorders>
              <w:top w:val="single" w:sz="5" w:space="0" w:color="AEAEAE"/>
              <w:left w:val="nil"/>
              <w:bottom w:val="nil"/>
              <w:right w:val="nil"/>
            </w:tcBorders>
            <w:tcMar>
              <w:top w:w="100" w:type="dxa"/>
              <w:left w:w="100" w:type="dxa"/>
              <w:bottom w:w="100" w:type="dxa"/>
              <w:right w:w="100" w:type="dxa"/>
            </w:tcMar>
          </w:tcPr>
          <w:p w14:paraId="10CF6E05" w14:textId="77777777" w:rsidR="009E4375" w:rsidRPr="004B32F4" w:rsidRDefault="009E4375" w:rsidP="00B52658">
            <w:pPr>
              <w:spacing w:before="0" w:after="0" w:line="240" w:lineRule="auto"/>
              <w:rPr>
                <w:sz w:val="22"/>
                <w:szCs w:val="22"/>
              </w:rPr>
            </w:pPr>
          </w:p>
        </w:tc>
        <w:tc>
          <w:tcPr>
            <w:tcW w:w="1575" w:type="dxa"/>
            <w:tcBorders>
              <w:top w:val="nil"/>
              <w:left w:val="nil"/>
              <w:bottom w:val="single" w:sz="5" w:space="0" w:color="AEAEAE"/>
              <w:right w:val="nil"/>
            </w:tcBorders>
            <w:shd w:val="clear" w:color="auto" w:fill="E0E0E0"/>
            <w:tcMar>
              <w:top w:w="0" w:type="dxa"/>
              <w:left w:w="0" w:type="dxa"/>
              <w:bottom w:w="0" w:type="dxa"/>
              <w:right w:w="0" w:type="dxa"/>
            </w:tcMar>
          </w:tcPr>
          <w:p w14:paraId="10CF6E06" w14:textId="77777777" w:rsidR="009E4375" w:rsidRPr="004B32F4" w:rsidRDefault="00000000" w:rsidP="00B52658">
            <w:pPr>
              <w:spacing w:before="0" w:after="0" w:line="240" w:lineRule="auto"/>
              <w:ind w:left="60" w:right="60"/>
              <w:rPr>
                <w:sz w:val="22"/>
                <w:szCs w:val="22"/>
              </w:rPr>
            </w:pPr>
            <w:r w:rsidRPr="004B32F4">
              <w:rPr>
                <w:sz w:val="22"/>
                <w:szCs w:val="22"/>
              </w:rPr>
              <w:t>KTBM</w:t>
            </w:r>
          </w:p>
        </w:tc>
        <w:tc>
          <w:tcPr>
            <w:tcW w:w="124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07" w14:textId="77777777" w:rsidR="009E4375" w:rsidRPr="004B32F4" w:rsidRDefault="00000000" w:rsidP="00B52658">
            <w:pPr>
              <w:spacing w:before="0" w:after="0" w:line="240" w:lineRule="auto"/>
              <w:ind w:left="60" w:right="60"/>
              <w:jc w:val="right"/>
              <w:rPr>
                <w:sz w:val="22"/>
                <w:szCs w:val="22"/>
              </w:rPr>
            </w:pPr>
            <w:r w:rsidRPr="004B32F4">
              <w:rPr>
                <w:sz w:val="22"/>
                <w:szCs w:val="22"/>
              </w:rPr>
              <w:t>51.3147</w:t>
            </w:r>
          </w:p>
        </w:tc>
        <w:tc>
          <w:tcPr>
            <w:tcW w:w="18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08" w14:textId="77777777" w:rsidR="009E4375" w:rsidRPr="004B32F4" w:rsidRDefault="00000000" w:rsidP="00B52658">
            <w:pPr>
              <w:spacing w:before="0" w:after="0" w:line="240" w:lineRule="auto"/>
              <w:ind w:left="60" w:right="60"/>
              <w:jc w:val="right"/>
              <w:rPr>
                <w:sz w:val="22"/>
                <w:szCs w:val="22"/>
              </w:rPr>
            </w:pPr>
            <w:r w:rsidRPr="004B32F4">
              <w:rPr>
                <w:sz w:val="22"/>
                <w:szCs w:val="22"/>
              </w:rPr>
              <w:t>25.23899</w:t>
            </w:r>
          </w:p>
        </w:tc>
        <w:tc>
          <w:tcPr>
            <w:tcW w:w="1095" w:type="dxa"/>
            <w:tcBorders>
              <w:top w:val="nil"/>
              <w:left w:val="nil"/>
              <w:bottom w:val="single" w:sz="5" w:space="0" w:color="AEAEAE"/>
              <w:right w:val="nil"/>
            </w:tcBorders>
            <w:shd w:val="clear" w:color="auto" w:fill="F9F9FB"/>
            <w:tcMar>
              <w:top w:w="0" w:type="dxa"/>
              <w:left w:w="0" w:type="dxa"/>
              <w:bottom w:w="0" w:type="dxa"/>
              <w:right w:w="0" w:type="dxa"/>
            </w:tcMar>
          </w:tcPr>
          <w:p w14:paraId="10CF6E09" w14:textId="77777777" w:rsidR="009E4375" w:rsidRPr="004B32F4" w:rsidRDefault="00000000" w:rsidP="00B52658">
            <w:pPr>
              <w:spacing w:before="0" w:after="0" w:line="240" w:lineRule="auto"/>
              <w:ind w:left="60" w:right="60"/>
              <w:jc w:val="right"/>
              <w:rPr>
                <w:sz w:val="22"/>
                <w:szCs w:val="22"/>
              </w:rPr>
            </w:pPr>
            <w:r w:rsidRPr="004B32F4">
              <w:rPr>
                <w:sz w:val="22"/>
                <w:szCs w:val="22"/>
              </w:rPr>
              <w:t>116</w:t>
            </w:r>
          </w:p>
        </w:tc>
      </w:tr>
      <w:tr w:rsidR="009E4375" w:rsidRPr="004B32F4" w14:paraId="10CF6E10" w14:textId="77777777" w:rsidTr="00226C41">
        <w:trPr>
          <w:trHeight w:val="230"/>
        </w:trPr>
        <w:tc>
          <w:tcPr>
            <w:tcW w:w="2325" w:type="dxa"/>
            <w:vMerge/>
            <w:tcBorders>
              <w:top w:val="single" w:sz="5" w:space="0" w:color="AEAEAE"/>
              <w:left w:val="nil"/>
              <w:bottom w:val="nil"/>
              <w:right w:val="nil"/>
            </w:tcBorders>
            <w:tcMar>
              <w:top w:w="100" w:type="dxa"/>
              <w:left w:w="100" w:type="dxa"/>
              <w:bottom w:w="100" w:type="dxa"/>
              <w:right w:w="100" w:type="dxa"/>
            </w:tcMar>
          </w:tcPr>
          <w:p w14:paraId="10CF6E0B" w14:textId="77777777" w:rsidR="009E4375" w:rsidRPr="004B32F4" w:rsidRDefault="009E4375" w:rsidP="00B52658">
            <w:pPr>
              <w:spacing w:before="0" w:after="0" w:line="240" w:lineRule="auto"/>
              <w:rPr>
                <w:sz w:val="22"/>
                <w:szCs w:val="22"/>
              </w:rPr>
            </w:pPr>
          </w:p>
        </w:tc>
        <w:tc>
          <w:tcPr>
            <w:tcW w:w="1575" w:type="dxa"/>
            <w:tcBorders>
              <w:top w:val="nil"/>
              <w:left w:val="nil"/>
              <w:bottom w:val="nil"/>
              <w:right w:val="nil"/>
            </w:tcBorders>
            <w:shd w:val="clear" w:color="auto" w:fill="E0E0E0"/>
            <w:tcMar>
              <w:top w:w="0" w:type="dxa"/>
              <w:left w:w="0" w:type="dxa"/>
              <w:bottom w:w="0" w:type="dxa"/>
              <w:right w:w="0" w:type="dxa"/>
            </w:tcMar>
          </w:tcPr>
          <w:p w14:paraId="10CF6E0C" w14:textId="77777777" w:rsidR="009E4375" w:rsidRPr="004B32F4" w:rsidRDefault="00000000" w:rsidP="00B52658">
            <w:pPr>
              <w:spacing w:before="0" w:after="0" w:line="240" w:lineRule="auto"/>
              <w:ind w:left="60" w:right="60"/>
              <w:rPr>
                <w:sz w:val="22"/>
                <w:szCs w:val="22"/>
              </w:rPr>
            </w:pPr>
            <w:r w:rsidRPr="004B32F4">
              <w:rPr>
                <w:sz w:val="22"/>
                <w:szCs w:val="22"/>
              </w:rPr>
              <w:t>Total</w:t>
            </w:r>
          </w:p>
        </w:tc>
        <w:tc>
          <w:tcPr>
            <w:tcW w:w="1245" w:type="dxa"/>
            <w:tcBorders>
              <w:top w:val="nil"/>
              <w:left w:val="nil"/>
              <w:bottom w:val="nil"/>
              <w:right w:val="single" w:sz="5" w:space="0" w:color="E0E0E0"/>
            </w:tcBorders>
            <w:shd w:val="clear" w:color="auto" w:fill="F9F9FB"/>
            <w:tcMar>
              <w:top w:w="0" w:type="dxa"/>
              <w:left w:w="0" w:type="dxa"/>
              <w:bottom w:w="0" w:type="dxa"/>
              <w:right w:w="0" w:type="dxa"/>
            </w:tcMar>
          </w:tcPr>
          <w:p w14:paraId="10CF6E0D" w14:textId="77777777" w:rsidR="009E4375" w:rsidRPr="004B32F4" w:rsidRDefault="00000000" w:rsidP="00B52658">
            <w:pPr>
              <w:spacing w:before="0" w:after="0" w:line="240" w:lineRule="auto"/>
              <w:ind w:left="60" w:right="60"/>
              <w:jc w:val="right"/>
              <w:rPr>
                <w:sz w:val="22"/>
                <w:szCs w:val="22"/>
              </w:rPr>
            </w:pPr>
            <w:r w:rsidRPr="004B32F4">
              <w:rPr>
                <w:sz w:val="22"/>
                <w:szCs w:val="22"/>
              </w:rPr>
              <w:t>50.0898</w:t>
            </w:r>
          </w:p>
        </w:tc>
        <w:tc>
          <w:tcPr>
            <w:tcW w:w="1890" w:type="dxa"/>
            <w:tcBorders>
              <w:top w:val="nil"/>
              <w:left w:val="nil"/>
              <w:bottom w:val="nil"/>
              <w:right w:val="single" w:sz="5" w:space="0" w:color="E0E0E0"/>
            </w:tcBorders>
            <w:shd w:val="clear" w:color="auto" w:fill="F9F9FB"/>
            <w:tcMar>
              <w:top w:w="0" w:type="dxa"/>
              <w:left w:w="0" w:type="dxa"/>
              <w:bottom w:w="0" w:type="dxa"/>
              <w:right w:w="0" w:type="dxa"/>
            </w:tcMar>
          </w:tcPr>
          <w:p w14:paraId="10CF6E0E" w14:textId="77777777" w:rsidR="009E4375" w:rsidRPr="004B32F4" w:rsidRDefault="00000000" w:rsidP="00B52658">
            <w:pPr>
              <w:spacing w:before="0" w:after="0" w:line="240" w:lineRule="auto"/>
              <w:ind w:left="60" w:right="60"/>
              <w:jc w:val="right"/>
              <w:rPr>
                <w:sz w:val="22"/>
                <w:szCs w:val="22"/>
              </w:rPr>
            </w:pPr>
            <w:r w:rsidRPr="004B32F4">
              <w:rPr>
                <w:sz w:val="22"/>
                <w:szCs w:val="22"/>
              </w:rPr>
              <w:t>25.03748</w:t>
            </w:r>
          </w:p>
        </w:tc>
        <w:tc>
          <w:tcPr>
            <w:tcW w:w="1095" w:type="dxa"/>
            <w:tcBorders>
              <w:top w:val="nil"/>
              <w:left w:val="nil"/>
              <w:bottom w:val="nil"/>
              <w:right w:val="nil"/>
            </w:tcBorders>
            <w:shd w:val="clear" w:color="auto" w:fill="F9F9FB"/>
            <w:tcMar>
              <w:top w:w="0" w:type="dxa"/>
              <w:left w:w="0" w:type="dxa"/>
              <w:bottom w:w="0" w:type="dxa"/>
              <w:right w:w="0" w:type="dxa"/>
            </w:tcMar>
          </w:tcPr>
          <w:p w14:paraId="10CF6E0F" w14:textId="77777777" w:rsidR="009E4375" w:rsidRPr="004B32F4" w:rsidRDefault="00000000" w:rsidP="00B52658">
            <w:pPr>
              <w:spacing w:before="0" w:after="0" w:line="240" w:lineRule="auto"/>
              <w:ind w:left="60" w:right="60"/>
              <w:jc w:val="right"/>
              <w:rPr>
                <w:sz w:val="22"/>
                <w:szCs w:val="22"/>
              </w:rPr>
            </w:pPr>
            <w:r w:rsidRPr="004B32F4">
              <w:rPr>
                <w:sz w:val="22"/>
                <w:szCs w:val="22"/>
              </w:rPr>
              <w:t>181</w:t>
            </w:r>
          </w:p>
        </w:tc>
      </w:tr>
      <w:tr w:rsidR="009E4375" w:rsidRPr="004B32F4" w14:paraId="10CF6E16" w14:textId="77777777" w:rsidTr="00226C41">
        <w:trPr>
          <w:trHeight w:val="231"/>
        </w:trPr>
        <w:tc>
          <w:tcPr>
            <w:tcW w:w="2325" w:type="dxa"/>
            <w:vMerge w:val="restart"/>
            <w:tcBorders>
              <w:top w:val="single" w:sz="5" w:space="0" w:color="AEAEAE"/>
              <w:left w:val="nil"/>
              <w:bottom w:val="single" w:sz="5" w:space="0" w:color="152935"/>
              <w:right w:val="nil"/>
            </w:tcBorders>
            <w:shd w:val="clear" w:color="auto" w:fill="E0E0E0"/>
            <w:tcMar>
              <w:top w:w="0" w:type="dxa"/>
              <w:left w:w="0" w:type="dxa"/>
              <w:bottom w:w="0" w:type="dxa"/>
              <w:right w:w="0" w:type="dxa"/>
            </w:tcMar>
          </w:tcPr>
          <w:p w14:paraId="10CF6E11" w14:textId="77777777" w:rsidR="009E4375" w:rsidRPr="004B32F4" w:rsidRDefault="00000000" w:rsidP="00B52658">
            <w:pPr>
              <w:spacing w:before="0" w:after="0" w:line="240" w:lineRule="auto"/>
              <w:ind w:left="60" w:right="60"/>
              <w:rPr>
                <w:sz w:val="22"/>
                <w:szCs w:val="22"/>
              </w:rPr>
            </w:pPr>
            <w:r w:rsidRPr="004B32F4">
              <w:rPr>
                <w:sz w:val="22"/>
                <w:szCs w:val="22"/>
              </w:rPr>
              <w:t>Participation</w:t>
            </w:r>
          </w:p>
        </w:tc>
        <w:tc>
          <w:tcPr>
            <w:tcW w:w="157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E12" w14:textId="77777777" w:rsidR="009E4375" w:rsidRPr="004B32F4" w:rsidRDefault="00000000" w:rsidP="00B52658">
            <w:pPr>
              <w:spacing w:before="0" w:after="0" w:line="240" w:lineRule="auto"/>
              <w:ind w:left="60" w:right="60"/>
              <w:rPr>
                <w:sz w:val="22"/>
                <w:szCs w:val="22"/>
              </w:rPr>
            </w:pPr>
            <w:r w:rsidRPr="004B32F4">
              <w:rPr>
                <w:sz w:val="22"/>
                <w:szCs w:val="22"/>
              </w:rPr>
              <w:t>BIM</w:t>
            </w:r>
          </w:p>
        </w:tc>
        <w:tc>
          <w:tcPr>
            <w:tcW w:w="124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13" w14:textId="77777777" w:rsidR="009E4375" w:rsidRPr="004B32F4" w:rsidRDefault="00000000" w:rsidP="00B52658">
            <w:pPr>
              <w:spacing w:before="0" w:after="0" w:line="240" w:lineRule="auto"/>
              <w:ind w:left="60" w:right="60"/>
              <w:jc w:val="right"/>
              <w:rPr>
                <w:sz w:val="22"/>
                <w:szCs w:val="22"/>
              </w:rPr>
            </w:pPr>
            <w:r w:rsidRPr="004B32F4">
              <w:rPr>
                <w:sz w:val="22"/>
                <w:szCs w:val="22"/>
              </w:rPr>
              <w:t>39.6923</w:t>
            </w:r>
          </w:p>
        </w:tc>
        <w:tc>
          <w:tcPr>
            <w:tcW w:w="189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14" w14:textId="77777777" w:rsidR="009E4375" w:rsidRPr="004B32F4" w:rsidRDefault="00000000" w:rsidP="00B52658">
            <w:pPr>
              <w:spacing w:before="0" w:after="0" w:line="240" w:lineRule="auto"/>
              <w:ind w:left="60" w:right="60"/>
              <w:jc w:val="right"/>
              <w:rPr>
                <w:sz w:val="22"/>
                <w:szCs w:val="22"/>
              </w:rPr>
            </w:pPr>
            <w:r w:rsidRPr="004B32F4">
              <w:rPr>
                <w:sz w:val="22"/>
                <w:szCs w:val="22"/>
              </w:rPr>
              <w:t>25.17745</w:t>
            </w:r>
          </w:p>
        </w:tc>
        <w:tc>
          <w:tcPr>
            <w:tcW w:w="109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E15" w14:textId="77777777" w:rsidR="009E4375" w:rsidRPr="004B32F4" w:rsidRDefault="00000000" w:rsidP="00B52658">
            <w:pPr>
              <w:spacing w:before="0" w:after="0" w:line="240" w:lineRule="auto"/>
              <w:ind w:left="60" w:right="60"/>
              <w:jc w:val="right"/>
              <w:rPr>
                <w:sz w:val="22"/>
                <w:szCs w:val="22"/>
              </w:rPr>
            </w:pPr>
            <w:r w:rsidRPr="004B32F4">
              <w:rPr>
                <w:sz w:val="22"/>
                <w:szCs w:val="22"/>
              </w:rPr>
              <w:t>65</w:t>
            </w:r>
          </w:p>
        </w:tc>
      </w:tr>
      <w:tr w:rsidR="009E4375" w:rsidRPr="004B32F4" w14:paraId="10CF6E1C" w14:textId="77777777" w:rsidTr="00226C41">
        <w:trPr>
          <w:trHeight w:val="131"/>
        </w:trPr>
        <w:tc>
          <w:tcPr>
            <w:tcW w:w="2325" w:type="dxa"/>
            <w:vMerge/>
            <w:tcBorders>
              <w:top w:val="single" w:sz="5" w:space="0" w:color="AEAEAE"/>
              <w:left w:val="nil"/>
              <w:bottom w:val="single" w:sz="5" w:space="0" w:color="152935"/>
              <w:right w:val="nil"/>
            </w:tcBorders>
            <w:tcMar>
              <w:top w:w="100" w:type="dxa"/>
              <w:left w:w="100" w:type="dxa"/>
              <w:bottom w:w="100" w:type="dxa"/>
              <w:right w:w="100" w:type="dxa"/>
            </w:tcMar>
          </w:tcPr>
          <w:p w14:paraId="10CF6E17" w14:textId="77777777" w:rsidR="009E4375" w:rsidRPr="004B32F4" w:rsidRDefault="009E4375" w:rsidP="00B52658">
            <w:pPr>
              <w:spacing w:before="0" w:after="0" w:line="240" w:lineRule="auto"/>
              <w:rPr>
                <w:sz w:val="22"/>
                <w:szCs w:val="22"/>
              </w:rPr>
            </w:pPr>
          </w:p>
        </w:tc>
        <w:tc>
          <w:tcPr>
            <w:tcW w:w="1575" w:type="dxa"/>
            <w:tcBorders>
              <w:top w:val="nil"/>
              <w:left w:val="nil"/>
              <w:bottom w:val="single" w:sz="5" w:space="0" w:color="AEAEAE"/>
              <w:right w:val="nil"/>
            </w:tcBorders>
            <w:shd w:val="clear" w:color="auto" w:fill="E0E0E0"/>
            <w:tcMar>
              <w:top w:w="0" w:type="dxa"/>
              <w:left w:w="0" w:type="dxa"/>
              <w:bottom w:w="0" w:type="dxa"/>
              <w:right w:w="0" w:type="dxa"/>
            </w:tcMar>
          </w:tcPr>
          <w:p w14:paraId="10CF6E18" w14:textId="77777777" w:rsidR="009E4375" w:rsidRPr="004B32F4" w:rsidRDefault="00000000" w:rsidP="00B52658">
            <w:pPr>
              <w:spacing w:before="0" w:after="0" w:line="240" w:lineRule="auto"/>
              <w:ind w:left="60" w:right="60"/>
              <w:rPr>
                <w:sz w:val="22"/>
                <w:szCs w:val="22"/>
              </w:rPr>
            </w:pPr>
            <w:r w:rsidRPr="004B32F4">
              <w:rPr>
                <w:sz w:val="22"/>
                <w:szCs w:val="22"/>
              </w:rPr>
              <w:t>KTBM</w:t>
            </w:r>
          </w:p>
        </w:tc>
        <w:tc>
          <w:tcPr>
            <w:tcW w:w="124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19" w14:textId="77777777" w:rsidR="009E4375" w:rsidRPr="004B32F4" w:rsidRDefault="00000000" w:rsidP="00B52658">
            <w:pPr>
              <w:spacing w:before="0" w:after="0" w:line="240" w:lineRule="auto"/>
              <w:ind w:left="60" w:right="60"/>
              <w:jc w:val="right"/>
              <w:rPr>
                <w:sz w:val="22"/>
                <w:szCs w:val="22"/>
              </w:rPr>
            </w:pPr>
            <w:r w:rsidRPr="004B32F4">
              <w:rPr>
                <w:sz w:val="22"/>
                <w:szCs w:val="22"/>
              </w:rPr>
              <w:t>39.9741</w:t>
            </w:r>
          </w:p>
        </w:tc>
        <w:tc>
          <w:tcPr>
            <w:tcW w:w="18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1A" w14:textId="77777777" w:rsidR="009E4375" w:rsidRPr="004B32F4" w:rsidRDefault="00000000" w:rsidP="00B52658">
            <w:pPr>
              <w:spacing w:before="0" w:after="0" w:line="240" w:lineRule="auto"/>
              <w:ind w:left="60" w:right="60"/>
              <w:jc w:val="right"/>
              <w:rPr>
                <w:sz w:val="22"/>
                <w:szCs w:val="22"/>
              </w:rPr>
            </w:pPr>
            <w:r w:rsidRPr="004B32F4">
              <w:rPr>
                <w:sz w:val="22"/>
                <w:szCs w:val="22"/>
              </w:rPr>
              <w:t>22.10153</w:t>
            </w:r>
          </w:p>
        </w:tc>
        <w:tc>
          <w:tcPr>
            <w:tcW w:w="1095" w:type="dxa"/>
            <w:tcBorders>
              <w:top w:val="nil"/>
              <w:left w:val="nil"/>
              <w:bottom w:val="single" w:sz="5" w:space="0" w:color="AEAEAE"/>
              <w:right w:val="nil"/>
            </w:tcBorders>
            <w:shd w:val="clear" w:color="auto" w:fill="F9F9FB"/>
            <w:tcMar>
              <w:top w:w="0" w:type="dxa"/>
              <w:left w:w="0" w:type="dxa"/>
              <w:bottom w:w="0" w:type="dxa"/>
              <w:right w:w="0" w:type="dxa"/>
            </w:tcMar>
          </w:tcPr>
          <w:p w14:paraId="10CF6E1B" w14:textId="77777777" w:rsidR="009E4375" w:rsidRPr="004B32F4" w:rsidRDefault="00000000" w:rsidP="00B52658">
            <w:pPr>
              <w:spacing w:before="0" w:after="0" w:line="240" w:lineRule="auto"/>
              <w:ind w:left="60" w:right="60"/>
              <w:jc w:val="right"/>
              <w:rPr>
                <w:sz w:val="22"/>
                <w:szCs w:val="22"/>
              </w:rPr>
            </w:pPr>
            <w:r w:rsidRPr="004B32F4">
              <w:rPr>
                <w:sz w:val="22"/>
                <w:szCs w:val="22"/>
              </w:rPr>
              <w:t>116</w:t>
            </w:r>
          </w:p>
        </w:tc>
      </w:tr>
      <w:tr w:rsidR="009E4375" w:rsidRPr="004B32F4" w14:paraId="10CF6E22" w14:textId="77777777" w:rsidTr="00226C41">
        <w:trPr>
          <w:trHeight w:val="20"/>
        </w:trPr>
        <w:tc>
          <w:tcPr>
            <w:tcW w:w="2325" w:type="dxa"/>
            <w:vMerge/>
            <w:tcBorders>
              <w:top w:val="single" w:sz="5" w:space="0" w:color="AEAEAE"/>
              <w:left w:val="nil"/>
              <w:bottom w:val="single" w:sz="5" w:space="0" w:color="152935"/>
              <w:right w:val="nil"/>
            </w:tcBorders>
            <w:tcMar>
              <w:top w:w="100" w:type="dxa"/>
              <w:left w:w="100" w:type="dxa"/>
              <w:bottom w:w="100" w:type="dxa"/>
              <w:right w:w="100" w:type="dxa"/>
            </w:tcMar>
          </w:tcPr>
          <w:p w14:paraId="10CF6E1D" w14:textId="77777777" w:rsidR="009E4375" w:rsidRPr="004B32F4" w:rsidRDefault="009E4375" w:rsidP="00B52658">
            <w:pPr>
              <w:spacing w:before="0" w:after="0" w:line="240" w:lineRule="auto"/>
              <w:rPr>
                <w:sz w:val="22"/>
                <w:szCs w:val="22"/>
              </w:rPr>
            </w:pPr>
          </w:p>
        </w:tc>
        <w:tc>
          <w:tcPr>
            <w:tcW w:w="1575" w:type="dxa"/>
            <w:tcBorders>
              <w:top w:val="nil"/>
              <w:left w:val="nil"/>
              <w:bottom w:val="single" w:sz="5" w:space="0" w:color="152935"/>
              <w:right w:val="nil"/>
            </w:tcBorders>
            <w:shd w:val="clear" w:color="auto" w:fill="E0E0E0"/>
            <w:tcMar>
              <w:top w:w="0" w:type="dxa"/>
              <w:left w:w="0" w:type="dxa"/>
              <w:bottom w:w="0" w:type="dxa"/>
              <w:right w:w="0" w:type="dxa"/>
            </w:tcMar>
          </w:tcPr>
          <w:p w14:paraId="10CF6E1E" w14:textId="77777777" w:rsidR="009E4375" w:rsidRPr="004B32F4" w:rsidRDefault="00000000" w:rsidP="00B52658">
            <w:pPr>
              <w:spacing w:before="0" w:after="0" w:line="240" w:lineRule="auto"/>
              <w:ind w:left="60" w:right="60"/>
              <w:rPr>
                <w:sz w:val="22"/>
                <w:szCs w:val="22"/>
              </w:rPr>
            </w:pPr>
            <w:r w:rsidRPr="004B32F4">
              <w:rPr>
                <w:sz w:val="22"/>
                <w:szCs w:val="22"/>
              </w:rPr>
              <w:t>Total</w:t>
            </w:r>
          </w:p>
        </w:tc>
        <w:tc>
          <w:tcPr>
            <w:tcW w:w="1245"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1F" w14:textId="77777777" w:rsidR="009E4375" w:rsidRPr="004B32F4" w:rsidRDefault="00000000" w:rsidP="00B52658">
            <w:pPr>
              <w:spacing w:before="0" w:after="0" w:line="240" w:lineRule="auto"/>
              <w:ind w:left="60" w:right="60"/>
              <w:jc w:val="right"/>
              <w:rPr>
                <w:sz w:val="22"/>
                <w:szCs w:val="22"/>
              </w:rPr>
            </w:pPr>
            <w:r w:rsidRPr="004B32F4">
              <w:rPr>
                <w:sz w:val="22"/>
                <w:szCs w:val="22"/>
              </w:rPr>
              <w:t>39.8729</w:t>
            </w:r>
          </w:p>
        </w:tc>
        <w:tc>
          <w:tcPr>
            <w:tcW w:w="189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20" w14:textId="77777777" w:rsidR="009E4375" w:rsidRPr="004B32F4" w:rsidRDefault="00000000" w:rsidP="00B52658">
            <w:pPr>
              <w:spacing w:before="0" w:after="0" w:line="240" w:lineRule="auto"/>
              <w:ind w:left="60" w:right="60"/>
              <w:jc w:val="right"/>
              <w:rPr>
                <w:sz w:val="22"/>
                <w:szCs w:val="22"/>
              </w:rPr>
            </w:pPr>
            <w:r w:rsidRPr="004B32F4">
              <w:rPr>
                <w:sz w:val="22"/>
                <w:szCs w:val="22"/>
              </w:rPr>
              <w:t>23.18382</w:t>
            </w:r>
          </w:p>
        </w:tc>
        <w:tc>
          <w:tcPr>
            <w:tcW w:w="1095" w:type="dxa"/>
            <w:tcBorders>
              <w:top w:val="nil"/>
              <w:left w:val="nil"/>
              <w:bottom w:val="single" w:sz="5" w:space="0" w:color="152935"/>
              <w:right w:val="nil"/>
            </w:tcBorders>
            <w:shd w:val="clear" w:color="auto" w:fill="F9F9FB"/>
            <w:tcMar>
              <w:top w:w="0" w:type="dxa"/>
              <w:left w:w="0" w:type="dxa"/>
              <w:bottom w:w="0" w:type="dxa"/>
              <w:right w:w="0" w:type="dxa"/>
            </w:tcMar>
          </w:tcPr>
          <w:p w14:paraId="10CF6E21" w14:textId="77777777" w:rsidR="009E4375" w:rsidRPr="004B32F4" w:rsidRDefault="00000000" w:rsidP="00B52658">
            <w:pPr>
              <w:spacing w:before="0" w:after="0" w:line="240" w:lineRule="auto"/>
              <w:ind w:left="60" w:right="60"/>
              <w:jc w:val="right"/>
              <w:rPr>
                <w:sz w:val="22"/>
                <w:szCs w:val="22"/>
              </w:rPr>
            </w:pPr>
            <w:r w:rsidRPr="004B32F4">
              <w:rPr>
                <w:sz w:val="22"/>
                <w:szCs w:val="22"/>
              </w:rPr>
              <w:t>181</w:t>
            </w:r>
          </w:p>
        </w:tc>
      </w:tr>
    </w:tbl>
    <w:p w14:paraId="10CF6E26" w14:textId="77777777" w:rsidR="009E4375" w:rsidRPr="004B32F4" w:rsidRDefault="009E4375" w:rsidP="00103E29">
      <w:pPr>
        <w:spacing w:before="0" w:after="0" w:line="240" w:lineRule="auto"/>
        <w:rPr>
          <w:b/>
          <w:bCs/>
          <w:sz w:val="22"/>
          <w:szCs w:val="22"/>
        </w:rPr>
      </w:pPr>
    </w:p>
    <w:p w14:paraId="7696F464" w14:textId="77777777" w:rsidR="00103E29" w:rsidRPr="00103E29" w:rsidRDefault="00103E29" w:rsidP="00103E29">
      <w:pPr>
        <w:spacing w:before="0" w:after="0" w:line="240" w:lineRule="auto"/>
        <w:rPr>
          <w:b/>
          <w:bCs/>
        </w:rPr>
      </w:pPr>
    </w:p>
    <w:p w14:paraId="10CF6E27" w14:textId="77777777" w:rsidR="009E4375" w:rsidRDefault="00000000">
      <w:pPr>
        <w:spacing w:before="0" w:line="276" w:lineRule="auto"/>
        <w:rPr>
          <w:b/>
          <w:bCs/>
        </w:rPr>
      </w:pPr>
      <w:r>
        <w:rPr>
          <w:b/>
          <w:bCs/>
        </w:rPr>
        <w:t>Table 17</w:t>
      </w:r>
    </w:p>
    <w:p w14:paraId="10CF6E28" w14:textId="77777777" w:rsidR="009E4375" w:rsidRDefault="00000000">
      <w:pPr>
        <w:spacing w:before="0" w:after="0" w:line="276" w:lineRule="auto"/>
        <w:rPr>
          <w:i/>
          <w:iCs/>
        </w:rPr>
      </w:pPr>
      <w:r>
        <w:rPr>
          <w:i/>
          <w:iCs/>
        </w:rPr>
        <w:t>A Multivariate Analysis of Variance (MANOVA) on the Type of Signed Communication at Home</w:t>
      </w:r>
    </w:p>
    <w:tbl>
      <w:tblPr>
        <w:tblStyle w:val="af"/>
        <w:tblW w:w="93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140"/>
        <w:gridCol w:w="1830"/>
        <w:gridCol w:w="885"/>
        <w:gridCol w:w="1185"/>
        <w:gridCol w:w="1260"/>
        <w:gridCol w:w="990"/>
        <w:gridCol w:w="900"/>
        <w:gridCol w:w="1200"/>
      </w:tblGrid>
      <w:tr w:rsidR="009E4375" w14:paraId="10CF6E2A" w14:textId="77777777">
        <w:trPr>
          <w:trHeight w:val="390"/>
        </w:trPr>
        <w:tc>
          <w:tcPr>
            <w:tcW w:w="9390" w:type="dxa"/>
            <w:gridSpan w:val="8"/>
            <w:tcBorders>
              <w:top w:val="nil"/>
              <w:left w:val="nil"/>
              <w:bottom w:val="nil"/>
              <w:right w:val="nil"/>
            </w:tcBorders>
            <w:shd w:val="clear" w:color="auto" w:fill="FFFFFF"/>
            <w:tcMar>
              <w:top w:w="0" w:type="dxa"/>
              <w:left w:w="0" w:type="dxa"/>
              <w:bottom w:w="0" w:type="dxa"/>
              <w:right w:w="0" w:type="dxa"/>
            </w:tcMar>
          </w:tcPr>
          <w:p w14:paraId="10CF6E29" w14:textId="77777777" w:rsidR="009E4375" w:rsidRPr="00103E29" w:rsidRDefault="00000000" w:rsidP="00103E29">
            <w:pPr>
              <w:spacing w:before="0" w:after="0" w:line="240" w:lineRule="auto"/>
              <w:ind w:left="60" w:right="60"/>
              <w:jc w:val="center"/>
              <w:rPr>
                <w:sz w:val="22"/>
                <w:szCs w:val="22"/>
                <w:vertAlign w:val="superscript"/>
              </w:rPr>
            </w:pPr>
            <w:r w:rsidRPr="00103E29">
              <w:rPr>
                <w:sz w:val="22"/>
                <w:szCs w:val="22"/>
              </w:rPr>
              <w:t xml:space="preserve">Multivariate </w:t>
            </w:r>
            <w:proofErr w:type="spellStart"/>
            <w:r w:rsidRPr="00103E29">
              <w:rPr>
                <w:sz w:val="22"/>
                <w:szCs w:val="22"/>
              </w:rPr>
              <w:t>Tests</w:t>
            </w:r>
            <w:r w:rsidRPr="00103E29">
              <w:rPr>
                <w:sz w:val="22"/>
                <w:szCs w:val="22"/>
                <w:vertAlign w:val="superscript"/>
              </w:rPr>
              <w:t>a</w:t>
            </w:r>
            <w:proofErr w:type="spellEnd"/>
          </w:p>
        </w:tc>
      </w:tr>
      <w:tr w:rsidR="009E4375" w14:paraId="10CF6E32" w14:textId="77777777" w:rsidTr="00D45233">
        <w:trPr>
          <w:trHeight w:val="477"/>
        </w:trPr>
        <w:tc>
          <w:tcPr>
            <w:tcW w:w="2970" w:type="dxa"/>
            <w:gridSpan w:val="2"/>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E2B" w14:textId="77777777" w:rsidR="009E4375" w:rsidRPr="00103E29" w:rsidRDefault="00000000" w:rsidP="00103E29">
            <w:pPr>
              <w:spacing w:before="0" w:after="0" w:line="240" w:lineRule="auto"/>
              <w:ind w:left="60" w:right="60"/>
              <w:rPr>
                <w:sz w:val="22"/>
                <w:szCs w:val="22"/>
              </w:rPr>
            </w:pPr>
            <w:r w:rsidRPr="00103E29">
              <w:rPr>
                <w:sz w:val="22"/>
                <w:szCs w:val="22"/>
              </w:rPr>
              <w:t>Effect</w:t>
            </w:r>
          </w:p>
        </w:tc>
        <w:tc>
          <w:tcPr>
            <w:tcW w:w="885"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E2C" w14:textId="77777777" w:rsidR="009E4375" w:rsidRPr="00103E29" w:rsidRDefault="00000000" w:rsidP="00103E29">
            <w:pPr>
              <w:spacing w:before="0" w:after="0" w:line="240" w:lineRule="auto"/>
              <w:ind w:left="60" w:right="60"/>
              <w:jc w:val="center"/>
              <w:rPr>
                <w:sz w:val="22"/>
                <w:szCs w:val="22"/>
              </w:rPr>
            </w:pPr>
            <w:r w:rsidRPr="00103E29">
              <w:rPr>
                <w:sz w:val="22"/>
                <w:szCs w:val="22"/>
              </w:rPr>
              <w:t>Value</w:t>
            </w:r>
          </w:p>
        </w:tc>
        <w:tc>
          <w:tcPr>
            <w:tcW w:w="1185"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E2D" w14:textId="77777777" w:rsidR="009E4375" w:rsidRPr="00103E29" w:rsidRDefault="00000000" w:rsidP="00103E29">
            <w:pPr>
              <w:spacing w:before="0" w:after="0" w:line="240" w:lineRule="auto"/>
              <w:ind w:left="60" w:right="60"/>
              <w:jc w:val="center"/>
              <w:rPr>
                <w:sz w:val="22"/>
                <w:szCs w:val="22"/>
              </w:rPr>
            </w:pPr>
            <w:r w:rsidRPr="00103E29">
              <w:rPr>
                <w:sz w:val="22"/>
                <w:szCs w:val="22"/>
              </w:rPr>
              <w:t>F</w:t>
            </w:r>
          </w:p>
        </w:tc>
        <w:tc>
          <w:tcPr>
            <w:tcW w:w="126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E2E" w14:textId="77777777" w:rsidR="009E4375" w:rsidRPr="00103E29" w:rsidRDefault="00000000" w:rsidP="00103E29">
            <w:pPr>
              <w:spacing w:before="0" w:after="0" w:line="240" w:lineRule="auto"/>
              <w:ind w:left="60" w:right="60"/>
              <w:jc w:val="center"/>
              <w:rPr>
                <w:sz w:val="22"/>
                <w:szCs w:val="22"/>
              </w:rPr>
            </w:pPr>
            <w:r w:rsidRPr="00103E29">
              <w:rPr>
                <w:sz w:val="22"/>
                <w:szCs w:val="22"/>
              </w:rPr>
              <w:t xml:space="preserve">Hypothesis </w:t>
            </w:r>
            <w:proofErr w:type="spellStart"/>
            <w:r w:rsidRPr="00103E29">
              <w:rPr>
                <w:sz w:val="22"/>
                <w:szCs w:val="22"/>
              </w:rPr>
              <w:t>df</w:t>
            </w:r>
            <w:proofErr w:type="spellEnd"/>
          </w:p>
        </w:tc>
        <w:tc>
          <w:tcPr>
            <w:tcW w:w="99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E2F" w14:textId="77777777" w:rsidR="009E4375" w:rsidRPr="00103E29" w:rsidRDefault="00000000" w:rsidP="00103E29">
            <w:pPr>
              <w:spacing w:before="0" w:after="0" w:line="240" w:lineRule="auto"/>
              <w:ind w:left="60" w:right="60"/>
              <w:jc w:val="center"/>
              <w:rPr>
                <w:sz w:val="22"/>
                <w:szCs w:val="22"/>
              </w:rPr>
            </w:pPr>
            <w:r w:rsidRPr="00103E29">
              <w:rPr>
                <w:sz w:val="22"/>
                <w:szCs w:val="22"/>
              </w:rPr>
              <w:t xml:space="preserve">Error </w:t>
            </w:r>
            <w:proofErr w:type="spellStart"/>
            <w:r w:rsidRPr="00103E29">
              <w:rPr>
                <w:sz w:val="22"/>
                <w:szCs w:val="22"/>
              </w:rPr>
              <w:t>df</w:t>
            </w:r>
            <w:proofErr w:type="spellEnd"/>
          </w:p>
        </w:tc>
        <w:tc>
          <w:tcPr>
            <w:tcW w:w="90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E30" w14:textId="77777777" w:rsidR="009E4375" w:rsidRPr="00103E29" w:rsidRDefault="00000000" w:rsidP="00103E29">
            <w:pPr>
              <w:spacing w:before="0" w:after="0" w:line="240" w:lineRule="auto"/>
              <w:ind w:left="60" w:right="60"/>
              <w:jc w:val="center"/>
              <w:rPr>
                <w:sz w:val="22"/>
                <w:szCs w:val="22"/>
              </w:rPr>
            </w:pPr>
            <w:r w:rsidRPr="00103E29">
              <w:rPr>
                <w:sz w:val="22"/>
                <w:szCs w:val="22"/>
              </w:rPr>
              <w:t>Sig.</w:t>
            </w:r>
          </w:p>
        </w:tc>
        <w:tc>
          <w:tcPr>
            <w:tcW w:w="120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E31" w14:textId="77777777" w:rsidR="009E4375" w:rsidRPr="00103E29" w:rsidRDefault="00000000" w:rsidP="00103E29">
            <w:pPr>
              <w:spacing w:before="0" w:after="0" w:line="240" w:lineRule="auto"/>
              <w:ind w:left="60" w:right="60"/>
              <w:jc w:val="center"/>
              <w:rPr>
                <w:sz w:val="22"/>
                <w:szCs w:val="22"/>
              </w:rPr>
            </w:pPr>
            <w:r w:rsidRPr="00103E29">
              <w:rPr>
                <w:sz w:val="22"/>
                <w:szCs w:val="22"/>
              </w:rPr>
              <w:t>Partial Eta Squared</w:t>
            </w:r>
          </w:p>
        </w:tc>
      </w:tr>
      <w:tr w:rsidR="009E4375" w14:paraId="10CF6E3B" w14:textId="77777777" w:rsidTr="004B32F4">
        <w:trPr>
          <w:trHeight w:val="405"/>
        </w:trPr>
        <w:tc>
          <w:tcPr>
            <w:tcW w:w="1140" w:type="dxa"/>
            <w:vMerge w:val="restart"/>
            <w:tcBorders>
              <w:top w:val="nil"/>
              <w:left w:val="nil"/>
              <w:bottom w:val="nil"/>
              <w:right w:val="nil"/>
            </w:tcBorders>
            <w:shd w:val="clear" w:color="auto" w:fill="E0E0E0"/>
            <w:tcMar>
              <w:top w:w="0" w:type="dxa"/>
              <w:left w:w="0" w:type="dxa"/>
              <w:bottom w:w="0" w:type="dxa"/>
              <w:right w:w="0" w:type="dxa"/>
            </w:tcMar>
          </w:tcPr>
          <w:p w14:paraId="10CF6E33" w14:textId="77777777" w:rsidR="009E4375" w:rsidRPr="00103E29" w:rsidRDefault="00000000" w:rsidP="00103E29">
            <w:pPr>
              <w:spacing w:before="0" w:after="0" w:line="240" w:lineRule="auto"/>
              <w:ind w:left="60" w:right="60"/>
              <w:rPr>
                <w:sz w:val="22"/>
                <w:szCs w:val="22"/>
              </w:rPr>
            </w:pPr>
            <w:r w:rsidRPr="00103E29">
              <w:rPr>
                <w:sz w:val="22"/>
                <w:szCs w:val="22"/>
              </w:rPr>
              <w:t>Intercept</w:t>
            </w:r>
          </w:p>
        </w:tc>
        <w:tc>
          <w:tcPr>
            <w:tcW w:w="1830" w:type="dxa"/>
            <w:tcBorders>
              <w:top w:val="nil"/>
              <w:left w:val="nil"/>
              <w:bottom w:val="single" w:sz="5" w:space="0" w:color="AEAEAE"/>
              <w:right w:val="nil"/>
            </w:tcBorders>
            <w:shd w:val="clear" w:color="auto" w:fill="E0E0E0"/>
            <w:tcMar>
              <w:top w:w="0" w:type="dxa"/>
              <w:left w:w="0" w:type="dxa"/>
              <w:bottom w:w="0" w:type="dxa"/>
              <w:right w:w="0" w:type="dxa"/>
            </w:tcMar>
          </w:tcPr>
          <w:p w14:paraId="10CF6E34" w14:textId="77777777" w:rsidR="009E4375" w:rsidRPr="00103E29" w:rsidRDefault="00000000" w:rsidP="00103E29">
            <w:pPr>
              <w:spacing w:before="0" w:after="0" w:line="240" w:lineRule="auto"/>
              <w:ind w:left="60" w:right="60"/>
              <w:rPr>
                <w:sz w:val="22"/>
                <w:szCs w:val="22"/>
              </w:rPr>
            </w:pPr>
            <w:r w:rsidRPr="00103E29">
              <w:rPr>
                <w:sz w:val="22"/>
                <w:szCs w:val="22"/>
              </w:rPr>
              <w:t>Pillai's Trace</w:t>
            </w:r>
          </w:p>
        </w:tc>
        <w:tc>
          <w:tcPr>
            <w:tcW w:w="8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5" w14:textId="77777777" w:rsidR="009E4375" w:rsidRPr="00103E29" w:rsidRDefault="00000000" w:rsidP="00103E29">
            <w:pPr>
              <w:spacing w:before="0" w:after="0" w:line="240" w:lineRule="auto"/>
              <w:ind w:left="60" w:right="60"/>
              <w:jc w:val="right"/>
              <w:rPr>
                <w:sz w:val="22"/>
                <w:szCs w:val="22"/>
              </w:rPr>
            </w:pPr>
            <w:r w:rsidRPr="00103E29">
              <w:rPr>
                <w:sz w:val="22"/>
                <w:szCs w:val="22"/>
              </w:rPr>
              <w:t>.961</w:t>
            </w:r>
          </w:p>
        </w:tc>
        <w:tc>
          <w:tcPr>
            <w:tcW w:w="11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6"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1462.048</w:t>
            </w:r>
            <w:r w:rsidRPr="00103E29">
              <w:rPr>
                <w:sz w:val="22"/>
                <w:szCs w:val="22"/>
                <w:vertAlign w:val="superscript"/>
              </w:rPr>
              <w:t>b</w:t>
            </w:r>
          </w:p>
        </w:tc>
        <w:tc>
          <w:tcPr>
            <w:tcW w:w="126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7"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8"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9" w14:textId="77777777" w:rsidR="009E4375" w:rsidRPr="00103E29" w:rsidRDefault="00000000" w:rsidP="00103E29">
            <w:pPr>
              <w:spacing w:before="0" w:after="0" w:line="240" w:lineRule="auto"/>
              <w:ind w:left="60" w:right="60"/>
              <w:jc w:val="right"/>
              <w:rPr>
                <w:sz w:val="22"/>
                <w:szCs w:val="22"/>
              </w:rPr>
            </w:pPr>
            <w:r w:rsidRPr="00103E29">
              <w:rPr>
                <w:sz w:val="22"/>
                <w:szCs w:val="22"/>
              </w:rPr>
              <w:t>&lt;.001</w:t>
            </w:r>
          </w:p>
        </w:tc>
        <w:tc>
          <w:tcPr>
            <w:tcW w:w="1200" w:type="dxa"/>
            <w:tcBorders>
              <w:top w:val="nil"/>
              <w:left w:val="nil"/>
              <w:bottom w:val="single" w:sz="5" w:space="0" w:color="AEAEAE"/>
              <w:right w:val="nil"/>
            </w:tcBorders>
            <w:shd w:val="clear" w:color="auto" w:fill="F9F9FB"/>
            <w:tcMar>
              <w:top w:w="0" w:type="dxa"/>
              <w:left w:w="0" w:type="dxa"/>
              <w:bottom w:w="0" w:type="dxa"/>
              <w:right w:w="0" w:type="dxa"/>
            </w:tcMar>
          </w:tcPr>
          <w:p w14:paraId="10CF6E3A" w14:textId="77777777" w:rsidR="009E4375" w:rsidRPr="00103E29" w:rsidRDefault="00000000" w:rsidP="00103E29">
            <w:pPr>
              <w:spacing w:before="0" w:after="0" w:line="240" w:lineRule="auto"/>
              <w:ind w:left="60" w:right="60"/>
              <w:jc w:val="right"/>
              <w:rPr>
                <w:sz w:val="22"/>
                <w:szCs w:val="22"/>
              </w:rPr>
            </w:pPr>
            <w:r w:rsidRPr="00103E29">
              <w:rPr>
                <w:sz w:val="22"/>
                <w:szCs w:val="22"/>
              </w:rPr>
              <w:t>.961</w:t>
            </w:r>
          </w:p>
        </w:tc>
      </w:tr>
      <w:tr w:rsidR="009E4375" w14:paraId="10CF6E44" w14:textId="77777777" w:rsidTr="004B32F4">
        <w:trPr>
          <w:trHeight w:val="305"/>
        </w:trPr>
        <w:tc>
          <w:tcPr>
            <w:tcW w:w="1140" w:type="dxa"/>
            <w:vMerge/>
            <w:tcBorders>
              <w:top w:val="nil"/>
              <w:left w:val="nil"/>
              <w:bottom w:val="nil"/>
              <w:right w:val="nil"/>
            </w:tcBorders>
            <w:tcMar>
              <w:top w:w="100" w:type="dxa"/>
              <w:left w:w="100" w:type="dxa"/>
              <w:bottom w:w="100" w:type="dxa"/>
              <w:right w:w="100" w:type="dxa"/>
            </w:tcMar>
          </w:tcPr>
          <w:p w14:paraId="10CF6E3C" w14:textId="77777777" w:rsidR="009E4375" w:rsidRPr="00103E29" w:rsidRDefault="009E4375" w:rsidP="00103E29">
            <w:pPr>
              <w:spacing w:before="0" w:after="0" w:line="240" w:lineRule="auto"/>
              <w:rPr>
                <w:sz w:val="22"/>
                <w:szCs w:val="22"/>
              </w:rPr>
            </w:pPr>
          </w:p>
        </w:tc>
        <w:tc>
          <w:tcPr>
            <w:tcW w:w="1830" w:type="dxa"/>
            <w:tcBorders>
              <w:top w:val="nil"/>
              <w:left w:val="nil"/>
              <w:bottom w:val="single" w:sz="5" w:space="0" w:color="AEAEAE"/>
              <w:right w:val="nil"/>
            </w:tcBorders>
            <w:shd w:val="clear" w:color="auto" w:fill="E0E0E0"/>
            <w:tcMar>
              <w:top w:w="0" w:type="dxa"/>
              <w:left w:w="0" w:type="dxa"/>
              <w:bottom w:w="0" w:type="dxa"/>
              <w:right w:w="0" w:type="dxa"/>
            </w:tcMar>
          </w:tcPr>
          <w:p w14:paraId="10CF6E3D" w14:textId="77777777" w:rsidR="009E4375" w:rsidRPr="00103E29" w:rsidRDefault="00000000" w:rsidP="00103E29">
            <w:pPr>
              <w:spacing w:before="0" w:after="0" w:line="240" w:lineRule="auto"/>
              <w:ind w:left="60" w:right="60"/>
              <w:rPr>
                <w:sz w:val="22"/>
                <w:szCs w:val="22"/>
              </w:rPr>
            </w:pPr>
            <w:r w:rsidRPr="00103E29">
              <w:rPr>
                <w:sz w:val="22"/>
                <w:szCs w:val="22"/>
              </w:rPr>
              <w:t>Wilks' Lambda</w:t>
            </w:r>
          </w:p>
        </w:tc>
        <w:tc>
          <w:tcPr>
            <w:tcW w:w="8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E" w14:textId="77777777" w:rsidR="009E4375" w:rsidRPr="00103E29" w:rsidRDefault="00000000" w:rsidP="00103E29">
            <w:pPr>
              <w:spacing w:before="0" w:after="0" w:line="240" w:lineRule="auto"/>
              <w:ind w:left="60" w:right="60"/>
              <w:jc w:val="right"/>
              <w:rPr>
                <w:sz w:val="22"/>
                <w:szCs w:val="22"/>
              </w:rPr>
            </w:pPr>
            <w:r w:rsidRPr="00103E29">
              <w:rPr>
                <w:sz w:val="22"/>
                <w:szCs w:val="22"/>
              </w:rPr>
              <w:t>.039</w:t>
            </w:r>
          </w:p>
        </w:tc>
        <w:tc>
          <w:tcPr>
            <w:tcW w:w="11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3F"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1462.048</w:t>
            </w:r>
            <w:r w:rsidRPr="00103E29">
              <w:rPr>
                <w:sz w:val="22"/>
                <w:szCs w:val="22"/>
                <w:vertAlign w:val="superscript"/>
              </w:rPr>
              <w:t>b</w:t>
            </w:r>
          </w:p>
        </w:tc>
        <w:tc>
          <w:tcPr>
            <w:tcW w:w="126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0"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1"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2" w14:textId="77777777" w:rsidR="009E4375" w:rsidRPr="00103E29" w:rsidRDefault="00000000" w:rsidP="00103E29">
            <w:pPr>
              <w:spacing w:before="0" w:after="0" w:line="240" w:lineRule="auto"/>
              <w:ind w:left="60" w:right="60"/>
              <w:jc w:val="right"/>
              <w:rPr>
                <w:sz w:val="22"/>
                <w:szCs w:val="22"/>
              </w:rPr>
            </w:pPr>
            <w:r w:rsidRPr="00103E29">
              <w:rPr>
                <w:sz w:val="22"/>
                <w:szCs w:val="22"/>
              </w:rPr>
              <w:t>&lt;.001</w:t>
            </w:r>
          </w:p>
        </w:tc>
        <w:tc>
          <w:tcPr>
            <w:tcW w:w="1200" w:type="dxa"/>
            <w:tcBorders>
              <w:top w:val="nil"/>
              <w:left w:val="nil"/>
              <w:bottom w:val="single" w:sz="5" w:space="0" w:color="AEAEAE"/>
              <w:right w:val="nil"/>
            </w:tcBorders>
            <w:shd w:val="clear" w:color="auto" w:fill="F9F9FB"/>
            <w:tcMar>
              <w:top w:w="0" w:type="dxa"/>
              <w:left w:w="0" w:type="dxa"/>
              <w:bottom w:w="0" w:type="dxa"/>
              <w:right w:w="0" w:type="dxa"/>
            </w:tcMar>
          </w:tcPr>
          <w:p w14:paraId="10CF6E43" w14:textId="77777777" w:rsidR="009E4375" w:rsidRPr="00103E29" w:rsidRDefault="00000000" w:rsidP="00103E29">
            <w:pPr>
              <w:spacing w:before="0" w:after="0" w:line="240" w:lineRule="auto"/>
              <w:ind w:left="60" w:right="60"/>
              <w:jc w:val="right"/>
              <w:rPr>
                <w:sz w:val="22"/>
                <w:szCs w:val="22"/>
              </w:rPr>
            </w:pPr>
            <w:r w:rsidRPr="00103E29">
              <w:rPr>
                <w:sz w:val="22"/>
                <w:szCs w:val="22"/>
              </w:rPr>
              <w:t>.961</w:t>
            </w:r>
          </w:p>
        </w:tc>
      </w:tr>
      <w:tr w:rsidR="009E4375" w14:paraId="10CF6E4D" w14:textId="77777777" w:rsidTr="004B32F4">
        <w:trPr>
          <w:trHeight w:val="350"/>
        </w:trPr>
        <w:tc>
          <w:tcPr>
            <w:tcW w:w="1140" w:type="dxa"/>
            <w:vMerge/>
            <w:tcBorders>
              <w:top w:val="nil"/>
              <w:left w:val="nil"/>
              <w:bottom w:val="nil"/>
              <w:right w:val="nil"/>
            </w:tcBorders>
            <w:tcMar>
              <w:top w:w="100" w:type="dxa"/>
              <w:left w:w="100" w:type="dxa"/>
              <w:bottom w:w="100" w:type="dxa"/>
              <w:right w:w="100" w:type="dxa"/>
            </w:tcMar>
          </w:tcPr>
          <w:p w14:paraId="10CF6E45" w14:textId="77777777" w:rsidR="009E4375" w:rsidRPr="00103E29" w:rsidRDefault="009E4375" w:rsidP="00103E29">
            <w:pPr>
              <w:spacing w:before="0" w:after="0" w:line="240" w:lineRule="auto"/>
              <w:rPr>
                <w:sz w:val="22"/>
                <w:szCs w:val="22"/>
              </w:rPr>
            </w:pPr>
          </w:p>
        </w:tc>
        <w:tc>
          <w:tcPr>
            <w:tcW w:w="1830" w:type="dxa"/>
            <w:tcBorders>
              <w:top w:val="nil"/>
              <w:left w:val="nil"/>
              <w:bottom w:val="single" w:sz="5" w:space="0" w:color="AEAEAE"/>
              <w:right w:val="nil"/>
            </w:tcBorders>
            <w:shd w:val="clear" w:color="auto" w:fill="E0E0E0"/>
            <w:tcMar>
              <w:top w:w="0" w:type="dxa"/>
              <w:left w:w="0" w:type="dxa"/>
              <w:bottom w:w="0" w:type="dxa"/>
              <w:right w:w="0" w:type="dxa"/>
            </w:tcMar>
          </w:tcPr>
          <w:p w14:paraId="10CF6E46" w14:textId="77777777" w:rsidR="009E4375" w:rsidRPr="00103E29" w:rsidRDefault="00000000" w:rsidP="00103E29">
            <w:pPr>
              <w:spacing w:before="0" w:after="0" w:line="240" w:lineRule="auto"/>
              <w:ind w:left="60" w:right="60"/>
              <w:rPr>
                <w:sz w:val="22"/>
                <w:szCs w:val="22"/>
              </w:rPr>
            </w:pPr>
            <w:r w:rsidRPr="00103E29">
              <w:rPr>
                <w:sz w:val="22"/>
                <w:szCs w:val="22"/>
              </w:rPr>
              <w:t>Hotelling's Trace</w:t>
            </w:r>
          </w:p>
        </w:tc>
        <w:tc>
          <w:tcPr>
            <w:tcW w:w="8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7" w14:textId="77777777" w:rsidR="009E4375" w:rsidRPr="00103E29" w:rsidRDefault="00000000" w:rsidP="00103E29">
            <w:pPr>
              <w:spacing w:before="0" w:after="0" w:line="240" w:lineRule="auto"/>
              <w:ind w:left="60" w:right="60"/>
              <w:jc w:val="right"/>
              <w:rPr>
                <w:sz w:val="22"/>
                <w:szCs w:val="22"/>
              </w:rPr>
            </w:pPr>
            <w:r w:rsidRPr="00103E29">
              <w:rPr>
                <w:sz w:val="22"/>
                <w:szCs w:val="22"/>
              </w:rPr>
              <w:t>24.780</w:t>
            </w:r>
          </w:p>
        </w:tc>
        <w:tc>
          <w:tcPr>
            <w:tcW w:w="11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8"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1462.048</w:t>
            </w:r>
            <w:r w:rsidRPr="00103E29">
              <w:rPr>
                <w:sz w:val="22"/>
                <w:szCs w:val="22"/>
                <w:vertAlign w:val="superscript"/>
              </w:rPr>
              <w:t>b</w:t>
            </w:r>
          </w:p>
        </w:tc>
        <w:tc>
          <w:tcPr>
            <w:tcW w:w="126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9"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A"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4B" w14:textId="77777777" w:rsidR="009E4375" w:rsidRPr="00103E29" w:rsidRDefault="00000000" w:rsidP="00103E29">
            <w:pPr>
              <w:spacing w:before="0" w:after="0" w:line="240" w:lineRule="auto"/>
              <w:ind w:left="60" w:right="60"/>
              <w:jc w:val="right"/>
              <w:rPr>
                <w:sz w:val="22"/>
                <w:szCs w:val="22"/>
              </w:rPr>
            </w:pPr>
            <w:r w:rsidRPr="00103E29">
              <w:rPr>
                <w:sz w:val="22"/>
                <w:szCs w:val="22"/>
              </w:rPr>
              <w:t>&lt;.001</w:t>
            </w:r>
          </w:p>
        </w:tc>
        <w:tc>
          <w:tcPr>
            <w:tcW w:w="1200" w:type="dxa"/>
            <w:tcBorders>
              <w:top w:val="nil"/>
              <w:left w:val="nil"/>
              <w:bottom w:val="single" w:sz="5" w:space="0" w:color="AEAEAE"/>
              <w:right w:val="nil"/>
            </w:tcBorders>
            <w:shd w:val="clear" w:color="auto" w:fill="F9F9FB"/>
            <w:tcMar>
              <w:top w:w="0" w:type="dxa"/>
              <w:left w:w="0" w:type="dxa"/>
              <w:bottom w:w="0" w:type="dxa"/>
              <w:right w:w="0" w:type="dxa"/>
            </w:tcMar>
          </w:tcPr>
          <w:p w14:paraId="10CF6E4C" w14:textId="77777777" w:rsidR="009E4375" w:rsidRPr="00103E29" w:rsidRDefault="00000000" w:rsidP="00103E29">
            <w:pPr>
              <w:spacing w:before="0" w:after="0" w:line="240" w:lineRule="auto"/>
              <w:ind w:left="60" w:right="60"/>
              <w:jc w:val="right"/>
              <w:rPr>
                <w:sz w:val="22"/>
                <w:szCs w:val="22"/>
              </w:rPr>
            </w:pPr>
            <w:r w:rsidRPr="00103E29">
              <w:rPr>
                <w:sz w:val="22"/>
                <w:szCs w:val="22"/>
              </w:rPr>
              <w:t>.961</w:t>
            </w:r>
          </w:p>
        </w:tc>
      </w:tr>
      <w:tr w:rsidR="009E4375" w14:paraId="10CF6E56" w14:textId="77777777" w:rsidTr="004B32F4">
        <w:trPr>
          <w:trHeight w:val="435"/>
        </w:trPr>
        <w:tc>
          <w:tcPr>
            <w:tcW w:w="1140" w:type="dxa"/>
            <w:vMerge/>
            <w:tcBorders>
              <w:top w:val="nil"/>
              <w:left w:val="nil"/>
              <w:bottom w:val="nil"/>
              <w:right w:val="nil"/>
            </w:tcBorders>
            <w:tcMar>
              <w:top w:w="100" w:type="dxa"/>
              <w:left w:w="100" w:type="dxa"/>
              <w:bottom w:w="100" w:type="dxa"/>
              <w:right w:w="100" w:type="dxa"/>
            </w:tcMar>
          </w:tcPr>
          <w:p w14:paraId="10CF6E4E" w14:textId="77777777" w:rsidR="009E4375" w:rsidRPr="00103E29" w:rsidRDefault="009E4375" w:rsidP="00103E29">
            <w:pPr>
              <w:spacing w:before="0" w:after="0" w:line="240" w:lineRule="auto"/>
              <w:rPr>
                <w:sz w:val="22"/>
                <w:szCs w:val="22"/>
              </w:rPr>
            </w:pPr>
          </w:p>
        </w:tc>
        <w:tc>
          <w:tcPr>
            <w:tcW w:w="1830" w:type="dxa"/>
            <w:tcBorders>
              <w:top w:val="nil"/>
              <w:left w:val="nil"/>
              <w:bottom w:val="nil"/>
              <w:right w:val="nil"/>
            </w:tcBorders>
            <w:shd w:val="clear" w:color="auto" w:fill="E0E0E0"/>
            <w:tcMar>
              <w:top w:w="0" w:type="dxa"/>
              <w:left w:w="0" w:type="dxa"/>
              <w:bottom w:w="0" w:type="dxa"/>
              <w:right w:w="0" w:type="dxa"/>
            </w:tcMar>
          </w:tcPr>
          <w:p w14:paraId="10CF6E4F" w14:textId="77777777" w:rsidR="009E4375" w:rsidRPr="00103E29" w:rsidRDefault="00000000" w:rsidP="00103E29">
            <w:pPr>
              <w:spacing w:before="0" w:after="0" w:line="240" w:lineRule="auto"/>
              <w:ind w:left="60" w:right="60"/>
              <w:rPr>
                <w:sz w:val="22"/>
                <w:szCs w:val="22"/>
              </w:rPr>
            </w:pPr>
            <w:r w:rsidRPr="00103E29">
              <w:rPr>
                <w:sz w:val="22"/>
                <w:szCs w:val="22"/>
              </w:rPr>
              <w:t>Roy's Largest Root</w:t>
            </w:r>
          </w:p>
        </w:tc>
        <w:tc>
          <w:tcPr>
            <w:tcW w:w="885" w:type="dxa"/>
            <w:tcBorders>
              <w:top w:val="nil"/>
              <w:left w:val="nil"/>
              <w:bottom w:val="nil"/>
              <w:right w:val="single" w:sz="5" w:space="0" w:color="E0E0E0"/>
            </w:tcBorders>
            <w:shd w:val="clear" w:color="auto" w:fill="F9F9FB"/>
            <w:tcMar>
              <w:top w:w="0" w:type="dxa"/>
              <w:left w:w="0" w:type="dxa"/>
              <w:bottom w:w="0" w:type="dxa"/>
              <w:right w:w="0" w:type="dxa"/>
            </w:tcMar>
          </w:tcPr>
          <w:p w14:paraId="10CF6E50" w14:textId="77777777" w:rsidR="009E4375" w:rsidRPr="00103E29" w:rsidRDefault="00000000" w:rsidP="00103E29">
            <w:pPr>
              <w:spacing w:before="0" w:after="0" w:line="240" w:lineRule="auto"/>
              <w:ind w:left="60" w:right="60"/>
              <w:jc w:val="right"/>
              <w:rPr>
                <w:sz w:val="22"/>
                <w:szCs w:val="22"/>
              </w:rPr>
            </w:pPr>
            <w:r w:rsidRPr="00103E29">
              <w:rPr>
                <w:sz w:val="22"/>
                <w:szCs w:val="22"/>
              </w:rPr>
              <w:t>24.780</w:t>
            </w:r>
          </w:p>
        </w:tc>
        <w:tc>
          <w:tcPr>
            <w:tcW w:w="1185" w:type="dxa"/>
            <w:tcBorders>
              <w:top w:val="nil"/>
              <w:left w:val="nil"/>
              <w:bottom w:val="nil"/>
              <w:right w:val="single" w:sz="5" w:space="0" w:color="E0E0E0"/>
            </w:tcBorders>
            <w:shd w:val="clear" w:color="auto" w:fill="F9F9FB"/>
            <w:tcMar>
              <w:top w:w="0" w:type="dxa"/>
              <w:left w:w="0" w:type="dxa"/>
              <w:bottom w:w="0" w:type="dxa"/>
              <w:right w:w="0" w:type="dxa"/>
            </w:tcMar>
          </w:tcPr>
          <w:p w14:paraId="10CF6E51"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1462.048</w:t>
            </w:r>
            <w:r w:rsidRPr="00103E29">
              <w:rPr>
                <w:sz w:val="22"/>
                <w:szCs w:val="22"/>
                <w:vertAlign w:val="superscript"/>
              </w:rPr>
              <w:t>b</w:t>
            </w:r>
          </w:p>
        </w:tc>
        <w:tc>
          <w:tcPr>
            <w:tcW w:w="1260" w:type="dxa"/>
            <w:tcBorders>
              <w:top w:val="nil"/>
              <w:left w:val="nil"/>
              <w:bottom w:val="nil"/>
              <w:right w:val="single" w:sz="5" w:space="0" w:color="E0E0E0"/>
            </w:tcBorders>
            <w:shd w:val="clear" w:color="auto" w:fill="F9F9FB"/>
            <w:tcMar>
              <w:top w:w="0" w:type="dxa"/>
              <w:left w:w="0" w:type="dxa"/>
              <w:bottom w:w="0" w:type="dxa"/>
              <w:right w:w="0" w:type="dxa"/>
            </w:tcMar>
          </w:tcPr>
          <w:p w14:paraId="10CF6E52"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nil"/>
              <w:right w:val="single" w:sz="5" w:space="0" w:color="E0E0E0"/>
            </w:tcBorders>
            <w:shd w:val="clear" w:color="auto" w:fill="F9F9FB"/>
            <w:tcMar>
              <w:top w:w="0" w:type="dxa"/>
              <w:left w:w="0" w:type="dxa"/>
              <w:bottom w:w="0" w:type="dxa"/>
              <w:right w:w="0" w:type="dxa"/>
            </w:tcMar>
          </w:tcPr>
          <w:p w14:paraId="10CF6E53"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nil"/>
              <w:right w:val="single" w:sz="5" w:space="0" w:color="E0E0E0"/>
            </w:tcBorders>
            <w:shd w:val="clear" w:color="auto" w:fill="F9F9FB"/>
            <w:tcMar>
              <w:top w:w="0" w:type="dxa"/>
              <w:left w:w="0" w:type="dxa"/>
              <w:bottom w:w="0" w:type="dxa"/>
              <w:right w:w="0" w:type="dxa"/>
            </w:tcMar>
          </w:tcPr>
          <w:p w14:paraId="10CF6E54" w14:textId="77777777" w:rsidR="009E4375" w:rsidRPr="00103E29" w:rsidRDefault="00000000" w:rsidP="00103E29">
            <w:pPr>
              <w:spacing w:before="0" w:after="0" w:line="240" w:lineRule="auto"/>
              <w:ind w:left="60" w:right="60"/>
              <w:jc w:val="right"/>
              <w:rPr>
                <w:sz w:val="22"/>
                <w:szCs w:val="22"/>
              </w:rPr>
            </w:pPr>
            <w:r w:rsidRPr="00103E29">
              <w:rPr>
                <w:sz w:val="22"/>
                <w:szCs w:val="22"/>
              </w:rPr>
              <w:t>&lt;.001</w:t>
            </w:r>
          </w:p>
        </w:tc>
        <w:tc>
          <w:tcPr>
            <w:tcW w:w="1200" w:type="dxa"/>
            <w:tcBorders>
              <w:top w:val="nil"/>
              <w:left w:val="nil"/>
              <w:bottom w:val="nil"/>
              <w:right w:val="nil"/>
            </w:tcBorders>
            <w:shd w:val="clear" w:color="auto" w:fill="F9F9FB"/>
            <w:tcMar>
              <w:top w:w="0" w:type="dxa"/>
              <w:left w:w="0" w:type="dxa"/>
              <w:bottom w:w="0" w:type="dxa"/>
              <w:right w:w="0" w:type="dxa"/>
            </w:tcMar>
          </w:tcPr>
          <w:p w14:paraId="10CF6E55" w14:textId="77777777" w:rsidR="009E4375" w:rsidRPr="00103E29" w:rsidRDefault="00000000" w:rsidP="00103E29">
            <w:pPr>
              <w:spacing w:before="0" w:after="0" w:line="240" w:lineRule="auto"/>
              <w:ind w:left="60" w:right="60"/>
              <w:jc w:val="right"/>
              <w:rPr>
                <w:sz w:val="22"/>
                <w:szCs w:val="22"/>
              </w:rPr>
            </w:pPr>
            <w:r w:rsidRPr="00103E29">
              <w:rPr>
                <w:sz w:val="22"/>
                <w:szCs w:val="22"/>
              </w:rPr>
              <w:t>.961</w:t>
            </w:r>
          </w:p>
        </w:tc>
      </w:tr>
      <w:tr w:rsidR="009E4375" w14:paraId="10CF6E5F" w14:textId="77777777" w:rsidTr="004B32F4">
        <w:trPr>
          <w:trHeight w:val="405"/>
        </w:trPr>
        <w:tc>
          <w:tcPr>
            <w:tcW w:w="1140" w:type="dxa"/>
            <w:vMerge w:val="restart"/>
            <w:tcBorders>
              <w:top w:val="single" w:sz="5" w:space="0" w:color="AEAEAE"/>
              <w:left w:val="nil"/>
              <w:bottom w:val="single" w:sz="5" w:space="0" w:color="152935"/>
              <w:right w:val="nil"/>
            </w:tcBorders>
            <w:shd w:val="clear" w:color="auto" w:fill="E0E0E0"/>
            <w:tcMar>
              <w:top w:w="0" w:type="dxa"/>
              <w:left w:w="0" w:type="dxa"/>
              <w:bottom w:w="0" w:type="dxa"/>
              <w:right w:w="0" w:type="dxa"/>
            </w:tcMar>
          </w:tcPr>
          <w:p w14:paraId="10CF6E57" w14:textId="77777777" w:rsidR="009E4375" w:rsidRPr="00103E29" w:rsidRDefault="00000000" w:rsidP="00103E29">
            <w:pPr>
              <w:spacing w:before="0" w:after="0" w:line="240" w:lineRule="auto"/>
              <w:ind w:left="60" w:right="60"/>
              <w:rPr>
                <w:sz w:val="22"/>
                <w:szCs w:val="22"/>
              </w:rPr>
            </w:pPr>
            <w:r w:rsidRPr="00103E29">
              <w:rPr>
                <w:sz w:val="22"/>
                <w:szCs w:val="22"/>
              </w:rPr>
              <w:t>Family at Home</w:t>
            </w:r>
          </w:p>
        </w:tc>
        <w:tc>
          <w:tcPr>
            <w:tcW w:w="1830"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E58" w14:textId="77777777" w:rsidR="009E4375" w:rsidRPr="00103E29" w:rsidRDefault="00000000" w:rsidP="00103E29">
            <w:pPr>
              <w:spacing w:before="0" w:after="0" w:line="240" w:lineRule="auto"/>
              <w:ind w:left="60" w:right="60"/>
              <w:rPr>
                <w:sz w:val="22"/>
                <w:szCs w:val="22"/>
              </w:rPr>
            </w:pPr>
            <w:r w:rsidRPr="00103E29">
              <w:rPr>
                <w:sz w:val="22"/>
                <w:szCs w:val="22"/>
              </w:rPr>
              <w:t>Pillai's Trace</w:t>
            </w:r>
          </w:p>
        </w:tc>
        <w:tc>
          <w:tcPr>
            <w:tcW w:w="88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59" w14:textId="77777777" w:rsidR="009E4375" w:rsidRPr="00103E29" w:rsidRDefault="00000000" w:rsidP="00103E29">
            <w:pPr>
              <w:spacing w:before="0" w:after="0" w:line="240" w:lineRule="auto"/>
              <w:ind w:left="60" w:right="60"/>
              <w:jc w:val="right"/>
              <w:rPr>
                <w:sz w:val="22"/>
                <w:szCs w:val="22"/>
              </w:rPr>
            </w:pPr>
            <w:r w:rsidRPr="00103E29">
              <w:rPr>
                <w:sz w:val="22"/>
                <w:szCs w:val="22"/>
              </w:rPr>
              <w:t>.038</w:t>
            </w:r>
          </w:p>
        </w:tc>
        <w:tc>
          <w:tcPr>
            <w:tcW w:w="118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5A"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2.305</w:t>
            </w:r>
            <w:r w:rsidRPr="00103E29">
              <w:rPr>
                <w:sz w:val="22"/>
                <w:szCs w:val="22"/>
                <w:vertAlign w:val="superscript"/>
              </w:rPr>
              <w:t>b</w:t>
            </w:r>
          </w:p>
        </w:tc>
        <w:tc>
          <w:tcPr>
            <w:tcW w:w="126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5B"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5C"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E5D" w14:textId="77777777" w:rsidR="009E4375" w:rsidRPr="00103E29" w:rsidRDefault="00000000" w:rsidP="00103E29">
            <w:pPr>
              <w:spacing w:before="0" w:after="0" w:line="240" w:lineRule="auto"/>
              <w:ind w:left="60" w:right="60"/>
              <w:jc w:val="right"/>
              <w:rPr>
                <w:sz w:val="22"/>
                <w:szCs w:val="22"/>
              </w:rPr>
            </w:pPr>
            <w:r w:rsidRPr="00103E29">
              <w:rPr>
                <w:sz w:val="22"/>
                <w:szCs w:val="22"/>
              </w:rPr>
              <w:t>.079</w:t>
            </w:r>
          </w:p>
        </w:tc>
        <w:tc>
          <w:tcPr>
            <w:tcW w:w="1200"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E5E" w14:textId="77777777" w:rsidR="009E4375" w:rsidRPr="00103E29" w:rsidRDefault="00000000" w:rsidP="00103E29">
            <w:pPr>
              <w:spacing w:before="0" w:after="0" w:line="240" w:lineRule="auto"/>
              <w:ind w:left="60" w:right="60"/>
              <w:jc w:val="right"/>
              <w:rPr>
                <w:sz w:val="22"/>
                <w:szCs w:val="22"/>
              </w:rPr>
            </w:pPr>
            <w:r w:rsidRPr="00103E29">
              <w:rPr>
                <w:sz w:val="22"/>
                <w:szCs w:val="22"/>
              </w:rPr>
              <w:t>.038</w:t>
            </w:r>
          </w:p>
        </w:tc>
      </w:tr>
      <w:tr w:rsidR="009E4375" w14:paraId="10CF6E68" w14:textId="77777777" w:rsidTr="004B32F4">
        <w:trPr>
          <w:trHeight w:val="221"/>
        </w:trPr>
        <w:tc>
          <w:tcPr>
            <w:tcW w:w="114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E60" w14:textId="77777777" w:rsidR="009E4375" w:rsidRPr="00103E29" w:rsidRDefault="009E4375" w:rsidP="00103E29">
            <w:pPr>
              <w:spacing w:before="0" w:after="0" w:line="240" w:lineRule="auto"/>
              <w:rPr>
                <w:sz w:val="22"/>
                <w:szCs w:val="22"/>
              </w:rPr>
            </w:pPr>
          </w:p>
        </w:tc>
        <w:tc>
          <w:tcPr>
            <w:tcW w:w="1830" w:type="dxa"/>
            <w:tcBorders>
              <w:top w:val="nil"/>
              <w:left w:val="nil"/>
              <w:bottom w:val="single" w:sz="5" w:space="0" w:color="AEAEAE"/>
              <w:right w:val="nil"/>
            </w:tcBorders>
            <w:shd w:val="clear" w:color="auto" w:fill="E0E0E0"/>
            <w:tcMar>
              <w:top w:w="0" w:type="dxa"/>
              <w:left w:w="0" w:type="dxa"/>
              <w:bottom w:w="0" w:type="dxa"/>
              <w:right w:w="0" w:type="dxa"/>
            </w:tcMar>
          </w:tcPr>
          <w:p w14:paraId="10CF6E61" w14:textId="77777777" w:rsidR="009E4375" w:rsidRPr="00103E29" w:rsidRDefault="00000000" w:rsidP="00103E29">
            <w:pPr>
              <w:spacing w:before="0" w:after="0" w:line="240" w:lineRule="auto"/>
              <w:ind w:left="60" w:right="60"/>
              <w:rPr>
                <w:sz w:val="22"/>
                <w:szCs w:val="22"/>
              </w:rPr>
            </w:pPr>
            <w:r w:rsidRPr="00103E29">
              <w:rPr>
                <w:sz w:val="22"/>
                <w:szCs w:val="22"/>
              </w:rPr>
              <w:t>Wilks' Lambda</w:t>
            </w:r>
          </w:p>
        </w:tc>
        <w:tc>
          <w:tcPr>
            <w:tcW w:w="8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2" w14:textId="77777777" w:rsidR="009E4375" w:rsidRPr="00103E29" w:rsidRDefault="00000000" w:rsidP="00103E29">
            <w:pPr>
              <w:spacing w:before="0" w:after="0" w:line="240" w:lineRule="auto"/>
              <w:ind w:left="60" w:right="60"/>
              <w:jc w:val="right"/>
              <w:rPr>
                <w:sz w:val="22"/>
                <w:szCs w:val="22"/>
              </w:rPr>
            </w:pPr>
            <w:r w:rsidRPr="00103E29">
              <w:rPr>
                <w:sz w:val="22"/>
                <w:szCs w:val="22"/>
              </w:rPr>
              <w:t>.962</w:t>
            </w:r>
          </w:p>
        </w:tc>
        <w:tc>
          <w:tcPr>
            <w:tcW w:w="11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3"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2.305</w:t>
            </w:r>
            <w:r w:rsidRPr="00103E29">
              <w:rPr>
                <w:sz w:val="22"/>
                <w:szCs w:val="22"/>
                <w:vertAlign w:val="superscript"/>
              </w:rPr>
              <w:t>b</w:t>
            </w:r>
          </w:p>
        </w:tc>
        <w:tc>
          <w:tcPr>
            <w:tcW w:w="126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4"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5"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6" w14:textId="77777777" w:rsidR="009E4375" w:rsidRPr="00103E29" w:rsidRDefault="00000000" w:rsidP="00103E29">
            <w:pPr>
              <w:spacing w:before="0" w:after="0" w:line="240" w:lineRule="auto"/>
              <w:ind w:left="60" w:right="60"/>
              <w:jc w:val="right"/>
              <w:rPr>
                <w:sz w:val="22"/>
                <w:szCs w:val="22"/>
              </w:rPr>
            </w:pPr>
            <w:r w:rsidRPr="00103E29">
              <w:rPr>
                <w:sz w:val="22"/>
                <w:szCs w:val="22"/>
              </w:rPr>
              <w:t>.079</w:t>
            </w:r>
          </w:p>
        </w:tc>
        <w:tc>
          <w:tcPr>
            <w:tcW w:w="1200" w:type="dxa"/>
            <w:tcBorders>
              <w:top w:val="nil"/>
              <w:left w:val="nil"/>
              <w:bottom w:val="single" w:sz="5" w:space="0" w:color="AEAEAE"/>
              <w:right w:val="nil"/>
            </w:tcBorders>
            <w:shd w:val="clear" w:color="auto" w:fill="F9F9FB"/>
            <w:tcMar>
              <w:top w:w="0" w:type="dxa"/>
              <w:left w:w="0" w:type="dxa"/>
              <w:bottom w:w="0" w:type="dxa"/>
              <w:right w:w="0" w:type="dxa"/>
            </w:tcMar>
          </w:tcPr>
          <w:p w14:paraId="10CF6E67" w14:textId="77777777" w:rsidR="009E4375" w:rsidRPr="00103E29" w:rsidRDefault="00000000" w:rsidP="00103E29">
            <w:pPr>
              <w:spacing w:before="0" w:after="0" w:line="240" w:lineRule="auto"/>
              <w:ind w:left="60" w:right="60"/>
              <w:jc w:val="right"/>
              <w:rPr>
                <w:sz w:val="22"/>
                <w:szCs w:val="22"/>
              </w:rPr>
            </w:pPr>
            <w:r w:rsidRPr="00103E29">
              <w:rPr>
                <w:sz w:val="22"/>
                <w:szCs w:val="22"/>
              </w:rPr>
              <w:t>.038</w:t>
            </w:r>
          </w:p>
        </w:tc>
      </w:tr>
      <w:tr w:rsidR="009E4375" w14:paraId="10CF6E71" w14:textId="77777777" w:rsidTr="004B32F4">
        <w:trPr>
          <w:trHeight w:val="293"/>
        </w:trPr>
        <w:tc>
          <w:tcPr>
            <w:tcW w:w="114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E69" w14:textId="77777777" w:rsidR="009E4375" w:rsidRPr="00103E29" w:rsidRDefault="009E4375" w:rsidP="00103E29">
            <w:pPr>
              <w:spacing w:before="0" w:after="0" w:line="240" w:lineRule="auto"/>
              <w:rPr>
                <w:sz w:val="22"/>
                <w:szCs w:val="22"/>
              </w:rPr>
            </w:pPr>
          </w:p>
        </w:tc>
        <w:tc>
          <w:tcPr>
            <w:tcW w:w="1830" w:type="dxa"/>
            <w:tcBorders>
              <w:top w:val="nil"/>
              <w:left w:val="nil"/>
              <w:bottom w:val="single" w:sz="5" w:space="0" w:color="AEAEAE"/>
              <w:right w:val="nil"/>
            </w:tcBorders>
            <w:shd w:val="clear" w:color="auto" w:fill="E0E0E0"/>
            <w:tcMar>
              <w:top w:w="0" w:type="dxa"/>
              <w:left w:w="0" w:type="dxa"/>
              <w:bottom w:w="0" w:type="dxa"/>
              <w:right w:w="0" w:type="dxa"/>
            </w:tcMar>
          </w:tcPr>
          <w:p w14:paraId="10CF6E6A" w14:textId="77777777" w:rsidR="009E4375" w:rsidRPr="00103E29" w:rsidRDefault="00000000" w:rsidP="00103E29">
            <w:pPr>
              <w:spacing w:before="0" w:after="0" w:line="240" w:lineRule="auto"/>
              <w:ind w:left="60" w:right="60"/>
              <w:rPr>
                <w:sz w:val="22"/>
                <w:szCs w:val="22"/>
              </w:rPr>
            </w:pPr>
            <w:r w:rsidRPr="00103E29">
              <w:rPr>
                <w:sz w:val="22"/>
                <w:szCs w:val="22"/>
              </w:rPr>
              <w:t>Hotelling's Trace</w:t>
            </w:r>
          </w:p>
        </w:tc>
        <w:tc>
          <w:tcPr>
            <w:tcW w:w="8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B" w14:textId="77777777" w:rsidR="009E4375" w:rsidRPr="00103E29" w:rsidRDefault="00000000" w:rsidP="00103E29">
            <w:pPr>
              <w:spacing w:before="0" w:after="0" w:line="240" w:lineRule="auto"/>
              <w:ind w:left="60" w:right="60"/>
              <w:jc w:val="right"/>
              <w:rPr>
                <w:sz w:val="22"/>
                <w:szCs w:val="22"/>
              </w:rPr>
            </w:pPr>
            <w:r w:rsidRPr="00103E29">
              <w:rPr>
                <w:sz w:val="22"/>
                <w:szCs w:val="22"/>
              </w:rPr>
              <w:t>.039</w:t>
            </w:r>
          </w:p>
        </w:tc>
        <w:tc>
          <w:tcPr>
            <w:tcW w:w="118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C"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2.305</w:t>
            </w:r>
            <w:r w:rsidRPr="00103E29">
              <w:rPr>
                <w:sz w:val="22"/>
                <w:szCs w:val="22"/>
                <w:vertAlign w:val="superscript"/>
              </w:rPr>
              <w:t>b</w:t>
            </w:r>
          </w:p>
        </w:tc>
        <w:tc>
          <w:tcPr>
            <w:tcW w:w="126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D"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E"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E6F" w14:textId="77777777" w:rsidR="009E4375" w:rsidRPr="00103E29" w:rsidRDefault="00000000" w:rsidP="00103E29">
            <w:pPr>
              <w:spacing w:before="0" w:after="0" w:line="240" w:lineRule="auto"/>
              <w:ind w:left="60" w:right="60"/>
              <w:jc w:val="right"/>
              <w:rPr>
                <w:sz w:val="22"/>
                <w:szCs w:val="22"/>
              </w:rPr>
            </w:pPr>
            <w:r w:rsidRPr="00103E29">
              <w:rPr>
                <w:sz w:val="22"/>
                <w:szCs w:val="22"/>
              </w:rPr>
              <w:t>.079</w:t>
            </w:r>
          </w:p>
        </w:tc>
        <w:tc>
          <w:tcPr>
            <w:tcW w:w="1200" w:type="dxa"/>
            <w:tcBorders>
              <w:top w:val="nil"/>
              <w:left w:val="nil"/>
              <w:bottom w:val="single" w:sz="5" w:space="0" w:color="AEAEAE"/>
              <w:right w:val="nil"/>
            </w:tcBorders>
            <w:shd w:val="clear" w:color="auto" w:fill="F9F9FB"/>
            <w:tcMar>
              <w:top w:w="0" w:type="dxa"/>
              <w:left w:w="0" w:type="dxa"/>
              <w:bottom w:w="0" w:type="dxa"/>
              <w:right w:w="0" w:type="dxa"/>
            </w:tcMar>
          </w:tcPr>
          <w:p w14:paraId="10CF6E70" w14:textId="77777777" w:rsidR="009E4375" w:rsidRPr="00103E29" w:rsidRDefault="00000000" w:rsidP="00103E29">
            <w:pPr>
              <w:spacing w:before="0" w:after="0" w:line="240" w:lineRule="auto"/>
              <w:ind w:left="60" w:right="60"/>
              <w:jc w:val="right"/>
              <w:rPr>
                <w:sz w:val="22"/>
                <w:szCs w:val="22"/>
              </w:rPr>
            </w:pPr>
            <w:r w:rsidRPr="00103E29">
              <w:rPr>
                <w:sz w:val="22"/>
                <w:szCs w:val="22"/>
              </w:rPr>
              <w:t>.038</w:t>
            </w:r>
          </w:p>
        </w:tc>
      </w:tr>
      <w:tr w:rsidR="009E4375" w14:paraId="10CF6E7A" w14:textId="77777777" w:rsidTr="004B32F4">
        <w:trPr>
          <w:trHeight w:val="420"/>
        </w:trPr>
        <w:tc>
          <w:tcPr>
            <w:tcW w:w="114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E72" w14:textId="77777777" w:rsidR="009E4375" w:rsidRPr="00103E29" w:rsidRDefault="009E4375" w:rsidP="00103E29">
            <w:pPr>
              <w:spacing w:before="0" w:after="0" w:line="240" w:lineRule="auto"/>
              <w:rPr>
                <w:sz w:val="22"/>
                <w:szCs w:val="22"/>
              </w:rPr>
            </w:pPr>
          </w:p>
        </w:tc>
        <w:tc>
          <w:tcPr>
            <w:tcW w:w="1830" w:type="dxa"/>
            <w:tcBorders>
              <w:top w:val="nil"/>
              <w:left w:val="nil"/>
              <w:bottom w:val="single" w:sz="5" w:space="0" w:color="152935"/>
              <w:right w:val="nil"/>
            </w:tcBorders>
            <w:shd w:val="clear" w:color="auto" w:fill="E0E0E0"/>
            <w:tcMar>
              <w:top w:w="0" w:type="dxa"/>
              <w:left w:w="0" w:type="dxa"/>
              <w:bottom w:w="0" w:type="dxa"/>
              <w:right w:w="0" w:type="dxa"/>
            </w:tcMar>
          </w:tcPr>
          <w:p w14:paraId="10CF6E73" w14:textId="77777777" w:rsidR="009E4375" w:rsidRPr="00103E29" w:rsidRDefault="00000000" w:rsidP="00103E29">
            <w:pPr>
              <w:spacing w:before="0" w:after="0" w:line="240" w:lineRule="auto"/>
              <w:ind w:left="60" w:right="60"/>
              <w:rPr>
                <w:sz w:val="22"/>
                <w:szCs w:val="22"/>
              </w:rPr>
            </w:pPr>
            <w:r w:rsidRPr="00103E29">
              <w:rPr>
                <w:sz w:val="22"/>
                <w:szCs w:val="22"/>
              </w:rPr>
              <w:t>Roy's Largest Root</w:t>
            </w:r>
          </w:p>
        </w:tc>
        <w:tc>
          <w:tcPr>
            <w:tcW w:w="885"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74" w14:textId="77777777" w:rsidR="009E4375" w:rsidRPr="00103E29" w:rsidRDefault="00000000" w:rsidP="00103E29">
            <w:pPr>
              <w:spacing w:before="0" w:after="0" w:line="240" w:lineRule="auto"/>
              <w:ind w:left="60" w:right="60"/>
              <w:jc w:val="right"/>
              <w:rPr>
                <w:sz w:val="22"/>
                <w:szCs w:val="22"/>
              </w:rPr>
            </w:pPr>
            <w:r w:rsidRPr="00103E29">
              <w:rPr>
                <w:sz w:val="22"/>
                <w:szCs w:val="22"/>
              </w:rPr>
              <w:t>.039</w:t>
            </w:r>
          </w:p>
        </w:tc>
        <w:tc>
          <w:tcPr>
            <w:tcW w:w="1185"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75" w14:textId="77777777" w:rsidR="009E4375" w:rsidRPr="00103E29" w:rsidRDefault="00000000" w:rsidP="00103E29">
            <w:pPr>
              <w:spacing w:before="0" w:after="0" w:line="240" w:lineRule="auto"/>
              <w:ind w:left="60" w:right="60"/>
              <w:jc w:val="right"/>
              <w:rPr>
                <w:sz w:val="22"/>
                <w:szCs w:val="22"/>
                <w:vertAlign w:val="superscript"/>
              </w:rPr>
            </w:pPr>
            <w:r w:rsidRPr="00103E29">
              <w:rPr>
                <w:sz w:val="22"/>
                <w:szCs w:val="22"/>
              </w:rPr>
              <w:t>2.305</w:t>
            </w:r>
            <w:r w:rsidRPr="00103E29">
              <w:rPr>
                <w:sz w:val="22"/>
                <w:szCs w:val="22"/>
                <w:vertAlign w:val="superscript"/>
              </w:rPr>
              <w:t>b</w:t>
            </w:r>
          </w:p>
        </w:tc>
        <w:tc>
          <w:tcPr>
            <w:tcW w:w="126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76" w14:textId="77777777" w:rsidR="009E4375" w:rsidRPr="00103E29" w:rsidRDefault="00000000" w:rsidP="00103E29">
            <w:pPr>
              <w:spacing w:before="0" w:after="0" w:line="240" w:lineRule="auto"/>
              <w:ind w:left="60" w:right="60"/>
              <w:jc w:val="right"/>
              <w:rPr>
                <w:sz w:val="22"/>
                <w:szCs w:val="22"/>
              </w:rPr>
            </w:pPr>
            <w:r w:rsidRPr="00103E29">
              <w:rPr>
                <w:sz w:val="22"/>
                <w:szCs w:val="22"/>
              </w:rPr>
              <w:t>3.000</w:t>
            </w:r>
          </w:p>
        </w:tc>
        <w:tc>
          <w:tcPr>
            <w:tcW w:w="99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77" w14:textId="77777777" w:rsidR="009E4375" w:rsidRPr="00103E29" w:rsidRDefault="00000000" w:rsidP="00103E29">
            <w:pPr>
              <w:spacing w:before="0" w:after="0" w:line="240" w:lineRule="auto"/>
              <w:ind w:left="60" w:right="60"/>
              <w:jc w:val="right"/>
              <w:rPr>
                <w:sz w:val="22"/>
                <w:szCs w:val="22"/>
              </w:rPr>
            </w:pPr>
            <w:r w:rsidRPr="00103E29">
              <w:rPr>
                <w:sz w:val="22"/>
                <w:szCs w:val="22"/>
              </w:rPr>
              <w:t>177.000</w:t>
            </w:r>
          </w:p>
        </w:tc>
        <w:tc>
          <w:tcPr>
            <w:tcW w:w="90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E78" w14:textId="77777777" w:rsidR="009E4375" w:rsidRPr="00103E29" w:rsidRDefault="00000000" w:rsidP="00103E29">
            <w:pPr>
              <w:spacing w:before="0" w:after="0" w:line="240" w:lineRule="auto"/>
              <w:ind w:left="60" w:right="60"/>
              <w:jc w:val="right"/>
              <w:rPr>
                <w:sz w:val="22"/>
                <w:szCs w:val="22"/>
              </w:rPr>
            </w:pPr>
            <w:r w:rsidRPr="00103E29">
              <w:rPr>
                <w:sz w:val="22"/>
                <w:szCs w:val="22"/>
              </w:rPr>
              <w:t>.079</w:t>
            </w:r>
          </w:p>
        </w:tc>
        <w:tc>
          <w:tcPr>
            <w:tcW w:w="1200" w:type="dxa"/>
            <w:tcBorders>
              <w:top w:val="nil"/>
              <w:left w:val="nil"/>
              <w:bottom w:val="single" w:sz="5" w:space="0" w:color="152935"/>
              <w:right w:val="nil"/>
            </w:tcBorders>
            <w:shd w:val="clear" w:color="auto" w:fill="F9F9FB"/>
            <w:tcMar>
              <w:top w:w="0" w:type="dxa"/>
              <w:left w:w="0" w:type="dxa"/>
              <w:bottom w:w="0" w:type="dxa"/>
              <w:right w:w="0" w:type="dxa"/>
            </w:tcMar>
          </w:tcPr>
          <w:p w14:paraId="10CF6E79" w14:textId="77777777" w:rsidR="009E4375" w:rsidRPr="00103E29" w:rsidRDefault="00000000" w:rsidP="00103E29">
            <w:pPr>
              <w:spacing w:before="0" w:after="0" w:line="240" w:lineRule="auto"/>
              <w:ind w:left="60" w:right="60"/>
              <w:jc w:val="right"/>
              <w:rPr>
                <w:sz w:val="22"/>
                <w:szCs w:val="22"/>
              </w:rPr>
            </w:pPr>
            <w:r w:rsidRPr="00103E29">
              <w:rPr>
                <w:sz w:val="22"/>
                <w:szCs w:val="22"/>
              </w:rPr>
              <w:t>.038</w:t>
            </w:r>
          </w:p>
        </w:tc>
      </w:tr>
      <w:tr w:rsidR="009E4375" w14:paraId="10CF6E7C" w14:textId="77777777">
        <w:trPr>
          <w:trHeight w:val="330"/>
        </w:trPr>
        <w:tc>
          <w:tcPr>
            <w:tcW w:w="9390" w:type="dxa"/>
            <w:gridSpan w:val="8"/>
            <w:tcBorders>
              <w:top w:val="nil"/>
              <w:left w:val="nil"/>
              <w:bottom w:val="nil"/>
              <w:right w:val="nil"/>
            </w:tcBorders>
            <w:shd w:val="clear" w:color="auto" w:fill="FFFFFF"/>
            <w:tcMar>
              <w:top w:w="0" w:type="dxa"/>
              <w:left w:w="0" w:type="dxa"/>
              <w:bottom w:w="0" w:type="dxa"/>
              <w:right w:w="0" w:type="dxa"/>
            </w:tcMar>
          </w:tcPr>
          <w:p w14:paraId="07D04ACF" w14:textId="77777777" w:rsidR="009E4375" w:rsidRDefault="00000000" w:rsidP="004B32F4">
            <w:pPr>
              <w:spacing w:before="0" w:after="0" w:line="240" w:lineRule="auto"/>
              <w:ind w:left="60" w:right="60"/>
              <w:rPr>
                <w:sz w:val="20"/>
                <w:szCs w:val="20"/>
              </w:rPr>
            </w:pPr>
            <w:r>
              <w:rPr>
                <w:i/>
                <w:iCs/>
                <w:sz w:val="20"/>
                <w:szCs w:val="20"/>
              </w:rPr>
              <w:t>Note.</w:t>
            </w:r>
            <w:r>
              <w:rPr>
                <w:sz w:val="20"/>
                <w:szCs w:val="20"/>
              </w:rPr>
              <w:t xml:space="preserve"> a. Design: Intercept + </w:t>
            </w:r>
            <w:proofErr w:type="spellStart"/>
            <w:r>
              <w:rPr>
                <w:sz w:val="20"/>
                <w:szCs w:val="20"/>
              </w:rPr>
              <w:t>family_comm</w:t>
            </w:r>
            <w:proofErr w:type="spellEnd"/>
          </w:p>
          <w:p w14:paraId="10CF6E7B" w14:textId="5EFF57D4" w:rsidR="004B32F4" w:rsidRPr="004B32F4" w:rsidRDefault="00047C99" w:rsidP="00047C99">
            <w:pPr>
              <w:spacing w:before="0" w:after="0" w:line="240" w:lineRule="auto"/>
              <w:ind w:right="60"/>
              <w:rPr>
                <w:sz w:val="20"/>
                <w:szCs w:val="20"/>
              </w:rPr>
            </w:pPr>
            <w:r>
              <w:rPr>
                <w:sz w:val="20"/>
                <w:szCs w:val="20"/>
              </w:rPr>
              <w:t>b. Exact statistic</w:t>
            </w:r>
          </w:p>
        </w:tc>
      </w:tr>
    </w:tbl>
    <w:p w14:paraId="2CA88610" w14:textId="77777777" w:rsidR="00897D9F" w:rsidRDefault="00897D9F" w:rsidP="00D45233">
      <w:pPr>
        <w:spacing w:before="0" w:after="0"/>
      </w:pPr>
    </w:p>
    <w:p w14:paraId="10CF6E80" w14:textId="77777777" w:rsidR="009E4375" w:rsidRDefault="00000000">
      <w:pPr>
        <w:spacing w:before="0" w:after="200"/>
        <w:rPr>
          <w:b/>
          <w:bCs/>
          <w:sz w:val="28"/>
          <w:szCs w:val="28"/>
        </w:rPr>
      </w:pPr>
      <w:r>
        <w:t>3.3</w:t>
      </w:r>
      <w:r>
        <w:tab/>
        <w:t xml:space="preserve">Is there a difference in QOL for deaf Malaysians based on the type of signed communication they most often used with their friends in the dormitories during their formative school years? </w:t>
      </w:r>
    </w:p>
    <w:p w14:paraId="10CF6E81" w14:textId="77777777" w:rsidR="009E4375" w:rsidRDefault="009E4375">
      <w:pPr>
        <w:spacing w:before="0" w:after="0"/>
        <w:rPr>
          <w:b/>
          <w:bCs/>
        </w:rPr>
      </w:pPr>
    </w:p>
    <w:p w14:paraId="10CF6E82" w14:textId="77777777" w:rsidR="009E4375" w:rsidRDefault="00000000">
      <w:pPr>
        <w:spacing w:before="0" w:after="200"/>
      </w:pPr>
      <w:r>
        <w:rPr>
          <w:b/>
          <w:bCs/>
        </w:rPr>
        <w:t>Table 18</w:t>
      </w:r>
    </w:p>
    <w:p w14:paraId="10CF6E83" w14:textId="77777777" w:rsidR="009E4375" w:rsidRDefault="00000000">
      <w:pPr>
        <w:spacing w:before="0" w:after="0"/>
        <w:rPr>
          <w:i/>
          <w:iCs/>
        </w:rPr>
      </w:pPr>
      <w:r>
        <w:rPr>
          <w:i/>
          <w:iCs/>
        </w:rPr>
        <w:t>Mean and Standard Deviation of Overall QOL by Signed Communication in Dormitories</w:t>
      </w:r>
    </w:p>
    <w:tbl>
      <w:tblPr>
        <w:tblStyle w:val="af0"/>
        <w:tblW w:w="9075" w:type="dxa"/>
        <w:tblInd w:w="105" w:type="dxa"/>
        <w:tblBorders>
          <w:top w:val="nil"/>
          <w:left w:val="nil"/>
          <w:bottom w:val="nil"/>
          <w:right w:val="nil"/>
          <w:insideH w:val="nil"/>
          <w:insideV w:val="nil"/>
        </w:tblBorders>
        <w:tblLayout w:type="fixed"/>
        <w:tblLook w:val="0600" w:firstRow="0" w:lastRow="0" w:firstColumn="0" w:lastColumn="0" w:noHBand="1" w:noVBand="1"/>
      </w:tblPr>
      <w:tblGrid>
        <w:gridCol w:w="1275"/>
        <w:gridCol w:w="1770"/>
        <w:gridCol w:w="1170"/>
        <w:gridCol w:w="1185"/>
        <w:gridCol w:w="1755"/>
        <w:gridCol w:w="1920"/>
      </w:tblGrid>
      <w:tr w:rsidR="009E4375" w14:paraId="10CF6E85" w14:textId="77777777">
        <w:trPr>
          <w:trHeight w:val="315"/>
        </w:trPr>
        <w:tc>
          <w:tcPr>
            <w:tcW w:w="9075" w:type="dxa"/>
            <w:gridSpan w:val="6"/>
            <w:tcBorders>
              <w:top w:val="nil"/>
              <w:left w:val="nil"/>
              <w:bottom w:val="nil"/>
              <w:right w:val="nil"/>
            </w:tcBorders>
            <w:shd w:val="clear" w:color="auto" w:fill="FFFFFF"/>
            <w:tcMar>
              <w:top w:w="0" w:type="dxa"/>
              <w:left w:w="0" w:type="dxa"/>
              <w:bottom w:w="0" w:type="dxa"/>
              <w:right w:w="0" w:type="dxa"/>
            </w:tcMar>
          </w:tcPr>
          <w:p w14:paraId="10CF6E84" w14:textId="77777777" w:rsidR="009E4375" w:rsidRDefault="00000000">
            <w:pPr>
              <w:spacing w:before="200" w:after="0" w:line="349" w:lineRule="auto"/>
              <w:ind w:left="60" w:right="60"/>
              <w:jc w:val="center"/>
            </w:pPr>
            <w:r>
              <w:t>Group Statistics</w:t>
            </w:r>
          </w:p>
        </w:tc>
      </w:tr>
      <w:tr w:rsidR="009E4375" w14:paraId="10CF6E8C" w14:textId="77777777">
        <w:trPr>
          <w:trHeight w:val="495"/>
        </w:trPr>
        <w:tc>
          <w:tcPr>
            <w:tcW w:w="1275" w:type="dxa"/>
            <w:tcBorders>
              <w:top w:val="nil"/>
              <w:left w:val="nil"/>
              <w:bottom w:val="nil"/>
              <w:right w:val="nil"/>
            </w:tcBorders>
            <w:tcMar>
              <w:top w:w="0" w:type="dxa"/>
              <w:left w:w="0" w:type="dxa"/>
              <w:bottom w:w="0" w:type="dxa"/>
              <w:right w:w="0" w:type="dxa"/>
            </w:tcMar>
          </w:tcPr>
          <w:p w14:paraId="10CF6E86" w14:textId="77777777" w:rsidR="009E4375" w:rsidRDefault="00000000">
            <w:pPr>
              <w:spacing w:before="0" w:after="0"/>
              <w:rPr>
                <w:sz w:val="22"/>
                <w:szCs w:val="22"/>
              </w:rPr>
            </w:pPr>
            <w:r>
              <w:rPr>
                <w:sz w:val="28"/>
                <w:szCs w:val="28"/>
              </w:rPr>
              <w:t xml:space="preserve"> </w:t>
            </w:r>
          </w:p>
        </w:tc>
        <w:tc>
          <w:tcPr>
            <w:tcW w:w="177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E87" w14:textId="77777777" w:rsidR="009E4375" w:rsidRDefault="00000000">
            <w:pPr>
              <w:spacing w:before="0" w:after="0"/>
              <w:ind w:left="60" w:right="60"/>
            </w:pPr>
            <w:r>
              <w:t>Dormitories</w:t>
            </w:r>
          </w:p>
        </w:tc>
        <w:tc>
          <w:tcPr>
            <w:tcW w:w="117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E88" w14:textId="77777777" w:rsidR="009E4375" w:rsidRDefault="00000000">
            <w:pPr>
              <w:spacing w:before="0" w:after="0"/>
              <w:ind w:left="60" w:right="60"/>
              <w:jc w:val="center"/>
            </w:pPr>
            <w:r>
              <w:t>N</w:t>
            </w:r>
          </w:p>
        </w:tc>
        <w:tc>
          <w:tcPr>
            <w:tcW w:w="1185"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E89" w14:textId="77777777" w:rsidR="009E4375" w:rsidRDefault="00000000">
            <w:pPr>
              <w:spacing w:before="0" w:after="0"/>
              <w:ind w:left="60" w:right="60"/>
              <w:jc w:val="center"/>
            </w:pPr>
            <w:r>
              <w:t>Mean</w:t>
            </w:r>
          </w:p>
        </w:tc>
        <w:tc>
          <w:tcPr>
            <w:tcW w:w="1755"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E8A" w14:textId="77777777" w:rsidR="009E4375" w:rsidRDefault="00000000">
            <w:pPr>
              <w:spacing w:before="0" w:after="0"/>
              <w:ind w:left="60" w:right="60"/>
              <w:jc w:val="center"/>
            </w:pPr>
            <w:r>
              <w:t>Std. Deviation</w:t>
            </w:r>
          </w:p>
        </w:tc>
        <w:tc>
          <w:tcPr>
            <w:tcW w:w="192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E8B" w14:textId="77777777" w:rsidR="009E4375" w:rsidRDefault="00000000">
            <w:pPr>
              <w:spacing w:before="0" w:after="0"/>
              <w:ind w:left="60" w:right="60"/>
              <w:jc w:val="center"/>
            </w:pPr>
            <w:r>
              <w:t>Std. Error Mean</w:t>
            </w:r>
          </w:p>
        </w:tc>
      </w:tr>
      <w:tr w:rsidR="009E4375" w14:paraId="10CF6E93" w14:textId="77777777">
        <w:trPr>
          <w:trHeight w:val="330"/>
        </w:trPr>
        <w:tc>
          <w:tcPr>
            <w:tcW w:w="1275" w:type="dxa"/>
            <w:vMerge w:val="restart"/>
            <w:tcBorders>
              <w:top w:val="single" w:sz="5" w:space="0" w:color="152935"/>
              <w:left w:val="nil"/>
              <w:bottom w:val="single" w:sz="5" w:space="0" w:color="152935"/>
              <w:right w:val="nil"/>
            </w:tcBorders>
            <w:shd w:val="clear" w:color="auto" w:fill="E0E0E0"/>
            <w:tcMar>
              <w:top w:w="0" w:type="dxa"/>
              <w:left w:w="0" w:type="dxa"/>
              <w:bottom w:w="0" w:type="dxa"/>
              <w:right w:w="0" w:type="dxa"/>
            </w:tcMar>
          </w:tcPr>
          <w:p w14:paraId="10CF6E8D" w14:textId="77777777" w:rsidR="009E4375" w:rsidRDefault="00000000">
            <w:pPr>
              <w:spacing w:before="0" w:after="0" w:line="349" w:lineRule="auto"/>
              <w:ind w:left="60" w:right="60"/>
            </w:pPr>
            <w:r>
              <w:t>Overall QOL</w:t>
            </w:r>
          </w:p>
        </w:tc>
        <w:tc>
          <w:tcPr>
            <w:tcW w:w="1770" w:type="dxa"/>
            <w:tcBorders>
              <w:top w:val="nil"/>
              <w:left w:val="nil"/>
              <w:bottom w:val="single" w:sz="5" w:space="0" w:color="AEAEAE"/>
              <w:right w:val="nil"/>
            </w:tcBorders>
            <w:shd w:val="clear" w:color="auto" w:fill="E0E0E0"/>
            <w:tcMar>
              <w:top w:w="0" w:type="dxa"/>
              <w:left w:w="0" w:type="dxa"/>
              <w:bottom w:w="0" w:type="dxa"/>
              <w:right w:w="0" w:type="dxa"/>
            </w:tcMar>
          </w:tcPr>
          <w:p w14:paraId="10CF6E8E" w14:textId="77777777" w:rsidR="009E4375" w:rsidRDefault="00000000">
            <w:pPr>
              <w:spacing w:before="0" w:after="0" w:line="349" w:lineRule="auto"/>
              <w:ind w:left="60" w:right="60"/>
            </w:pPr>
            <w:r>
              <w:t>BIM</w:t>
            </w:r>
          </w:p>
        </w:tc>
        <w:tc>
          <w:tcPr>
            <w:tcW w:w="1170" w:type="dxa"/>
            <w:tcBorders>
              <w:top w:val="nil"/>
              <w:left w:val="nil"/>
              <w:bottom w:val="single" w:sz="5" w:space="0" w:color="AEAEAE"/>
              <w:right w:val="nil"/>
            </w:tcBorders>
            <w:shd w:val="clear" w:color="auto" w:fill="F9F9FB"/>
            <w:tcMar>
              <w:top w:w="0" w:type="dxa"/>
              <w:left w:w="0" w:type="dxa"/>
              <w:bottom w:w="0" w:type="dxa"/>
              <w:right w:w="0" w:type="dxa"/>
            </w:tcMar>
          </w:tcPr>
          <w:p w14:paraId="10CF6E8F" w14:textId="77777777" w:rsidR="009E4375" w:rsidRDefault="00000000">
            <w:pPr>
              <w:spacing w:before="0" w:after="0" w:line="349" w:lineRule="auto"/>
              <w:ind w:left="60" w:right="60"/>
              <w:jc w:val="right"/>
            </w:pPr>
            <w:r>
              <w:t>57</w:t>
            </w:r>
          </w:p>
        </w:tc>
        <w:tc>
          <w:tcPr>
            <w:tcW w:w="118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90" w14:textId="77777777" w:rsidR="009E4375" w:rsidRDefault="00000000">
            <w:pPr>
              <w:spacing w:before="0" w:after="0" w:line="349" w:lineRule="auto"/>
              <w:ind w:left="60" w:right="60"/>
              <w:jc w:val="right"/>
            </w:pPr>
            <w:r>
              <w:t>54.1502</w:t>
            </w:r>
          </w:p>
        </w:tc>
        <w:tc>
          <w:tcPr>
            <w:tcW w:w="1755"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91" w14:textId="77777777" w:rsidR="009E4375" w:rsidRDefault="00000000">
            <w:pPr>
              <w:spacing w:before="0" w:after="0" w:line="349" w:lineRule="auto"/>
              <w:ind w:left="60" w:right="60"/>
              <w:jc w:val="right"/>
            </w:pPr>
            <w:r>
              <w:t>10.78703</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92" w14:textId="77777777" w:rsidR="009E4375" w:rsidRDefault="00000000">
            <w:pPr>
              <w:spacing w:before="0" w:after="0" w:line="349" w:lineRule="auto"/>
              <w:ind w:left="60" w:right="60"/>
              <w:jc w:val="right"/>
            </w:pPr>
            <w:r>
              <w:t>1.42878</w:t>
            </w:r>
          </w:p>
        </w:tc>
      </w:tr>
      <w:tr w:rsidR="009E4375" w14:paraId="10CF6E9A" w14:textId="77777777">
        <w:trPr>
          <w:trHeight w:val="360"/>
        </w:trPr>
        <w:tc>
          <w:tcPr>
            <w:tcW w:w="1275" w:type="dxa"/>
            <w:vMerge/>
            <w:tcBorders>
              <w:top w:val="single" w:sz="5" w:space="0" w:color="152935"/>
              <w:left w:val="nil"/>
              <w:bottom w:val="single" w:sz="5" w:space="0" w:color="152935"/>
              <w:right w:val="nil"/>
            </w:tcBorders>
            <w:tcMar>
              <w:top w:w="100" w:type="dxa"/>
              <w:left w:w="100" w:type="dxa"/>
              <w:bottom w:w="100" w:type="dxa"/>
              <w:right w:w="100" w:type="dxa"/>
            </w:tcMar>
          </w:tcPr>
          <w:p w14:paraId="10CF6E94" w14:textId="77777777" w:rsidR="009E4375" w:rsidRDefault="009E4375"/>
        </w:tc>
        <w:tc>
          <w:tcPr>
            <w:tcW w:w="1770" w:type="dxa"/>
            <w:tcBorders>
              <w:top w:val="nil"/>
              <w:left w:val="nil"/>
              <w:bottom w:val="single" w:sz="5" w:space="0" w:color="152935"/>
              <w:right w:val="nil"/>
            </w:tcBorders>
            <w:shd w:val="clear" w:color="auto" w:fill="E0E0E0"/>
            <w:tcMar>
              <w:top w:w="0" w:type="dxa"/>
              <w:left w:w="0" w:type="dxa"/>
              <w:bottom w:w="0" w:type="dxa"/>
              <w:right w:w="0" w:type="dxa"/>
            </w:tcMar>
          </w:tcPr>
          <w:p w14:paraId="10CF6E95" w14:textId="77777777" w:rsidR="009E4375" w:rsidRDefault="00000000">
            <w:pPr>
              <w:spacing w:before="0" w:after="0" w:line="349" w:lineRule="auto"/>
              <w:ind w:left="60" w:right="60"/>
            </w:pPr>
            <w:r>
              <w:t>KTBM</w:t>
            </w:r>
          </w:p>
        </w:tc>
        <w:tc>
          <w:tcPr>
            <w:tcW w:w="1170" w:type="dxa"/>
            <w:tcBorders>
              <w:top w:val="nil"/>
              <w:left w:val="nil"/>
              <w:bottom w:val="single" w:sz="5" w:space="0" w:color="152935"/>
              <w:right w:val="nil"/>
            </w:tcBorders>
            <w:shd w:val="clear" w:color="auto" w:fill="F9F9FB"/>
            <w:tcMar>
              <w:top w:w="0" w:type="dxa"/>
              <w:left w:w="0" w:type="dxa"/>
              <w:bottom w:w="0" w:type="dxa"/>
              <w:right w:w="0" w:type="dxa"/>
            </w:tcMar>
          </w:tcPr>
          <w:p w14:paraId="10CF6E96" w14:textId="77777777" w:rsidR="009E4375" w:rsidRDefault="00000000">
            <w:pPr>
              <w:spacing w:before="0" w:after="0" w:line="349" w:lineRule="auto"/>
              <w:ind w:left="60" w:right="60"/>
              <w:jc w:val="right"/>
            </w:pPr>
            <w:r>
              <w:t>37</w:t>
            </w:r>
          </w:p>
        </w:tc>
        <w:tc>
          <w:tcPr>
            <w:tcW w:w="118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E97" w14:textId="77777777" w:rsidR="009E4375" w:rsidRDefault="00000000">
            <w:pPr>
              <w:spacing w:before="0" w:after="0" w:line="349" w:lineRule="auto"/>
              <w:ind w:left="60" w:right="60"/>
              <w:jc w:val="right"/>
            </w:pPr>
            <w:r>
              <w:t>52.3818</w:t>
            </w:r>
          </w:p>
        </w:tc>
        <w:tc>
          <w:tcPr>
            <w:tcW w:w="1755"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E98" w14:textId="77777777" w:rsidR="009E4375" w:rsidRDefault="00000000">
            <w:pPr>
              <w:spacing w:before="0" w:after="0" w:line="349" w:lineRule="auto"/>
              <w:ind w:left="60" w:right="60"/>
              <w:jc w:val="right"/>
            </w:pPr>
            <w:r>
              <w:t>11.50119</w:t>
            </w:r>
          </w:p>
        </w:tc>
        <w:tc>
          <w:tcPr>
            <w:tcW w:w="192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E99" w14:textId="77777777" w:rsidR="009E4375" w:rsidRDefault="00000000">
            <w:pPr>
              <w:spacing w:before="0" w:after="0" w:line="349" w:lineRule="auto"/>
              <w:ind w:left="60" w:right="60"/>
              <w:jc w:val="right"/>
            </w:pPr>
            <w:r>
              <w:t>1.89078</w:t>
            </w:r>
          </w:p>
        </w:tc>
      </w:tr>
    </w:tbl>
    <w:p w14:paraId="10CF6E9B" w14:textId="77777777" w:rsidR="009E4375" w:rsidRDefault="009E4375">
      <w:pPr>
        <w:ind w:firstLine="720"/>
      </w:pPr>
    </w:p>
    <w:p w14:paraId="10CF6E9C" w14:textId="77777777" w:rsidR="009E4375" w:rsidRDefault="00000000">
      <w:pPr>
        <w:ind w:firstLine="720"/>
      </w:pPr>
      <w:r>
        <w:t xml:space="preserve">An independent sample t-test was conducted to compare the effect of the type of signed communication they most often used, such as BIM and KTBM with their friends in the dormitories during their formative school years. In Table 18 and 19, there was no significant difference in the overall QOL for BIM (M = 54.15, SD = 10.79) and KTBM (M = 52.38, SD = 11.50) conditions; </w:t>
      </w:r>
      <w:proofErr w:type="gramStart"/>
      <w:r>
        <w:t>t(</w:t>
      </w:r>
      <w:proofErr w:type="gramEnd"/>
      <w:r>
        <w:t>92) = .757, p = 0.451, Cohen’s d = .16.</w:t>
      </w:r>
    </w:p>
    <w:p w14:paraId="0676B097" w14:textId="77777777" w:rsidR="008321B5" w:rsidRDefault="008321B5" w:rsidP="008321B5">
      <w:pPr>
        <w:spacing w:before="0" w:after="0"/>
        <w:ind w:firstLine="720"/>
        <w:rPr>
          <w:b/>
          <w:bCs/>
        </w:rPr>
      </w:pPr>
      <w:r>
        <w:t xml:space="preserve">A multivariate analysis of variance (MANOVA) was used to examine the effect of the type of signed communication, such as BIM and KTBM with friends in the dorm, in each subdomain of the QOL. In Table 20, for BIM, the means of each subdomain of QOL are: Self Accept (M = 72.69, SD = 15.84), Perceived Stigma (M = 44.10, SD = 20.41), Participation (M = 36.23, SD = 21.34). For KTBM, the means of each subdomain of QOL </w:t>
      </w:r>
      <w:proofErr w:type="gramStart"/>
      <w:r>
        <w:t>are:</w:t>
      </w:r>
      <w:proofErr w:type="gramEnd"/>
      <w:r>
        <w:t xml:space="preserve"> Self Accept (M = 69.82, SD = 18.28), Perceived Stigma (M = 42.40, SD = 21.38), Participation (M = 35.95, SD = 20.35). The results of the MANOVA indicate that there was no significant difference between BIM and KTBM in the dormitories at the p &lt; .05 for the two groups [</w:t>
      </w:r>
      <w:proofErr w:type="gramStart"/>
      <w:r>
        <w:t>F(</w:t>
      </w:r>
      <w:proofErr w:type="gramEnd"/>
      <w:r>
        <w:t>3, 90) = .33, p = .</w:t>
      </w:r>
      <w:proofErr w:type="gramStart"/>
      <w:r>
        <w:t>804,  Wilk’s</w:t>
      </w:r>
      <w:proofErr w:type="gramEnd"/>
      <w:r>
        <w:t xml:space="preserve"> λ = .989, partial η</w:t>
      </w:r>
      <m:oMath>
        <m:r>
          <w:rPr>
            <w:rFonts w:ascii="Cambria Math" w:hAnsi="Cambria Math"/>
          </w:rPr>
          <m:t>2</m:t>
        </m:r>
      </m:oMath>
      <w:r>
        <w:t xml:space="preserve"> = .011]. </w:t>
      </w:r>
    </w:p>
    <w:p w14:paraId="4CE83FB3" w14:textId="77777777" w:rsidR="00B52658" w:rsidRDefault="00B52658" w:rsidP="008321B5">
      <w:pPr>
        <w:spacing w:before="0" w:after="0"/>
        <w:ind w:firstLine="720"/>
      </w:pPr>
    </w:p>
    <w:p w14:paraId="4A3CD643" w14:textId="77777777" w:rsidR="00897D9F" w:rsidRDefault="00897D9F" w:rsidP="008321B5">
      <w:pPr>
        <w:spacing w:before="0" w:after="0"/>
        <w:ind w:firstLine="720"/>
      </w:pPr>
    </w:p>
    <w:p w14:paraId="342445B9" w14:textId="77777777" w:rsidR="00897D9F" w:rsidRDefault="00897D9F" w:rsidP="008321B5">
      <w:pPr>
        <w:spacing w:before="0" w:after="0"/>
        <w:ind w:firstLine="720"/>
      </w:pPr>
    </w:p>
    <w:p w14:paraId="2F62A50B" w14:textId="77777777" w:rsidR="00897D9F" w:rsidRDefault="00897D9F" w:rsidP="008321B5">
      <w:pPr>
        <w:spacing w:before="0" w:after="0"/>
        <w:ind w:firstLine="720"/>
      </w:pPr>
    </w:p>
    <w:p w14:paraId="384DA1E6" w14:textId="77777777" w:rsidR="00897D9F" w:rsidRDefault="00897D9F" w:rsidP="008321B5">
      <w:pPr>
        <w:spacing w:before="0" w:after="0"/>
        <w:ind w:firstLine="720"/>
      </w:pPr>
    </w:p>
    <w:p w14:paraId="254548D0" w14:textId="77777777" w:rsidR="00897D9F" w:rsidRDefault="00897D9F" w:rsidP="008321B5">
      <w:pPr>
        <w:spacing w:before="0" w:after="0"/>
        <w:ind w:firstLine="720"/>
      </w:pPr>
    </w:p>
    <w:p w14:paraId="22AAEE02" w14:textId="77777777" w:rsidR="00897D9F" w:rsidRDefault="00897D9F" w:rsidP="008321B5">
      <w:pPr>
        <w:spacing w:before="0" w:after="0"/>
        <w:ind w:firstLine="720"/>
      </w:pPr>
    </w:p>
    <w:p w14:paraId="5BC65762" w14:textId="77777777" w:rsidR="00897D9F" w:rsidRDefault="00897D9F" w:rsidP="008321B5">
      <w:pPr>
        <w:spacing w:before="0" w:after="0"/>
        <w:ind w:firstLine="720"/>
      </w:pPr>
    </w:p>
    <w:p w14:paraId="74D661C4" w14:textId="77777777" w:rsidR="00897D9F" w:rsidRDefault="00897D9F" w:rsidP="008321B5">
      <w:pPr>
        <w:spacing w:before="0" w:after="0"/>
        <w:ind w:firstLine="720"/>
      </w:pPr>
    </w:p>
    <w:p w14:paraId="229BA9C6" w14:textId="77777777" w:rsidR="00897D9F" w:rsidRDefault="00897D9F" w:rsidP="008321B5">
      <w:pPr>
        <w:spacing w:before="0" w:after="0"/>
        <w:ind w:firstLine="720"/>
      </w:pPr>
    </w:p>
    <w:p w14:paraId="764F10A5" w14:textId="77777777" w:rsidR="00897D9F" w:rsidRDefault="00897D9F" w:rsidP="008321B5">
      <w:pPr>
        <w:spacing w:before="0" w:after="0"/>
        <w:ind w:firstLine="720"/>
      </w:pPr>
    </w:p>
    <w:p w14:paraId="410204BF" w14:textId="77777777" w:rsidR="00897D9F" w:rsidRDefault="00897D9F" w:rsidP="008321B5">
      <w:pPr>
        <w:spacing w:before="0" w:after="0"/>
        <w:ind w:firstLine="720"/>
      </w:pPr>
    </w:p>
    <w:p w14:paraId="2612AB52" w14:textId="77777777" w:rsidR="00897D9F" w:rsidRDefault="00897D9F" w:rsidP="008321B5">
      <w:pPr>
        <w:spacing w:before="0" w:after="0"/>
        <w:ind w:firstLine="720"/>
      </w:pPr>
    </w:p>
    <w:p w14:paraId="43033BFD" w14:textId="77777777" w:rsidR="00714AAF" w:rsidRDefault="00714AAF" w:rsidP="008321B5">
      <w:pPr>
        <w:spacing w:before="0" w:after="0"/>
        <w:ind w:firstLine="720"/>
      </w:pPr>
    </w:p>
    <w:p w14:paraId="6C9CF77B" w14:textId="77777777" w:rsidR="00897D9F" w:rsidRDefault="00897D9F" w:rsidP="008321B5">
      <w:pPr>
        <w:spacing w:before="0" w:after="0"/>
        <w:ind w:firstLine="720"/>
      </w:pPr>
    </w:p>
    <w:p w14:paraId="10CF6E9E" w14:textId="77777777" w:rsidR="009E4375" w:rsidRDefault="00000000" w:rsidP="00714AAF">
      <w:pPr>
        <w:spacing w:before="0" w:after="0"/>
        <w:rPr>
          <w:b/>
          <w:bCs/>
        </w:rPr>
      </w:pPr>
      <w:r>
        <w:rPr>
          <w:b/>
          <w:bCs/>
        </w:rPr>
        <w:lastRenderedPageBreak/>
        <w:t>Table 19</w:t>
      </w:r>
    </w:p>
    <w:p w14:paraId="10CF6E9F" w14:textId="77777777" w:rsidR="009E4375" w:rsidRDefault="00000000" w:rsidP="00714AAF">
      <w:pPr>
        <w:spacing w:before="0" w:after="0"/>
        <w:rPr>
          <w:i/>
          <w:iCs/>
        </w:rPr>
      </w:pPr>
      <w:r>
        <w:rPr>
          <w:i/>
          <w:iCs/>
        </w:rPr>
        <w:t>Independent Samples T-test Comparing BIM and KTBM</w:t>
      </w:r>
    </w:p>
    <w:tbl>
      <w:tblPr>
        <w:tblStyle w:val="ad"/>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10"/>
        <w:gridCol w:w="990"/>
        <w:gridCol w:w="630"/>
        <w:gridCol w:w="540"/>
        <w:gridCol w:w="540"/>
        <w:gridCol w:w="810"/>
        <w:gridCol w:w="720"/>
        <w:gridCol w:w="720"/>
        <w:gridCol w:w="1080"/>
        <w:gridCol w:w="1080"/>
        <w:gridCol w:w="720"/>
        <w:gridCol w:w="720"/>
      </w:tblGrid>
      <w:tr w:rsidR="00D45233" w14:paraId="773B88A6" w14:textId="77777777" w:rsidTr="009C2FCD">
        <w:trPr>
          <w:trHeight w:val="315"/>
        </w:trPr>
        <w:tc>
          <w:tcPr>
            <w:tcW w:w="9360" w:type="dxa"/>
            <w:gridSpan w:val="12"/>
            <w:tcBorders>
              <w:top w:val="nil"/>
              <w:left w:val="nil"/>
              <w:bottom w:val="nil"/>
              <w:right w:val="nil"/>
            </w:tcBorders>
            <w:shd w:val="clear" w:color="auto" w:fill="FFFFFF"/>
            <w:tcMar>
              <w:top w:w="0" w:type="dxa"/>
              <w:left w:w="0" w:type="dxa"/>
              <w:bottom w:w="0" w:type="dxa"/>
              <w:right w:w="0" w:type="dxa"/>
            </w:tcMar>
          </w:tcPr>
          <w:p w14:paraId="75F94791" w14:textId="77777777" w:rsidR="00D45233" w:rsidRPr="00972D68" w:rsidRDefault="00D45233" w:rsidP="00714AAF">
            <w:pPr>
              <w:spacing w:before="0" w:after="0"/>
              <w:ind w:left="60" w:right="60"/>
              <w:jc w:val="center"/>
              <w:rPr>
                <w:sz w:val="20"/>
                <w:szCs w:val="20"/>
              </w:rPr>
            </w:pPr>
            <w:r w:rsidRPr="00972D68">
              <w:t>Independent Samples Test</w:t>
            </w:r>
          </w:p>
        </w:tc>
      </w:tr>
      <w:tr w:rsidR="00D45233" w14:paraId="12EFACF0" w14:textId="77777777" w:rsidTr="00226C41">
        <w:trPr>
          <w:trHeight w:val="1216"/>
        </w:trPr>
        <w:tc>
          <w:tcPr>
            <w:tcW w:w="1800" w:type="dxa"/>
            <w:gridSpan w:val="2"/>
            <w:vMerge w:val="restart"/>
            <w:tcBorders>
              <w:top w:val="nil"/>
              <w:left w:val="nil"/>
              <w:bottom w:val="nil"/>
              <w:right w:val="nil"/>
            </w:tcBorders>
            <w:shd w:val="clear" w:color="auto" w:fill="FFFFFF"/>
            <w:tcMar>
              <w:top w:w="0" w:type="dxa"/>
              <w:left w:w="0" w:type="dxa"/>
              <w:bottom w:w="0" w:type="dxa"/>
              <w:right w:w="0" w:type="dxa"/>
            </w:tcMar>
            <w:vAlign w:val="bottom"/>
          </w:tcPr>
          <w:p w14:paraId="41F635A0" w14:textId="77777777" w:rsidR="00D45233" w:rsidRPr="00A00C11" w:rsidRDefault="00D45233" w:rsidP="009C2FCD">
            <w:pPr>
              <w:spacing w:before="0" w:after="0" w:line="240" w:lineRule="auto"/>
              <w:rPr>
                <w:sz w:val="20"/>
                <w:szCs w:val="20"/>
              </w:rPr>
            </w:pPr>
            <w:r w:rsidRPr="00A00C11">
              <w:rPr>
                <w:sz w:val="20"/>
                <w:szCs w:val="20"/>
              </w:rPr>
              <w:t xml:space="preserve"> </w:t>
            </w:r>
          </w:p>
        </w:tc>
        <w:tc>
          <w:tcPr>
            <w:tcW w:w="1170" w:type="dxa"/>
            <w:gridSpan w:val="2"/>
            <w:tcBorders>
              <w:top w:val="nil"/>
              <w:left w:val="nil"/>
              <w:bottom w:val="single" w:sz="4" w:space="0" w:color="auto"/>
              <w:right w:val="single" w:sz="6" w:space="0" w:color="E0E0E0"/>
            </w:tcBorders>
            <w:shd w:val="clear" w:color="auto" w:fill="FFFFFF"/>
            <w:tcMar>
              <w:top w:w="0" w:type="dxa"/>
              <w:left w:w="0" w:type="dxa"/>
              <w:bottom w:w="0" w:type="dxa"/>
              <w:right w:w="0" w:type="dxa"/>
            </w:tcMar>
            <w:vAlign w:val="bottom"/>
          </w:tcPr>
          <w:p w14:paraId="1D741591" w14:textId="77777777" w:rsidR="00D45233" w:rsidRPr="00A00C11" w:rsidRDefault="00D45233" w:rsidP="009C2FCD">
            <w:pPr>
              <w:spacing w:before="0" w:after="0" w:line="240" w:lineRule="auto"/>
              <w:ind w:left="60" w:right="60"/>
              <w:jc w:val="center"/>
              <w:rPr>
                <w:sz w:val="20"/>
                <w:szCs w:val="20"/>
              </w:rPr>
            </w:pPr>
            <w:r w:rsidRPr="00A00C11">
              <w:rPr>
                <w:sz w:val="20"/>
                <w:szCs w:val="20"/>
              </w:rPr>
              <w:t>Levene's Test for Equality of Variances</w:t>
            </w:r>
          </w:p>
        </w:tc>
        <w:tc>
          <w:tcPr>
            <w:tcW w:w="6390" w:type="dxa"/>
            <w:gridSpan w:val="8"/>
            <w:tcBorders>
              <w:top w:val="nil"/>
              <w:left w:val="single" w:sz="6" w:space="0" w:color="E0E0E0"/>
              <w:bottom w:val="single" w:sz="4" w:space="0" w:color="auto"/>
              <w:right w:val="nil"/>
            </w:tcBorders>
            <w:shd w:val="clear" w:color="auto" w:fill="FFFFFF"/>
            <w:tcMar>
              <w:top w:w="0" w:type="dxa"/>
              <w:left w:w="0" w:type="dxa"/>
              <w:bottom w:w="0" w:type="dxa"/>
              <w:right w:w="0" w:type="dxa"/>
            </w:tcMar>
            <w:vAlign w:val="bottom"/>
          </w:tcPr>
          <w:p w14:paraId="096C185F" w14:textId="77777777" w:rsidR="00D45233" w:rsidRPr="00A00C11" w:rsidRDefault="00D45233" w:rsidP="009C2FCD">
            <w:pPr>
              <w:spacing w:before="0" w:after="0" w:line="240" w:lineRule="auto"/>
              <w:ind w:left="60" w:right="60"/>
              <w:jc w:val="center"/>
              <w:rPr>
                <w:sz w:val="20"/>
                <w:szCs w:val="20"/>
              </w:rPr>
            </w:pPr>
            <w:r w:rsidRPr="00A00C11">
              <w:rPr>
                <w:sz w:val="20"/>
                <w:szCs w:val="20"/>
              </w:rPr>
              <w:t>t-test for Equality of Means</w:t>
            </w:r>
          </w:p>
        </w:tc>
      </w:tr>
      <w:tr w:rsidR="00D45233" w14:paraId="55259B37" w14:textId="77777777" w:rsidTr="00226C41">
        <w:trPr>
          <w:trHeight w:val="1036"/>
        </w:trPr>
        <w:tc>
          <w:tcPr>
            <w:tcW w:w="1800" w:type="dxa"/>
            <w:gridSpan w:val="2"/>
            <w:vMerge/>
            <w:tcBorders>
              <w:top w:val="single" w:sz="4" w:space="0" w:color="auto"/>
              <w:left w:val="nil"/>
              <w:bottom w:val="nil"/>
            </w:tcBorders>
            <w:tcMar>
              <w:top w:w="100" w:type="dxa"/>
              <w:left w:w="100" w:type="dxa"/>
              <w:bottom w:w="100" w:type="dxa"/>
              <w:right w:w="100" w:type="dxa"/>
            </w:tcMar>
          </w:tcPr>
          <w:p w14:paraId="0FCA1E0D" w14:textId="77777777" w:rsidR="00D45233" w:rsidRPr="00A00C11" w:rsidRDefault="00D45233" w:rsidP="009C2FCD">
            <w:pPr>
              <w:spacing w:line="240" w:lineRule="auto"/>
              <w:rPr>
                <w:sz w:val="20"/>
                <w:szCs w:val="20"/>
              </w:rPr>
            </w:pPr>
          </w:p>
        </w:tc>
        <w:tc>
          <w:tcPr>
            <w:tcW w:w="630" w:type="dxa"/>
            <w:vMerge w:val="restart"/>
            <w:tcBorders>
              <w:top w:val="single" w:sz="4" w:space="0" w:color="auto"/>
              <w:left w:val="nil"/>
              <w:bottom w:val="nil"/>
              <w:right w:val="nil"/>
            </w:tcBorders>
            <w:shd w:val="clear" w:color="auto" w:fill="FFFFFF"/>
            <w:tcMar>
              <w:top w:w="0" w:type="dxa"/>
              <w:left w:w="0" w:type="dxa"/>
              <w:bottom w:w="0" w:type="dxa"/>
              <w:right w:w="0" w:type="dxa"/>
            </w:tcMar>
            <w:vAlign w:val="bottom"/>
          </w:tcPr>
          <w:p w14:paraId="57EF884D" w14:textId="77777777" w:rsidR="00D45233" w:rsidRPr="00A00C11" w:rsidRDefault="00D45233" w:rsidP="009C2FCD">
            <w:pPr>
              <w:spacing w:before="0" w:after="0" w:line="240" w:lineRule="auto"/>
              <w:ind w:left="60" w:right="60"/>
              <w:jc w:val="center"/>
              <w:rPr>
                <w:sz w:val="20"/>
                <w:szCs w:val="20"/>
              </w:rPr>
            </w:pPr>
            <w:r w:rsidRPr="00A00C11">
              <w:rPr>
                <w:sz w:val="20"/>
                <w:szCs w:val="20"/>
              </w:rPr>
              <w:t>F</w:t>
            </w:r>
          </w:p>
        </w:tc>
        <w:tc>
          <w:tcPr>
            <w:tcW w:w="540" w:type="dxa"/>
            <w:vMerge w:val="restart"/>
            <w:tcBorders>
              <w:top w:val="single" w:sz="4" w:space="0" w:color="auto"/>
              <w:left w:val="single" w:sz="5" w:space="0" w:color="E0E0E0"/>
              <w:bottom w:val="nil"/>
              <w:right w:val="nil"/>
            </w:tcBorders>
            <w:shd w:val="clear" w:color="auto" w:fill="FFFFFF"/>
            <w:tcMar>
              <w:top w:w="0" w:type="dxa"/>
              <w:left w:w="0" w:type="dxa"/>
              <w:bottom w:w="0" w:type="dxa"/>
              <w:right w:w="0" w:type="dxa"/>
            </w:tcMar>
            <w:vAlign w:val="bottom"/>
          </w:tcPr>
          <w:p w14:paraId="1B4CD8ED" w14:textId="77777777" w:rsidR="00D45233" w:rsidRPr="00A00C11" w:rsidRDefault="00D45233" w:rsidP="009C2FCD">
            <w:pPr>
              <w:spacing w:before="0" w:after="0" w:line="240" w:lineRule="auto"/>
              <w:ind w:left="60" w:right="60"/>
              <w:jc w:val="center"/>
              <w:rPr>
                <w:sz w:val="20"/>
                <w:szCs w:val="20"/>
              </w:rPr>
            </w:pPr>
            <w:r w:rsidRPr="00A00C11">
              <w:rPr>
                <w:sz w:val="20"/>
                <w:szCs w:val="20"/>
              </w:rPr>
              <w:t>Sig.</w:t>
            </w:r>
          </w:p>
        </w:tc>
        <w:tc>
          <w:tcPr>
            <w:tcW w:w="540" w:type="dxa"/>
            <w:vMerge w:val="restart"/>
            <w:tcBorders>
              <w:top w:val="single" w:sz="4" w:space="0" w:color="auto"/>
              <w:left w:val="single" w:sz="5" w:space="0" w:color="E0E0E0"/>
              <w:bottom w:val="nil"/>
              <w:right w:val="nil"/>
            </w:tcBorders>
            <w:shd w:val="clear" w:color="auto" w:fill="FFFFFF"/>
            <w:tcMar>
              <w:top w:w="0" w:type="dxa"/>
              <w:left w:w="0" w:type="dxa"/>
              <w:bottom w:w="0" w:type="dxa"/>
              <w:right w:w="0" w:type="dxa"/>
            </w:tcMar>
            <w:vAlign w:val="bottom"/>
          </w:tcPr>
          <w:p w14:paraId="6E2AC59A" w14:textId="77777777" w:rsidR="00D45233" w:rsidRPr="00A00C11" w:rsidRDefault="00D45233" w:rsidP="009C2FCD">
            <w:pPr>
              <w:spacing w:before="0" w:after="0" w:line="240" w:lineRule="auto"/>
              <w:ind w:left="60" w:right="60"/>
              <w:jc w:val="center"/>
              <w:rPr>
                <w:sz w:val="20"/>
                <w:szCs w:val="20"/>
              </w:rPr>
            </w:pPr>
            <w:r w:rsidRPr="00A00C11">
              <w:rPr>
                <w:sz w:val="20"/>
                <w:szCs w:val="20"/>
              </w:rPr>
              <w:t>t</w:t>
            </w:r>
          </w:p>
        </w:tc>
        <w:tc>
          <w:tcPr>
            <w:tcW w:w="810" w:type="dxa"/>
            <w:vMerge w:val="restart"/>
            <w:tcBorders>
              <w:top w:val="single" w:sz="4" w:space="0" w:color="auto"/>
              <w:left w:val="single" w:sz="5" w:space="0" w:color="E0E0E0"/>
              <w:bottom w:val="nil"/>
              <w:right w:val="single" w:sz="5" w:space="0" w:color="E0E0E0"/>
            </w:tcBorders>
            <w:shd w:val="clear" w:color="auto" w:fill="FFFFFF"/>
            <w:tcMar>
              <w:top w:w="0" w:type="dxa"/>
              <w:left w:w="0" w:type="dxa"/>
              <w:bottom w:w="0" w:type="dxa"/>
              <w:right w:w="0" w:type="dxa"/>
            </w:tcMar>
            <w:vAlign w:val="bottom"/>
          </w:tcPr>
          <w:p w14:paraId="79EB860D" w14:textId="77777777" w:rsidR="00D45233" w:rsidRPr="00A00C11" w:rsidRDefault="00D45233" w:rsidP="009C2FCD">
            <w:pPr>
              <w:spacing w:before="0" w:after="0" w:line="240" w:lineRule="auto"/>
              <w:ind w:left="60" w:right="60"/>
              <w:jc w:val="center"/>
              <w:rPr>
                <w:sz w:val="20"/>
                <w:szCs w:val="20"/>
              </w:rPr>
            </w:pPr>
            <w:proofErr w:type="spellStart"/>
            <w:r w:rsidRPr="00A00C11">
              <w:rPr>
                <w:sz w:val="20"/>
                <w:szCs w:val="20"/>
              </w:rPr>
              <w:t>df</w:t>
            </w:r>
            <w:proofErr w:type="spellEnd"/>
          </w:p>
        </w:tc>
        <w:tc>
          <w:tcPr>
            <w:tcW w:w="1440" w:type="dxa"/>
            <w:gridSpan w:val="2"/>
            <w:tcBorders>
              <w:top w:val="single" w:sz="4" w:space="0" w:color="auto"/>
              <w:left w:val="nil"/>
              <w:bottom w:val="nil"/>
              <w:right w:val="nil"/>
            </w:tcBorders>
            <w:shd w:val="clear" w:color="auto" w:fill="FFFFFF"/>
            <w:tcMar>
              <w:top w:w="0" w:type="dxa"/>
              <w:left w:w="0" w:type="dxa"/>
              <w:bottom w:w="0" w:type="dxa"/>
              <w:right w:w="0" w:type="dxa"/>
            </w:tcMar>
            <w:vAlign w:val="bottom"/>
          </w:tcPr>
          <w:p w14:paraId="5B828A25" w14:textId="77777777" w:rsidR="00D45233" w:rsidRPr="00A00C11" w:rsidRDefault="00D45233" w:rsidP="009C2FCD">
            <w:pPr>
              <w:spacing w:before="0" w:after="0" w:line="240" w:lineRule="auto"/>
              <w:ind w:left="60" w:right="60"/>
              <w:jc w:val="center"/>
              <w:rPr>
                <w:sz w:val="20"/>
                <w:szCs w:val="20"/>
              </w:rPr>
            </w:pPr>
            <w:r w:rsidRPr="00A00C11">
              <w:rPr>
                <w:sz w:val="20"/>
                <w:szCs w:val="20"/>
              </w:rPr>
              <w:t>Significance</w:t>
            </w:r>
          </w:p>
        </w:tc>
        <w:tc>
          <w:tcPr>
            <w:tcW w:w="1080" w:type="dxa"/>
            <w:vMerge w:val="restart"/>
            <w:tcBorders>
              <w:top w:val="single" w:sz="4" w:space="0" w:color="auto"/>
              <w:left w:val="single" w:sz="5" w:space="0" w:color="E0E0E0"/>
              <w:bottom w:val="nil"/>
              <w:right w:val="single" w:sz="5" w:space="0" w:color="E0E0E0"/>
            </w:tcBorders>
            <w:shd w:val="clear" w:color="auto" w:fill="FFFFFF"/>
            <w:tcMar>
              <w:top w:w="0" w:type="dxa"/>
              <w:left w:w="0" w:type="dxa"/>
              <w:bottom w:w="0" w:type="dxa"/>
              <w:right w:w="0" w:type="dxa"/>
            </w:tcMar>
            <w:vAlign w:val="bottom"/>
          </w:tcPr>
          <w:p w14:paraId="39FA9D29" w14:textId="77777777" w:rsidR="00D45233" w:rsidRPr="00A00C11" w:rsidRDefault="00D45233" w:rsidP="009C2FCD">
            <w:pPr>
              <w:spacing w:before="0" w:after="0" w:line="240" w:lineRule="auto"/>
              <w:ind w:left="60" w:right="60"/>
              <w:jc w:val="center"/>
              <w:rPr>
                <w:sz w:val="20"/>
                <w:szCs w:val="20"/>
              </w:rPr>
            </w:pPr>
            <w:r w:rsidRPr="00A00C11">
              <w:rPr>
                <w:sz w:val="20"/>
                <w:szCs w:val="20"/>
              </w:rPr>
              <w:t>Mean Difference</w:t>
            </w:r>
          </w:p>
        </w:tc>
        <w:tc>
          <w:tcPr>
            <w:tcW w:w="1080" w:type="dxa"/>
            <w:vMerge w:val="restart"/>
            <w:tcBorders>
              <w:top w:val="single" w:sz="4" w:space="0" w:color="auto"/>
              <w:left w:val="nil"/>
              <w:bottom w:val="nil"/>
              <w:right w:val="single" w:sz="5" w:space="0" w:color="E0E0E0"/>
            </w:tcBorders>
            <w:shd w:val="clear" w:color="auto" w:fill="FFFFFF"/>
            <w:tcMar>
              <w:top w:w="0" w:type="dxa"/>
              <w:left w:w="0" w:type="dxa"/>
              <w:bottom w:w="0" w:type="dxa"/>
              <w:right w:w="0" w:type="dxa"/>
            </w:tcMar>
            <w:vAlign w:val="bottom"/>
          </w:tcPr>
          <w:p w14:paraId="5E6C0110" w14:textId="77777777" w:rsidR="00D45233" w:rsidRPr="00A00C11" w:rsidRDefault="00D45233" w:rsidP="009C2FCD">
            <w:pPr>
              <w:spacing w:before="0" w:after="0" w:line="240" w:lineRule="auto"/>
              <w:ind w:left="60" w:right="60"/>
              <w:jc w:val="center"/>
              <w:rPr>
                <w:sz w:val="20"/>
                <w:szCs w:val="20"/>
              </w:rPr>
            </w:pPr>
            <w:r w:rsidRPr="00A00C11">
              <w:rPr>
                <w:sz w:val="20"/>
                <w:szCs w:val="20"/>
              </w:rPr>
              <w:t>Std. Error Difference</w:t>
            </w:r>
          </w:p>
        </w:tc>
        <w:tc>
          <w:tcPr>
            <w:tcW w:w="1440" w:type="dxa"/>
            <w:gridSpan w:val="2"/>
            <w:tcBorders>
              <w:top w:val="single" w:sz="4" w:space="0" w:color="auto"/>
              <w:left w:val="nil"/>
              <w:bottom w:val="nil"/>
              <w:right w:val="nil"/>
            </w:tcBorders>
            <w:shd w:val="clear" w:color="auto" w:fill="FFFFFF"/>
            <w:tcMar>
              <w:top w:w="0" w:type="dxa"/>
              <w:left w:w="0" w:type="dxa"/>
              <w:bottom w:w="0" w:type="dxa"/>
              <w:right w:w="0" w:type="dxa"/>
            </w:tcMar>
            <w:vAlign w:val="bottom"/>
          </w:tcPr>
          <w:p w14:paraId="7071B47A" w14:textId="77777777" w:rsidR="00D45233" w:rsidRPr="00A00C11" w:rsidRDefault="00D45233" w:rsidP="009C2FCD">
            <w:pPr>
              <w:spacing w:before="0" w:after="0" w:line="240" w:lineRule="auto"/>
              <w:ind w:left="60" w:right="60"/>
              <w:jc w:val="center"/>
              <w:rPr>
                <w:sz w:val="20"/>
                <w:szCs w:val="20"/>
              </w:rPr>
            </w:pPr>
            <w:r w:rsidRPr="00A00C11">
              <w:rPr>
                <w:sz w:val="20"/>
                <w:szCs w:val="20"/>
              </w:rPr>
              <w:t>95% Confidence Interval of the Difference</w:t>
            </w:r>
          </w:p>
        </w:tc>
      </w:tr>
      <w:tr w:rsidR="00306103" w14:paraId="688BC33E" w14:textId="77777777" w:rsidTr="00C96493">
        <w:trPr>
          <w:trHeight w:val="413"/>
        </w:trPr>
        <w:tc>
          <w:tcPr>
            <w:tcW w:w="1800" w:type="dxa"/>
            <w:gridSpan w:val="2"/>
            <w:vMerge/>
            <w:tcBorders>
              <w:top w:val="nil"/>
              <w:left w:val="nil"/>
              <w:bottom w:val="nil"/>
            </w:tcBorders>
            <w:tcMar>
              <w:top w:w="100" w:type="dxa"/>
              <w:left w:w="100" w:type="dxa"/>
              <w:bottom w:w="100" w:type="dxa"/>
              <w:right w:w="100" w:type="dxa"/>
            </w:tcMar>
          </w:tcPr>
          <w:p w14:paraId="1EC0603A" w14:textId="77777777" w:rsidR="00D45233" w:rsidRPr="00A00C11" w:rsidRDefault="00D45233" w:rsidP="009C2FCD">
            <w:pPr>
              <w:spacing w:line="240" w:lineRule="auto"/>
              <w:rPr>
                <w:sz w:val="20"/>
                <w:szCs w:val="20"/>
              </w:rPr>
            </w:pPr>
          </w:p>
        </w:tc>
        <w:tc>
          <w:tcPr>
            <w:tcW w:w="630" w:type="dxa"/>
            <w:vMerge/>
            <w:tcBorders>
              <w:top w:val="nil"/>
              <w:left w:val="nil"/>
              <w:bottom w:val="nil"/>
              <w:right w:val="nil"/>
            </w:tcBorders>
            <w:tcMar>
              <w:top w:w="100" w:type="dxa"/>
              <w:left w:w="100" w:type="dxa"/>
              <w:bottom w:w="100" w:type="dxa"/>
              <w:right w:w="100" w:type="dxa"/>
            </w:tcMar>
          </w:tcPr>
          <w:p w14:paraId="55386357" w14:textId="77777777" w:rsidR="00D45233" w:rsidRPr="00A00C11" w:rsidRDefault="00D45233" w:rsidP="009C2FCD">
            <w:pPr>
              <w:spacing w:line="240" w:lineRule="auto"/>
              <w:rPr>
                <w:sz w:val="20"/>
                <w:szCs w:val="20"/>
              </w:rPr>
            </w:pPr>
          </w:p>
        </w:tc>
        <w:tc>
          <w:tcPr>
            <w:tcW w:w="540" w:type="dxa"/>
            <w:vMerge/>
            <w:tcBorders>
              <w:top w:val="nil"/>
              <w:left w:val="single" w:sz="5" w:space="0" w:color="E0E0E0"/>
              <w:bottom w:val="nil"/>
              <w:right w:val="nil"/>
            </w:tcBorders>
            <w:tcMar>
              <w:top w:w="100" w:type="dxa"/>
              <w:left w:w="100" w:type="dxa"/>
              <w:bottom w:w="100" w:type="dxa"/>
              <w:right w:w="100" w:type="dxa"/>
            </w:tcMar>
          </w:tcPr>
          <w:p w14:paraId="6F47EB60" w14:textId="77777777" w:rsidR="00D45233" w:rsidRPr="00A00C11" w:rsidRDefault="00D45233" w:rsidP="009C2FCD">
            <w:pPr>
              <w:spacing w:line="240" w:lineRule="auto"/>
              <w:rPr>
                <w:sz w:val="20"/>
                <w:szCs w:val="20"/>
              </w:rPr>
            </w:pPr>
          </w:p>
        </w:tc>
        <w:tc>
          <w:tcPr>
            <w:tcW w:w="540" w:type="dxa"/>
            <w:vMerge/>
            <w:tcBorders>
              <w:top w:val="nil"/>
              <w:left w:val="single" w:sz="5" w:space="0" w:color="E0E0E0"/>
              <w:bottom w:val="nil"/>
              <w:right w:val="nil"/>
            </w:tcBorders>
            <w:tcMar>
              <w:top w:w="100" w:type="dxa"/>
              <w:left w:w="100" w:type="dxa"/>
              <w:bottom w:w="100" w:type="dxa"/>
              <w:right w:w="100" w:type="dxa"/>
            </w:tcMar>
          </w:tcPr>
          <w:p w14:paraId="351DBBDC" w14:textId="77777777" w:rsidR="00D45233" w:rsidRPr="00A00C11" w:rsidRDefault="00D45233" w:rsidP="009C2FCD">
            <w:pPr>
              <w:spacing w:line="240" w:lineRule="auto"/>
              <w:rPr>
                <w:sz w:val="20"/>
                <w:szCs w:val="20"/>
              </w:rPr>
            </w:pPr>
          </w:p>
        </w:tc>
        <w:tc>
          <w:tcPr>
            <w:tcW w:w="810" w:type="dxa"/>
            <w:vMerge/>
            <w:tcBorders>
              <w:top w:val="nil"/>
              <w:left w:val="single" w:sz="5" w:space="0" w:color="E0E0E0"/>
              <w:bottom w:val="nil"/>
              <w:right w:val="single" w:sz="5" w:space="0" w:color="E0E0E0"/>
            </w:tcBorders>
            <w:tcMar>
              <w:top w:w="100" w:type="dxa"/>
              <w:left w:w="100" w:type="dxa"/>
              <w:bottom w:w="100" w:type="dxa"/>
              <w:right w:w="100" w:type="dxa"/>
            </w:tcMar>
          </w:tcPr>
          <w:p w14:paraId="50BCB5AC" w14:textId="77777777" w:rsidR="00D45233" w:rsidRPr="00A00C11" w:rsidRDefault="00D45233" w:rsidP="009C2FCD">
            <w:pPr>
              <w:spacing w:line="240" w:lineRule="auto"/>
              <w:rPr>
                <w:sz w:val="20"/>
                <w:szCs w:val="20"/>
              </w:rPr>
            </w:pPr>
          </w:p>
        </w:tc>
        <w:tc>
          <w:tcPr>
            <w:tcW w:w="72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72925DA6" w14:textId="77777777" w:rsidR="00D45233" w:rsidRPr="00A00C11" w:rsidRDefault="00D45233" w:rsidP="009C2FCD">
            <w:pPr>
              <w:spacing w:before="0" w:after="0" w:line="240" w:lineRule="auto"/>
              <w:ind w:left="60" w:right="60"/>
              <w:jc w:val="center"/>
              <w:rPr>
                <w:sz w:val="20"/>
                <w:szCs w:val="20"/>
              </w:rPr>
            </w:pPr>
            <w:r w:rsidRPr="00A00C11">
              <w:rPr>
                <w:sz w:val="20"/>
                <w:szCs w:val="20"/>
              </w:rPr>
              <w:t>One-Sided p</w:t>
            </w:r>
          </w:p>
        </w:tc>
        <w:tc>
          <w:tcPr>
            <w:tcW w:w="720" w:type="dxa"/>
            <w:tcBorders>
              <w:top w:val="nil"/>
              <w:left w:val="single" w:sz="5" w:space="0" w:color="E0E0E0"/>
              <w:bottom w:val="single" w:sz="5" w:space="0" w:color="152935"/>
              <w:right w:val="single" w:sz="5" w:space="0" w:color="E0E0E0"/>
            </w:tcBorders>
            <w:shd w:val="clear" w:color="auto" w:fill="FFFFFF"/>
            <w:tcMar>
              <w:top w:w="0" w:type="dxa"/>
              <w:left w:w="0" w:type="dxa"/>
              <w:bottom w:w="0" w:type="dxa"/>
              <w:right w:w="0" w:type="dxa"/>
            </w:tcMar>
            <w:vAlign w:val="bottom"/>
          </w:tcPr>
          <w:p w14:paraId="741FA529" w14:textId="77777777" w:rsidR="00D45233" w:rsidRPr="00A00C11" w:rsidRDefault="00D45233" w:rsidP="009C2FCD">
            <w:pPr>
              <w:spacing w:before="0" w:after="0" w:line="240" w:lineRule="auto"/>
              <w:ind w:left="60" w:right="60"/>
              <w:jc w:val="center"/>
              <w:rPr>
                <w:sz w:val="20"/>
                <w:szCs w:val="20"/>
              </w:rPr>
            </w:pPr>
            <w:r w:rsidRPr="00A00C11">
              <w:rPr>
                <w:sz w:val="20"/>
                <w:szCs w:val="20"/>
              </w:rPr>
              <w:t>Two-Sided p</w:t>
            </w:r>
          </w:p>
        </w:tc>
        <w:tc>
          <w:tcPr>
            <w:tcW w:w="1080" w:type="dxa"/>
            <w:vMerge/>
            <w:tcBorders>
              <w:top w:val="nil"/>
              <w:left w:val="single" w:sz="5" w:space="0" w:color="E0E0E0"/>
              <w:bottom w:val="nil"/>
              <w:right w:val="single" w:sz="5" w:space="0" w:color="E0E0E0"/>
            </w:tcBorders>
            <w:tcMar>
              <w:top w:w="100" w:type="dxa"/>
              <w:left w:w="100" w:type="dxa"/>
              <w:bottom w:w="100" w:type="dxa"/>
              <w:right w:w="100" w:type="dxa"/>
            </w:tcMar>
          </w:tcPr>
          <w:p w14:paraId="7D0FF979" w14:textId="77777777" w:rsidR="00D45233" w:rsidRPr="00A00C11" w:rsidRDefault="00D45233" w:rsidP="009C2FCD">
            <w:pPr>
              <w:spacing w:line="240" w:lineRule="auto"/>
              <w:rPr>
                <w:sz w:val="20"/>
                <w:szCs w:val="20"/>
              </w:rPr>
            </w:pPr>
          </w:p>
        </w:tc>
        <w:tc>
          <w:tcPr>
            <w:tcW w:w="1080" w:type="dxa"/>
            <w:vMerge/>
            <w:tcBorders>
              <w:top w:val="nil"/>
              <w:left w:val="nil"/>
              <w:bottom w:val="nil"/>
              <w:right w:val="single" w:sz="5" w:space="0" w:color="E0E0E0"/>
            </w:tcBorders>
            <w:tcMar>
              <w:top w:w="100" w:type="dxa"/>
              <w:left w:w="100" w:type="dxa"/>
              <w:bottom w:w="100" w:type="dxa"/>
              <w:right w:w="100" w:type="dxa"/>
            </w:tcMar>
          </w:tcPr>
          <w:p w14:paraId="68E2803B" w14:textId="77777777" w:rsidR="00D45233" w:rsidRPr="00A00C11" w:rsidRDefault="00D45233" w:rsidP="009C2FCD">
            <w:pPr>
              <w:spacing w:line="240" w:lineRule="auto"/>
              <w:rPr>
                <w:sz w:val="20"/>
                <w:szCs w:val="20"/>
              </w:rPr>
            </w:pPr>
          </w:p>
        </w:tc>
        <w:tc>
          <w:tcPr>
            <w:tcW w:w="72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545E3937" w14:textId="77777777" w:rsidR="00D45233" w:rsidRPr="00A00C11" w:rsidRDefault="00D45233" w:rsidP="009C2FCD">
            <w:pPr>
              <w:spacing w:before="0" w:after="0" w:line="240" w:lineRule="auto"/>
              <w:ind w:left="60" w:right="60"/>
              <w:jc w:val="center"/>
              <w:rPr>
                <w:sz w:val="20"/>
                <w:szCs w:val="20"/>
              </w:rPr>
            </w:pPr>
            <w:r w:rsidRPr="00A00C11">
              <w:rPr>
                <w:sz w:val="20"/>
                <w:szCs w:val="20"/>
              </w:rPr>
              <w:t>Lower</w:t>
            </w:r>
          </w:p>
        </w:tc>
        <w:tc>
          <w:tcPr>
            <w:tcW w:w="72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3DC5CE65" w14:textId="77777777" w:rsidR="00D45233" w:rsidRPr="00A00C11" w:rsidRDefault="00D45233" w:rsidP="009C2FCD">
            <w:pPr>
              <w:spacing w:before="0" w:after="0" w:line="240" w:lineRule="auto"/>
              <w:ind w:left="60" w:right="60"/>
              <w:jc w:val="center"/>
              <w:rPr>
                <w:sz w:val="20"/>
                <w:szCs w:val="20"/>
              </w:rPr>
            </w:pPr>
            <w:r w:rsidRPr="00A00C11">
              <w:rPr>
                <w:sz w:val="20"/>
                <w:szCs w:val="20"/>
              </w:rPr>
              <w:t>Upper</w:t>
            </w:r>
          </w:p>
        </w:tc>
      </w:tr>
      <w:tr w:rsidR="00D45233" w14:paraId="461DD0B7" w14:textId="77777777" w:rsidTr="00C96493">
        <w:trPr>
          <w:trHeight w:val="726"/>
        </w:trPr>
        <w:tc>
          <w:tcPr>
            <w:tcW w:w="810" w:type="dxa"/>
            <w:vMerge w:val="restart"/>
            <w:tcBorders>
              <w:top w:val="single" w:sz="5" w:space="0" w:color="152935"/>
              <w:left w:val="nil"/>
              <w:bottom w:val="single" w:sz="5" w:space="0" w:color="152935"/>
              <w:right w:val="nil"/>
            </w:tcBorders>
            <w:shd w:val="clear" w:color="auto" w:fill="E0E0E0"/>
            <w:tcMar>
              <w:top w:w="0" w:type="dxa"/>
              <w:left w:w="0" w:type="dxa"/>
              <w:bottom w:w="0" w:type="dxa"/>
              <w:right w:w="0" w:type="dxa"/>
            </w:tcMar>
          </w:tcPr>
          <w:p w14:paraId="54CE1776" w14:textId="77777777" w:rsidR="00D45233" w:rsidRPr="00A00C11" w:rsidRDefault="00D45233" w:rsidP="00D45233">
            <w:pPr>
              <w:spacing w:before="0" w:after="0" w:line="240" w:lineRule="auto"/>
              <w:ind w:left="60" w:right="60"/>
              <w:rPr>
                <w:sz w:val="20"/>
                <w:szCs w:val="20"/>
              </w:rPr>
            </w:pPr>
            <w:r w:rsidRPr="00A00C11">
              <w:rPr>
                <w:sz w:val="20"/>
                <w:szCs w:val="20"/>
              </w:rPr>
              <w:t>Overall QOL</w:t>
            </w:r>
          </w:p>
        </w:tc>
        <w:tc>
          <w:tcPr>
            <w:tcW w:w="990" w:type="dxa"/>
            <w:tcBorders>
              <w:top w:val="single" w:sz="5" w:space="0" w:color="152935"/>
              <w:left w:val="nil"/>
              <w:bottom w:val="single" w:sz="5" w:space="0" w:color="AEAEAE"/>
              <w:right w:val="nil"/>
            </w:tcBorders>
            <w:shd w:val="clear" w:color="auto" w:fill="E0E0E0"/>
            <w:tcMar>
              <w:top w:w="0" w:type="dxa"/>
              <w:left w:w="0" w:type="dxa"/>
              <w:bottom w:w="0" w:type="dxa"/>
              <w:right w:w="0" w:type="dxa"/>
            </w:tcMar>
          </w:tcPr>
          <w:p w14:paraId="0166DFF7" w14:textId="77777777" w:rsidR="00D45233" w:rsidRPr="00A00C11" w:rsidRDefault="00D45233" w:rsidP="00D45233">
            <w:pPr>
              <w:spacing w:before="0" w:after="0" w:line="240" w:lineRule="auto"/>
              <w:ind w:left="60" w:right="60"/>
              <w:rPr>
                <w:sz w:val="20"/>
                <w:szCs w:val="20"/>
              </w:rPr>
            </w:pPr>
            <w:r w:rsidRPr="00A00C11">
              <w:rPr>
                <w:sz w:val="20"/>
                <w:szCs w:val="20"/>
              </w:rPr>
              <w:t>Equal variances assumed</w:t>
            </w:r>
          </w:p>
        </w:tc>
        <w:tc>
          <w:tcPr>
            <w:tcW w:w="630" w:type="dxa"/>
            <w:tcBorders>
              <w:top w:val="single" w:sz="5" w:space="0" w:color="152935"/>
              <w:left w:val="nil"/>
              <w:bottom w:val="single" w:sz="5" w:space="0" w:color="AEAEAE"/>
              <w:right w:val="nil"/>
            </w:tcBorders>
            <w:shd w:val="clear" w:color="auto" w:fill="F9F9FB"/>
            <w:tcMar>
              <w:top w:w="0" w:type="dxa"/>
              <w:left w:w="0" w:type="dxa"/>
              <w:bottom w:w="0" w:type="dxa"/>
              <w:right w:w="0" w:type="dxa"/>
            </w:tcMar>
          </w:tcPr>
          <w:p w14:paraId="62AAAEE4" w14:textId="11D8EAD3" w:rsidR="00D45233" w:rsidRPr="00D45233" w:rsidRDefault="00D45233" w:rsidP="00D45233">
            <w:pPr>
              <w:spacing w:before="0" w:after="0" w:line="240" w:lineRule="auto"/>
              <w:ind w:left="60" w:right="60"/>
              <w:jc w:val="right"/>
              <w:rPr>
                <w:sz w:val="20"/>
                <w:szCs w:val="20"/>
              </w:rPr>
            </w:pPr>
            <w:r w:rsidRPr="00D45233">
              <w:rPr>
                <w:sz w:val="20"/>
                <w:szCs w:val="20"/>
              </w:rPr>
              <w:t>.279</w:t>
            </w:r>
          </w:p>
        </w:tc>
        <w:tc>
          <w:tcPr>
            <w:tcW w:w="540" w:type="dxa"/>
            <w:tcBorders>
              <w:top w:val="single" w:sz="5" w:space="0" w:color="152935"/>
              <w:left w:val="single" w:sz="5" w:space="0" w:color="E0E0E0"/>
              <w:bottom w:val="single" w:sz="5" w:space="0" w:color="AEAEAE"/>
              <w:right w:val="nil"/>
            </w:tcBorders>
            <w:shd w:val="clear" w:color="auto" w:fill="F9F9FB"/>
            <w:tcMar>
              <w:top w:w="0" w:type="dxa"/>
              <w:left w:w="0" w:type="dxa"/>
              <w:bottom w:w="0" w:type="dxa"/>
              <w:right w:w="0" w:type="dxa"/>
            </w:tcMar>
          </w:tcPr>
          <w:p w14:paraId="49044874" w14:textId="500F7DA1" w:rsidR="00D45233" w:rsidRPr="00D45233" w:rsidRDefault="00D45233" w:rsidP="00D45233">
            <w:pPr>
              <w:spacing w:before="0" w:after="0" w:line="240" w:lineRule="auto"/>
              <w:ind w:left="60" w:right="60"/>
              <w:jc w:val="right"/>
              <w:rPr>
                <w:sz w:val="20"/>
                <w:szCs w:val="20"/>
              </w:rPr>
            </w:pPr>
            <w:r w:rsidRPr="00D45233">
              <w:rPr>
                <w:sz w:val="20"/>
                <w:szCs w:val="20"/>
              </w:rPr>
              <w:t>.599</w:t>
            </w:r>
          </w:p>
        </w:tc>
        <w:tc>
          <w:tcPr>
            <w:tcW w:w="540" w:type="dxa"/>
            <w:tcBorders>
              <w:top w:val="single" w:sz="5" w:space="0" w:color="152935"/>
              <w:left w:val="single" w:sz="5" w:space="0" w:color="E0E0E0"/>
              <w:bottom w:val="single" w:sz="5" w:space="0" w:color="AEAEAE"/>
              <w:right w:val="nil"/>
            </w:tcBorders>
            <w:shd w:val="clear" w:color="auto" w:fill="F9F9FB"/>
            <w:tcMar>
              <w:top w:w="0" w:type="dxa"/>
              <w:left w:w="0" w:type="dxa"/>
              <w:bottom w:w="0" w:type="dxa"/>
              <w:right w:w="0" w:type="dxa"/>
            </w:tcMar>
          </w:tcPr>
          <w:p w14:paraId="445C7776" w14:textId="03867A26" w:rsidR="00D45233" w:rsidRPr="00D45233" w:rsidRDefault="00D45233" w:rsidP="00D45233">
            <w:pPr>
              <w:spacing w:before="0" w:after="0" w:line="240" w:lineRule="auto"/>
              <w:ind w:left="60" w:right="60"/>
              <w:jc w:val="right"/>
              <w:rPr>
                <w:sz w:val="20"/>
                <w:szCs w:val="20"/>
              </w:rPr>
            </w:pPr>
            <w:r w:rsidRPr="00D45233">
              <w:rPr>
                <w:sz w:val="20"/>
                <w:szCs w:val="20"/>
              </w:rPr>
              <w:t>.757</w:t>
            </w:r>
          </w:p>
        </w:tc>
        <w:tc>
          <w:tcPr>
            <w:tcW w:w="810" w:type="dxa"/>
            <w:tcBorders>
              <w:top w:val="single" w:sz="5" w:space="0" w:color="152935"/>
              <w:left w:val="single" w:sz="5" w:space="0" w:color="E0E0E0"/>
              <w:bottom w:val="single" w:sz="5" w:space="0" w:color="AEAEAE"/>
              <w:right w:val="single" w:sz="5" w:space="0" w:color="E0E0E0"/>
            </w:tcBorders>
            <w:shd w:val="clear" w:color="auto" w:fill="F9F9FB"/>
            <w:tcMar>
              <w:top w:w="0" w:type="dxa"/>
              <w:left w:w="0" w:type="dxa"/>
              <w:bottom w:w="0" w:type="dxa"/>
              <w:right w:w="0" w:type="dxa"/>
            </w:tcMar>
          </w:tcPr>
          <w:p w14:paraId="2A5FC43B" w14:textId="3D46E405" w:rsidR="00D45233" w:rsidRPr="00D45233" w:rsidRDefault="00D45233" w:rsidP="00D45233">
            <w:pPr>
              <w:spacing w:before="0" w:after="0" w:line="240" w:lineRule="auto"/>
              <w:ind w:left="60" w:right="60"/>
              <w:jc w:val="right"/>
              <w:rPr>
                <w:sz w:val="20"/>
                <w:szCs w:val="20"/>
              </w:rPr>
            </w:pPr>
            <w:r w:rsidRPr="00D45233">
              <w:rPr>
                <w:sz w:val="20"/>
                <w:szCs w:val="20"/>
              </w:rPr>
              <w:t>92</w:t>
            </w:r>
          </w:p>
        </w:tc>
        <w:tc>
          <w:tcPr>
            <w:tcW w:w="720" w:type="dxa"/>
            <w:tcBorders>
              <w:top w:val="nil"/>
              <w:left w:val="nil"/>
              <w:bottom w:val="single" w:sz="5" w:space="0" w:color="AEAEAE"/>
              <w:right w:val="nil"/>
            </w:tcBorders>
            <w:shd w:val="clear" w:color="auto" w:fill="F9F9FB"/>
            <w:tcMar>
              <w:top w:w="0" w:type="dxa"/>
              <w:left w:w="0" w:type="dxa"/>
              <w:bottom w:w="0" w:type="dxa"/>
              <w:right w:w="0" w:type="dxa"/>
            </w:tcMar>
          </w:tcPr>
          <w:p w14:paraId="36F7E785" w14:textId="02791B54" w:rsidR="00D45233" w:rsidRPr="00D45233" w:rsidRDefault="00D45233" w:rsidP="00D45233">
            <w:pPr>
              <w:spacing w:before="0" w:after="0" w:line="240" w:lineRule="auto"/>
              <w:ind w:left="60" w:right="60"/>
              <w:jc w:val="right"/>
              <w:rPr>
                <w:sz w:val="20"/>
                <w:szCs w:val="20"/>
              </w:rPr>
            </w:pPr>
            <w:r w:rsidRPr="00D45233">
              <w:rPr>
                <w:sz w:val="20"/>
                <w:szCs w:val="20"/>
              </w:rPr>
              <w:t>.226</w:t>
            </w:r>
          </w:p>
        </w:tc>
        <w:tc>
          <w:tcPr>
            <w:tcW w:w="720" w:type="dxa"/>
            <w:tcBorders>
              <w:top w:val="nil"/>
              <w:left w:val="single" w:sz="5" w:space="0" w:color="E0E0E0"/>
              <w:bottom w:val="single" w:sz="5" w:space="0" w:color="AEAEAE"/>
              <w:right w:val="single" w:sz="5" w:space="0" w:color="E0E0E0"/>
            </w:tcBorders>
            <w:tcMar>
              <w:top w:w="0" w:type="dxa"/>
              <w:left w:w="0" w:type="dxa"/>
              <w:bottom w:w="0" w:type="dxa"/>
              <w:right w:w="0" w:type="dxa"/>
            </w:tcMar>
          </w:tcPr>
          <w:p w14:paraId="5F79BC38" w14:textId="3337DA35" w:rsidR="00D45233" w:rsidRPr="00D45233" w:rsidRDefault="00D45233" w:rsidP="00D45233">
            <w:pPr>
              <w:spacing w:before="0" w:after="0" w:line="240" w:lineRule="auto"/>
              <w:ind w:left="60" w:right="60"/>
              <w:jc w:val="right"/>
              <w:rPr>
                <w:sz w:val="20"/>
                <w:szCs w:val="20"/>
              </w:rPr>
            </w:pPr>
            <w:r w:rsidRPr="00D45233">
              <w:rPr>
                <w:sz w:val="20"/>
                <w:szCs w:val="20"/>
              </w:rPr>
              <w:t>.451</w:t>
            </w:r>
          </w:p>
        </w:tc>
        <w:tc>
          <w:tcPr>
            <w:tcW w:w="1080" w:type="dxa"/>
            <w:tcBorders>
              <w:top w:val="single" w:sz="5" w:space="0" w:color="152935"/>
              <w:left w:val="nil"/>
              <w:bottom w:val="single" w:sz="5" w:space="0" w:color="AEAEAE"/>
              <w:right w:val="single" w:sz="5" w:space="0" w:color="E0E0E0"/>
            </w:tcBorders>
            <w:shd w:val="clear" w:color="auto" w:fill="F9F9FB"/>
            <w:tcMar>
              <w:top w:w="0" w:type="dxa"/>
              <w:left w:w="0" w:type="dxa"/>
              <w:bottom w:w="0" w:type="dxa"/>
              <w:right w:w="0" w:type="dxa"/>
            </w:tcMar>
          </w:tcPr>
          <w:p w14:paraId="5C36A78E" w14:textId="1F6CE053" w:rsidR="00D45233" w:rsidRPr="00D45233" w:rsidRDefault="00D45233" w:rsidP="00D45233">
            <w:pPr>
              <w:spacing w:before="0" w:after="0" w:line="240" w:lineRule="auto"/>
              <w:ind w:left="60" w:right="60"/>
              <w:jc w:val="right"/>
              <w:rPr>
                <w:sz w:val="20"/>
                <w:szCs w:val="20"/>
              </w:rPr>
            </w:pPr>
            <w:r w:rsidRPr="00D45233">
              <w:rPr>
                <w:sz w:val="20"/>
                <w:szCs w:val="20"/>
              </w:rPr>
              <w:t>1.76846</w:t>
            </w:r>
          </w:p>
        </w:tc>
        <w:tc>
          <w:tcPr>
            <w:tcW w:w="1080" w:type="dxa"/>
            <w:tcBorders>
              <w:top w:val="single" w:sz="5" w:space="0" w:color="152935"/>
              <w:left w:val="nil"/>
              <w:bottom w:val="single" w:sz="5" w:space="0" w:color="AEAEAE"/>
              <w:right w:val="single" w:sz="5" w:space="0" w:color="E0E0E0"/>
            </w:tcBorders>
            <w:shd w:val="clear" w:color="auto" w:fill="F9F9FB"/>
            <w:tcMar>
              <w:top w:w="0" w:type="dxa"/>
              <w:left w:w="0" w:type="dxa"/>
              <w:bottom w:w="0" w:type="dxa"/>
              <w:right w:w="0" w:type="dxa"/>
            </w:tcMar>
          </w:tcPr>
          <w:p w14:paraId="37C6CC0D" w14:textId="6087A44B" w:rsidR="00D45233" w:rsidRPr="00D45233" w:rsidRDefault="00D45233" w:rsidP="00D45233">
            <w:pPr>
              <w:spacing w:before="0" w:after="0" w:line="240" w:lineRule="auto"/>
              <w:ind w:left="60" w:right="60"/>
              <w:jc w:val="right"/>
              <w:rPr>
                <w:sz w:val="20"/>
                <w:szCs w:val="20"/>
              </w:rPr>
            </w:pPr>
            <w:r w:rsidRPr="00D45233">
              <w:rPr>
                <w:sz w:val="20"/>
                <w:szCs w:val="20"/>
              </w:rPr>
              <w:t>2.33749</w:t>
            </w:r>
          </w:p>
        </w:tc>
        <w:tc>
          <w:tcPr>
            <w:tcW w:w="72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608EE3EA" w14:textId="7A27673A" w:rsidR="00D45233" w:rsidRPr="00D45233" w:rsidRDefault="00D45233" w:rsidP="00D45233">
            <w:pPr>
              <w:spacing w:before="0" w:after="0" w:line="240" w:lineRule="auto"/>
              <w:ind w:left="60" w:right="60"/>
              <w:jc w:val="right"/>
              <w:rPr>
                <w:sz w:val="20"/>
                <w:szCs w:val="20"/>
              </w:rPr>
            </w:pPr>
            <w:r w:rsidRPr="00D45233">
              <w:rPr>
                <w:sz w:val="20"/>
                <w:szCs w:val="20"/>
              </w:rPr>
              <w:t>-2.874</w:t>
            </w:r>
          </w:p>
        </w:tc>
        <w:tc>
          <w:tcPr>
            <w:tcW w:w="720" w:type="dxa"/>
            <w:tcBorders>
              <w:top w:val="nil"/>
              <w:left w:val="nil"/>
              <w:bottom w:val="single" w:sz="5" w:space="0" w:color="AEAEAE"/>
              <w:right w:val="nil"/>
            </w:tcBorders>
            <w:shd w:val="clear" w:color="auto" w:fill="F9F9FB"/>
            <w:tcMar>
              <w:top w:w="0" w:type="dxa"/>
              <w:left w:w="0" w:type="dxa"/>
              <w:bottom w:w="0" w:type="dxa"/>
              <w:right w:w="0" w:type="dxa"/>
            </w:tcMar>
          </w:tcPr>
          <w:p w14:paraId="64CA7600" w14:textId="3D49AA27" w:rsidR="00D45233" w:rsidRPr="00D45233" w:rsidRDefault="00D45233" w:rsidP="00D45233">
            <w:pPr>
              <w:spacing w:before="0" w:after="0" w:line="240" w:lineRule="auto"/>
              <w:ind w:left="60" w:right="60"/>
              <w:jc w:val="right"/>
              <w:rPr>
                <w:sz w:val="20"/>
                <w:szCs w:val="20"/>
              </w:rPr>
            </w:pPr>
            <w:r w:rsidRPr="00D45233">
              <w:rPr>
                <w:sz w:val="20"/>
                <w:szCs w:val="20"/>
              </w:rPr>
              <w:t>6.41</w:t>
            </w:r>
            <w:r w:rsidR="006850DD">
              <w:rPr>
                <w:sz w:val="20"/>
                <w:szCs w:val="20"/>
              </w:rPr>
              <w:t>1</w:t>
            </w:r>
          </w:p>
        </w:tc>
      </w:tr>
      <w:tr w:rsidR="00D45233" w14:paraId="698B43B7" w14:textId="77777777" w:rsidTr="00C96493">
        <w:trPr>
          <w:trHeight w:val="608"/>
        </w:trPr>
        <w:tc>
          <w:tcPr>
            <w:tcW w:w="810" w:type="dxa"/>
            <w:vMerge/>
            <w:tcBorders>
              <w:top w:val="single" w:sz="5" w:space="0" w:color="152935"/>
              <w:left w:val="nil"/>
              <w:bottom w:val="single" w:sz="5" w:space="0" w:color="152935"/>
              <w:right w:val="nil"/>
            </w:tcBorders>
            <w:tcMar>
              <w:top w:w="100" w:type="dxa"/>
              <w:left w:w="100" w:type="dxa"/>
              <w:bottom w:w="100" w:type="dxa"/>
              <w:right w:w="100" w:type="dxa"/>
            </w:tcMar>
          </w:tcPr>
          <w:p w14:paraId="00DCD9D8" w14:textId="77777777" w:rsidR="00D45233" w:rsidRPr="00A00C11" w:rsidRDefault="00D45233" w:rsidP="00D45233">
            <w:pPr>
              <w:spacing w:line="240" w:lineRule="auto"/>
              <w:rPr>
                <w:sz w:val="20"/>
                <w:szCs w:val="20"/>
              </w:rPr>
            </w:pPr>
          </w:p>
        </w:tc>
        <w:tc>
          <w:tcPr>
            <w:tcW w:w="990" w:type="dxa"/>
            <w:tcBorders>
              <w:top w:val="nil"/>
              <w:left w:val="nil"/>
              <w:bottom w:val="single" w:sz="5" w:space="0" w:color="152935"/>
              <w:right w:val="nil"/>
            </w:tcBorders>
            <w:shd w:val="clear" w:color="auto" w:fill="E0E0E0"/>
            <w:tcMar>
              <w:top w:w="0" w:type="dxa"/>
              <w:left w:w="0" w:type="dxa"/>
              <w:bottom w:w="0" w:type="dxa"/>
              <w:right w:w="0" w:type="dxa"/>
            </w:tcMar>
          </w:tcPr>
          <w:p w14:paraId="339DF362" w14:textId="77777777" w:rsidR="00D45233" w:rsidRPr="00A00C11" w:rsidRDefault="00D45233" w:rsidP="00D45233">
            <w:pPr>
              <w:spacing w:before="0" w:after="0" w:line="240" w:lineRule="auto"/>
              <w:ind w:left="60" w:right="60"/>
              <w:rPr>
                <w:sz w:val="20"/>
                <w:szCs w:val="20"/>
              </w:rPr>
            </w:pPr>
            <w:r w:rsidRPr="00A00C11">
              <w:rPr>
                <w:sz w:val="20"/>
                <w:szCs w:val="20"/>
              </w:rPr>
              <w:t>Equal variances not assumed</w:t>
            </w:r>
          </w:p>
        </w:tc>
        <w:tc>
          <w:tcPr>
            <w:tcW w:w="63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4D8ECE1E" w14:textId="23983AA9" w:rsidR="00D45233" w:rsidRPr="00D45233" w:rsidRDefault="00D45233" w:rsidP="00D45233">
            <w:pPr>
              <w:spacing w:line="240" w:lineRule="auto"/>
              <w:rPr>
                <w:sz w:val="20"/>
                <w:szCs w:val="20"/>
              </w:rPr>
            </w:pPr>
            <w:r w:rsidRPr="00D45233">
              <w:rPr>
                <w:sz w:val="20"/>
                <w:szCs w:val="20"/>
              </w:rPr>
              <w:t xml:space="preserve"> </w:t>
            </w:r>
          </w:p>
        </w:tc>
        <w:tc>
          <w:tcPr>
            <w:tcW w:w="54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vAlign w:val="center"/>
          </w:tcPr>
          <w:p w14:paraId="7A86403B" w14:textId="3B3C5206" w:rsidR="00D45233" w:rsidRPr="00D45233" w:rsidRDefault="00D45233" w:rsidP="00D45233">
            <w:pPr>
              <w:spacing w:line="240" w:lineRule="auto"/>
              <w:rPr>
                <w:sz w:val="20"/>
                <w:szCs w:val="20"/>
              </w:rPr>
            </w:pPr>
            <w:r w:rsidRPr="00D45233">
              <w:rPr>
                <w:sz w:val="20"/>
                <w:szCs w:val="20"/>
              </w:rPr>
              <w:t xml:space="preserve"> </w:t>
            </w:r>
          </w:p>
        </w:tc>
        <w:tc>
          <w:tcPr>
            <w:tcW w:w="54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vAlign w:val="center"/>
          </w:tcPr>
          <w:p w14:paraId="0B5B0C2D" w14:textId="3397E64C" w:rsidR="00D45233" w:rsidRPr="00D45233" w:rsidRDefault="00D45233" w:rsidP="00D45233">
            <w:pPr>
              <w:spacing w:before="0" w:after="0" w:line="240" w:lineRule="auto"/>
              <w:ind w:left="60" w:right="60"/>
              <w:jc w:val="right"/>
              <w:rPr>
                <w:sz w:val="20"/>
                <w:szCs w:val="20"/>
              </w:rPr>
            </w:pPr>
            <w:r w:rsidRPr="00D45233">
              <w:rPr>
                <w:sz w:val="20"/>
                <w:szCs w:val="20"/>
              </w:rPr>
              <w:t>.746</w:t>
            </w:r>
          </w:p>
        </w:tc>
        <w:tc>
          <w:tcPr>
            <w:tcW w:w="810" w:type="dxa"/>
            <w:tcBorders>
              <w:top w:val="nil"/>
              <w:left w:val="single" w:sz="5" w:space="0" w:color="E0E0E0"/>
              <w:bottom w:val="single" w:sz="5" w:space="0" w:color="152935"/>
              <w:right w:val="single" w:sz="5" w:space="0" w:color="E0E0E0"/>
            </w:tcBorders>
            <w:shd w:val="clear" w:color="auto" w:fill="F9F9FB"/>
            <w:tcMar>
              <w:top w:w="0" w:type="dxa"/>
              <w:left w:w="0" w:type="dxa"/>
              <w:bottom w:w="0" w:type="dxa"/>
              <w:right w:w="0" w:type="dxa"/>
            </w:tcMar>
            <w:vAlign w:val="center"/>
          </w:tcPr>
          <w:p w14:paraId="3EEECDD3" w14:textId="4D39CA61" w:rsidR="00D45233" w:rsidRPr="00D45233" w:rsidRDefault="00D45233" w:rsidP="00D45233">
            <w:pPr>
              <w:spacing w:before="0" w:after="0" w:line="240" w:lineRule="auto"/>
              <w:ind w:left="60" w:right="60"/>
              <w:jc w:val="right"/>
              <w:rPr>
                <w:sz w:val="20"/>
                <w:szCs w:val="20"/>
              </w:rPr>
            </w:pPr>
            <w:r w:rsidRPr="00D45233">
              <w:rPr>
                <w:sz w:val="20"/>
                <w:szCs w:val="20"/>
              </w:rPr>
              <w:t>73.454</w:t>
            </w:r>
          </w:p>
        </w:tc>
        <w:tc>
          <w:tcPr>
            <w:tcW w:w="72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6A5AE952" w14:textId="08C31018" w:rsidR="00D45233" w:rsidRPr="00D45233" w:rsidRDefault="00D45233" w:rsidP="00D45233">
            <w:pPr>
              <w:spacing w:before="0" w:after="0" w:line="240" w:lineRule="auto"/>
              <w:ind w:left="60" w:right="60"/>
              <w:jc w:val="right"/>
              <w:rPr>
                <w:sz w:val="20"/>
                <w:szCs w:val="20"/>
              </w:rPr>
            </w:pPr>
            <w:r w:rsidRPr="00D45233">
              <w:rPr>
                <w:sz w:val="20"/>
                <w:szCs w:val="20"/>
              </w:rPr>
              <w:t>.229</w:t>
            </w:r>
          </w:p>
        </w:tc>
        <w:tc>
          <w:tcPr>
            <w:tcW w:w="720" w:type="dxa"/>
            <w:tcBorders>
              <w:top w:val="nil"/>
              <w:left w:val="single" w:sz="5" w:space="0" w:color="E0E0E0"/>
              <w:bottom w:val="single" w:sz="5" w:space="0" w:color="152935"/>
              <w:right w:val="single" w:sz="5" w:space="0" w:color="E0E0E0"/>
            </w:tcBorders>
            <w:shd w:val="clear" w:color="auto" w:fill="F9F9FB"/>
            <w:tcMar>
              <w:top w:w="0" w:type="dxa"/>
              <w:left w:w="0" w:type="dxa"/>
              <w:bottom w:w="0" w:type="dxa"/>
              <w:right w:w="0" w:type="dxa"/>
            </w:tcMar>
            <w:vAlign w:val="center"/>
          </w:tcPr>
          <w:p w14:paraId="3CB5EE8B" w14:textId="3030F0F9" w:rsidR="00D45233" w:rsidRPr="00D45233" w:rsidRDefault="00D45233" w:rsidP="00D45233">
            <w:pPr>
              <w:spacing w:before="0" w:after="0" w:line="240" w:lineRule="auto"/>
              <w:ind w:left="60" w:right="60"/>
              <w:jc w:val="right"/>
              <w:rPr>
                <w:sz w:val="20"/>
                <w:szCs w:val="20"/>
              </w:rPr>
            </w:pPr>
            <w:r w:rsidRPr="00D45233">
              <w:rPr>
                <w:sz w:val="20"/>
                <w:szCs w:val="20"/>
              </w:rPr>
              <w:t>.458</w:t>
            </w:r>
          </w:p>
        </w:tc>
        <w:tc>
          <w:tcPr>
            <w:tcW w:w="108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vAlign w:val="center"/>
          </w:tcPr>
          <w:p w14:paraId="2A8D18B9" w14:textId="75F6299B" w:rsidR="00D45233" w:rsidRPr="00D45233" w:rsidRDefault="00D45233" w:rsidP="00D45233">
            <w:pPr>
              <w:spacing w:before="0" w:after="0" w:line="240" w:lineRule="auto"/>
              <w:ind w:left="60" w:right="60"/>
              <w:jc w:val="right"/>
              <w:rPr>
                <w:sz w:val="20"/>
                <w:szCs w:val="20"/>
              </w:rPr>
            </w:pPr>
            <w:r w:rsidRPr="00D45233">
              <w:rPr>
                <w:sz w:val="20"/>
                <w:szCs w:val="20"/>
              </w:rPr>
              <w:t>1.76846</w:t>
            </w:r>
          </w:p>
        </w:tc>
        <w:tc>
          <w:tcPr>
            <w:tcW w:w="108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vAlign w:val="center"/>
          </w:tcPr>
          <w:p w14:paraId="01FA3CF7" w14:textId="48FDBB82" w:rsidR="00D45233" w:rsidRPr="00D45233" w:rsidRDefault="00D45233" w:rsidP="00D45233">
            <w:pPr>
              <w:spacing w:before="0" w:after="0" w:line="240" w:lineRule="auto"/>
              <w:ind w:left="60" w:right="60"/>
              <w:jc w:val="right"/>
              <w:rPr>
                <w:sz w:val="20"/>
                <w:szCs w:val="20"/>
              </w:rPr>
            </w:pPr>
            <w:r w:rsidRPr="00D45233">
              <w:rPr>
                <w:sz w:val="20"/>
                <w:szCs w:val="20"/>
              </w:rPr>
              <w:t>2.36991</w:t>
            </w:r>
          </w:p>
        </w:tc>
        <w:tc>
          <w:tcPr>
            <w:tcW w:w="72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vAlign w:val="center"/>
          </w:tcPr>
          <w:p w14:paraId="78017557" w14:textId="7FB8A386" w:rsidR="00D45233" w:rsidRPr="00D45233" w:rsidRDefault="00D45233" w:rsidP="00D45233">
            <w:pPr>
              <w:spacing w:before="0" w:after="0" w:line="240" w:lineRule="auto"/>
              <w:ind w:left="60" w:right="60"/>
              <w:jc w:val="right"/>
              <w:rPr>
                <w:sz w:val="20"/>
                <w:szCs w:val="20"/>
              </w:rPr>
            </w:pPr>
            <w:r w:rsidRPr="00D45233">
              <w:rPr>
                <w:sz w:val="20"/>
                <w:szCs w:val="20"/>
              </w:rPr>
              <w:t>-2.954</w:t>
            </w:r>
          </w:p>
        </w:tc>
        <w:tc>
          <w:tcPr>
            <w:tcW w:w="720" w:type="dxa"/>
            <w:tcBorders>
              <w:top w:val="nil"/>
              <w:left w:val="nil"/>
              <w:bottom w:val="single" w:sz="5" w:space="0" w:color="152935"/>
              <w:right w:val="nil"/>
            </w:tcBorders>
            <w:shd w:val="clear" w:color="auto" w:fill="F9F9FB"/>
            <w:tcMar>
              <w:top w:w="0" w:type="dxa"/>
              <w:left w:w="0" w:type="dxa"/>
              <w:bottom w:w="0" w:type="dxa"/>
              <w:right w:w="0" w:type="dxa"/>
            </w:tcMar>
            <w:vAlign w:val="center"/>
          </w:tcPr>
          <w:p w14:paraId="6AFF91DA" w14:textId="0B57C809" w:rsidR="00D45233" w:rsidRPr="00D45233" w:rsidRDefault="00D45233" w:rsidP="00D45233">
            <w:pPr>
              <w:spacing w:before="0" w:after="0" w:line="240" w:lineRule="auto"/>
              <w:ind w:left="60" w:right="60"/>
              <w:jc w:val="right"/>
              <w:rPr>
                <w:sz w:val="20"/>
                <w:szCs w:val="20"/>
              </w:rPr>
            </w:pPr>
            <w:r w:rsidRPr="00D45233">
              <w:rPr>
                <w:sz w:val="20"/>
                <w:szCs w:val="20"/>
              </w:rPr>
              <w:t>6.491</w:t>
            </w:r>
          </w:p>
        </w:tc>
      </w:tr>
    </w:tbl>
    <w:p w14:paraId="42A23450" w14:textId="77777777" w:rsidR="008321B5" w:rsidRDefault="008321B5" w:rsidP="00B92EE2">
      <w:pPr>
        <w:spacing w:before="0" w:after="0"/>
        <w:rPr>
          <w:b/>
          <w:bCs/>
        </w:rPr>
      </w:pPr>
    </w:p>
    <w:p w14:paraId="10CF6ED9" w14:textId="77777777" w:rsidR="009E4375" w:rsidRDefault="00000000">
      <w:pPr>
        <w:spacing w:before="0" w:after="0"/>
        <w:rPr>
          <w:i/>
          <w:iCs/>
        </w:rPr>
      </w:pPr>
      <w:r>
        <w:rPr>
          <w:b/>
          <w:bCs/>
        </w:rPr>
        <w:t>Table 20</w:t>
      </w:r>
    </w:p>
    <w:p w14:paraId="10CF6EDA" w14:textId="77777777" w:rsidR="009E4375" w:rsidRDefault="00000000">
      <w:pPr>
        <w:spacing w:before="0" w:after="0"/>
        <w:rPr>
          <w:i/>
          <w:iCs/>
        </w:rPr>
      </w:pPr>
      <w:r>
        <w:rPr>
          <w:i/>
          <w:iCs/>
        </w:rPr>
        <w:t>Mean and Standard Deviation of Subdomains of QOL by Signed Communication in Dormitories</w:t>
      </w:r>
    </w:p>
    <w:tbl>
      <w:tblPr>
        <w:tblStyle w:val="af2"/>
        <w:tblW w:w="78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115"/>
        <w:gridCol w:w="1590"/>
        <w:gridCol w:w="1185"/>
        <w:gridCol w:w="1920"/>
        <w:gridCol w:w="1020"/>
      </w:tblGrid>
      <w:tr w:rsidR="009E4375" w14:paraId="10CF6EDC" w14:textId="77777777">
        <w:trPr>
          <w:trHeight w:val="315"/>
        </w:trPr>
        <w:tc>
          <w:tcPr>
            <w:tcW w:w="7830" w:type="dxa"/>
            <w:gridSpan w:val="5"/>
            <w:tcBorders>
              <w:top w:val="nil"/>
              <w:left w:val="nil"/>
              <w:bottom w:val="nil"/>
              <w:right w:val="nil"/>
            </w:tcBorders>
            <w:shd w:val="clear" w:color="auto" w:fill="FFFFFF"/>
            <w:tcMar>
              <w:top w:w="0" w:type="dxa"/>
              <w:left w:w="0" w:type="dxa"/>
              <w:bottom w:w="0" w:type="dxa"/>
              <w:right w:w="0" w:type="dxa"/>
            </w:tcMar>
          </w:tcPr>
          <w:p w14:paraId="10CF6EDB" w14:textId="77777777" w:rsidR="009E4375" w:rsidRPr="008C512F" w:rsidRDefault="00000000" w:rsidP="00B92EE2">
            <w:pPr>
              <w:spacing w:before="0" w:after="0" w:line="276" w:lineRule="auto"/>
              <w:ind w:left="60" w:right="60"/>
              <w:jc w:val="center"/>
            </w:pPr>
            <w:r w:rsidRPr="008C512F">
              <w:t>Descriptive Statistics</w:t>
            </w:r>
          </w:p>
        </w:tc>
      </w:tr>
      <w:tr w:rsidR="009E4375" w14:paraId="10CF6EE2" w14:textId="77777777" w:rsidTr="00B92EE2">
        <w:trPr>
          <w:trHeight w:val="243"/>
        </w:trPr>
        <w:tc>
          <w:tcPr>
            <w:tcW w:w="2115" w:type="dxa"/>
            <w:tcBorders>
              <w:top w:val="nil"/>
              <w:left w:val="nil"/>
              <w:bottom w:val="nil"/>
              <w:right w:val="nil"/>
            </w:tcBorders>
            <w:tcMar>
              <w:top w:w="0" w:type="dxa"/>
              <w:left w:w="0" w:type="dxa"/>
              <w:bottom w:w="0" w:type="dxa"/>
              <w:right w:w="0" w:type="dxa"/>
            </w:tcMar>
          </w:tcPr>
          <w:p w14:paraId="10CF6EDD" w14:textId="77777777" w:rsidR="009E4375" w:rsidRPr="00306103" w:rsidRDefault="00000000" w:rsidP="00B92EE2">
            <w:pPr>
              <w:spacing w:before="0" w:after="0"/>
              <w:contextualSpacing/>
            </w:pPr>
            <w:r w:rsidRPr="00306103">
              <w:t xml:space="preserve"> </w:t>
            </w:r>
          </w:p>
        </w:tc>
        <w:tc>
          <w:tcPr>
            <w:tcW w:w="1590"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EDE" w14:textId="77777777" w:rsidR="009E4375" w:rsidRPr="00306103" w:rsidRDefault="00000000" w:rsidP="00306103">
            <w:pPr>
              <w:spacing w:before="0" w:after="0" w:line="240" w:lineRule="auto"/>
              <w:ind w:left="60" w:right="60"/>
              <w:contextualSpacing/>
            </w:pPr>
            <w:r w:rsidRPr="00306103">
              <w:t>Dormitories</w:t>
            </w:r>
          </w:p>
        </w:tc>
        <w:tc>
          <w:tcPr>
            <w:tcW w:w="118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EDF" w14:textId="77777777" w:rsidR="009E4375" w:rsidRPr="00306103" w:rsidRDefault="00000000" w:rsidP="00306103">
            <w:pPr>
              <w:spacing w:before="0" w:after="0" w:line="240" w:lineRule="auto"/>
              <w:ind w:left="60" w:right="60"/>
              <w:contextualSpacing/>
              <w:jc w:val="center"/>
            </w:pPr>
            <w:r w:rsidRPr="00306103">
              <w:t>Mean</w:t>
            </w:r>
          </w:p>
        </w:tc>
        <w:tc>
          <w:tcPr>
            <w:tcW w:w="192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EE0" w14:textId="77777777" w:rsidR="009E4375" w:rsidRPr="00306103" w:rsidRDefault="00000000" w:rsidP="00306103">
            <w:pPr>
              <w:spacing w:before="0" w:after="0" w:line="240" w:lineRule="auto"/>
              <w:ind w:left="60" w:right="60"/>
              <w:contextualSpacing/>
              <w:jc w:val="center"/>
            </w:pPr>
            <w:r w:rsidRPr="00306103">
              <w:t>Std. Deviation</w:t>
            </w:r>
          </w:p>
        </w:tc>
        <w:tc>
          <w:tcPr>
            <w:tcW w:w="1020" w:type="dxa"/>
            <w:tcBorders>
              <w:top w:val="nil"/>
              <w:left w:val="single" w:sz="5" w:space="0" w:color="E0E0E0"/>
              <w:bottom w:val="single" w:sz="5" w:space="0" w:color="152935"/>
              <w:right w:val="nil"/>
            </w:tcBorders>
            <w:shd w:val="clear" w:color="auto" w:fill="FFFFFF"/>
            <w:tcMar>
              <w:top w:w="0" w:type="dxa"/>
              <w:left w:w="0" w:type="dxa"/>
              <w:bottom w:w="0" w:type="dxa"/>
              <w:right w:w="0" w:type="dxa"/>
            </w:tcMar>
            <w:vAlign w:val="bottom"/>
          </w:tcPr>
          <w:p w14:paraId="10CF6EE1" w14:textId="77777777" w:rsidR="009E4375" w:rsidRPr="00306103" w:rsidRDefault="00000000" w:rsidP="00306103">
            <w:pPr>
              <w:spacing w:before="0" w:after="0" w:line="240" w:lineRule="auto"/>
              <w:ind w:left="60" w:right="60"/>
              <w:contextualSpacing/>
              <w:jc w:val="center"/>
            </w:pPr>
            <w:r w:rsidRPr="00306103">
              <w:t>N</w:t>
            </w:r>
          </w:p>
        </w:tc>
      </w:tr>
      <w:tr w:rsidR="009E4375" w14:paraId="10CF6EE8" w14:textId="77777777">
        <w:trPr>
          <w:trHeight w:val="330"/>
        </w:trPr>
        <w:tc>
          <w:tcPr>
            <w:tcW w:w="2115" w:type="dxa"/>
            <w:vMerge w:val="restart"/>
            <w:tcBorders>
              <w:top w:val="single" w:sz="5" w:space="0" w:color="152935"/>
              <w:left w:val="nil"/>
              <w:bottom w:val="nil"/>
              <w:right w:val="nil"/>
            </w:tcBorders>
            <w:shd w:val="clear" w:color="auto" w:fill="E0E0E0"/>
            <w:tcMar>
              <w:top w:w="0" w:type="dxa"/>
              <w:left w:w="0" w:type="dxa"/>
              <w:bottom w:w="0" w:type="dxa"/>
              <w:right w:w="0" w:type="dxa"/>
            </w:tcMar>
          </w:tcPr>
          <w:p w14:paraId="10CF6EE3" w14:textId="77777777" w:rsidR="009E4375" w:rsidRPr="00306103" w:rsidRDefault="00000000" w:rsidP="00306103">
            <w:pPr>
              <w:spacing w:before="0" w:after="0" w:line="240" w:lineRule="auto"/>
              <w:ind w:left="60" w:right="60"/>
              <w:contextualSpacing/>
            </w:pPr>
            <w:proofErr w:type="spellStart"/>
            <w:r w:rsidRPr="00306103">
              <w:t>Self Acceptance</w:t>
            </w:r>
            <w:proofErr w:type="spellEnd"/>
            <w:r w:rsidRPr="00306103">
              <w:t xml:space="preserve"> / Advocacy</w:t>
            </w:r>
          </w:p>
        </w:tc>
        <w:tc>
          <w:tcPr>
            <w:tcW w:w="1590" w:type="dxa"/>
            <w:tcBorders>
              <w:top w:val="nil"/>
              <w:left w:val="nil"/>
              <w:bottom w:val="single" w:sz="5" w:space="0" w:color="AEAEAE"/>
              <w:right w:val="nil"/>
            </w:tcBorders>
            <w:shd w:val="clear" w:color="auto" w:fill="E0E0E0"/>
            <w:tcMar>
              <w:top w:w="0" w:type="dxa"/>
              <w:left w:w="0" w:type="dxa"/>
              <w:bottom w:w="0" w:type="dxa"/>
              <w:right w:w="0" w:type="dxa"/>
            </w:tcMar>
          </w:tcPr>
          <w:p w14:paraId="10CF6EE4" w14:textId="77777777" w:rsidR="009E4375" w:rsidRPr="00306103" w:rsidRDefault="00000000" w:rsidP="00306103">
            <w:pPr>
              <w:spacing w:before="0" w:after="0" w:line="240" w:lineRule="auto"/>
              <w:ind w:left="60" w:right="60"/>
              <w:contextualSpacing/>
            </w:pPr>
            <w:r w:rsidRPr="00306103">
              <w:t>BIM</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EE5" w14:textId="77777777" w:rsidR="009E4375" w:rsidRPr="00306103" w:rsidRDefault="00000000" w:rsidP="00306103">
            <w:pPr>
              <w:spacing w:before="0" w:after="0" w:line="240" w:lineRule="auto"/>
              <w:ind w:left="60" w:right="60"/>
              <w:contextualSpacing/>
              <w:jc w:val="right"/>
            </w:pPr>
            <w:r w:rsidRPr="00306103">
              <w:t>72.6942</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E6" w14:textId="77777777" w:rsidR="009E4375" w:rsidRPr="00306103" w:rsidRDefault="00000000" w:rsidP="00306103">
            <w:pPr>
              <w:spacing w:before="0" w:after="0" w:line="240" w:lineRule="auto"/>
              <w:ind w:left="60" w:right="60"/>
              <w:contextualSpacing/>
              <w:jc w:val="right"/>
            </w:pPr>
            <w:r w:rsidRPr="00306103">
              <w:t>15.83903</w:t>
            </w:r>
          </w:p>
        </w:tc>
        <w:tc>
          <w:tcPr>
            <w:tcW w:w="10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E7" w14:textId="77777777" w:rsidR="009E4375" w:rsidRPr="00306103" w:rsidRDefault="00000000" w:rsidP="00306103">
            <w:pPr>
              <w:spacing w:before="0" w:after="0" w:line="240" w:lineRule="auto"/>
              <w:ind w:left="60" w:right="60"/>
              <w:contextualSpacing/>
              <w:jc w:val="right"/>
            </w:pPr>
            <w:r w:rsidRPr="00306103">
              <w:t>57</w:t>
            </w:r>
          </w:p>
        </w:tc>
      </w:tr>
      <w:tr w:rsidR="009E4375" w14:paraId="10CF6EEE" w14:textId="77777777" w:rsidTr="008C512F">
        <w:trPr>
          <w:trHeight w:val="140"/>
        </w:trPr>
        <w:tc>
          <w:tcPr>
            <w:tcW w:w="2115" w:type="dxa"/>
            <w:vMerge/>
            <w:tcBorders>
              <w:top w:val="single" w:sz="5" w:space="0" w:color="152935"/>
              <w:left w:val="nil"/>
              <w:bottom w:val="nil"/>
              <w:right w:val="nil"/>
            </w:tcBorders>
            <w:tcMar>
              <w:top w:w="100" w:type="dxa"/>
              <w:left w:w="100" w:type="dxa"/>
              <w:bottom w:w="100" w:type="dxa"/>
              <w:right w:w="100" w:type="dxa"/>
            </w:tcMar>
          </w:tcPr>
          <w:p w14:paraId="10CF6EE9" w14:textId="77777777" w:rsidR="009E4375" w:rsidRPr="00306103" w:rsidRDefault="009E4375" w:rsidP="00306103">
            <w:pPr>
              <w:spacing w:before="0" w:after="0" w:line="240" w:lineRule="auto"/>
              <w:contextualSpacing/>
            </w:pPr>
          </w:p>
        </w:tc>
        <w:tc>
          <w:tcPr>
            <w:tcW w:w="1590" w:type="dxa"/>
            <w:tcBorders>
              <w:top w:val="nil"/>
              <w:left w:val="nil"/>
              <w:bottom w:val="single" w:sz="5" w:space="0" w:color="AEAEAE"/>
              <w:right w:val="nil"/>
            </w:tcBorders>
            <w:shd w:val="clear" w:color="auto" w:fill="E0E0E0"/>
            <w:tcMar>
              <w:top w:w="0" w:type="dxa"/>
              <w:left w:w="0" w:type="dxa"/>
              <w:bottom w:w="0" w:type="dxa"/>
              <w:right w:w="0" w:type="dxa"/>
            </w:tcMar>
          </w:tcPr>
          <w:p w14:paraId="10CF6EEA" w14:textId="77777777" w:rsidR="009E4375" w:rsidRPr="00306103" w:rsidRDefault="00000000" w:rsidP="00306103">
            <w:pPr>
              <w:spacing w:before="0" w:after="0" w:line="240" w:lineRule="auto"/>
              <w:ind w:left="60" w:right="60"/>
              <w:contextualSpacing/>
            </w:pPr>
            <w:r w:rsidRPr="00306103">
              <w:t>KTBM</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EEB" w14:textId="77777777" w:rsidR="009E4375" w:rsidRPr="00306103" w:rsidRDefault="00000000" w:rsidP="00306103">
            <w:pPr>
              <w:spacing w:before="0" w:after="0" w:line="240" w:lineRule="auto"/>
              <w:ind w:left="60" w:right="60"/>
              <w:contextualSpacing/>
              <w:jc w:val="right"/>
            </w:pPr>
            <w:r w:rsidRPr="00306103">
              <w:t>69.8263</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EC" w14:textId="77777777" w:rsidR="009E4375" w:rsidRPr="00306103" w:rsidRDefault="00000000" w:rsidP="00306103">
            <w:pPr>
              <w:spacing w:before="0" w:after="0" w:line="240" w:lineRule="auto"/>
              <w:ind w:left="60" w:right="60"/>
              <w:contextualSpacing/>
              <w:jc w:val="right"/>
            </w:pPr>
            <w:r w:rsidRPr="00306103">
              <w:t>18.28023</w:t>
            </w:r>
          </w:p>
        </w:tc>
        <w:tc>
          <w:tcPr>
            <w:tcW w:w="10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ED" w14:textId="77777777" w:rsidR="009E4375" w:rsidRPr="00306103" w:rsidRDefault="00000000" w:rsidP="00306103">
            <w:pPr>
              <w:spacing w:before="0" w:after="0" w:line="240" w:lineRule="auto"/>
              <w:ind w:left="60" w:right="60"/>
              <w:contextualSpacing/>
              <w:jc w:val="right"/>
            </w:pPr>
            <w:r w:rsidRPr="00306103">
              <w:t>37</w:t>
            </w:r>
          </w:p>
        </w:tc>
      </w:tr>
      <w:tr w:rsidR="009E4375" w14:paraId="10CF6EF4" w14:textId="77777777" w:rsidTr="008321B5">
        <w:trPr>
          <w:trHeight w:val="41"/>
        </w:trPr>
        <w:tc>
          <w:tcPr>
            <w:tcW w:w="2115" w:type="dxa"/>
            <w:vMerge/>
            <w:tcBorders>
              <w:top w:val="single" w:sz="5" w:space="0" w:color="152935"/>
              <w:left w:val="nil"/>
              <w:bottom w:val="nil"/>
              <w:right w:val="nil"/>
            </w:tcBorders>
            <w:tcMar>
              <w:top w:w="100" w:type="dxa"/>
              <w:left w:w="100" w:type="dxa"/>
              <w:bottom w:w="100" w:type="dxa"/>
              <w:right w:w="100" w:type="dxa"/>
            </w:tcMar>
          </w:tcPr>
          <w:p w14:paraId="10CF6EEF" w14:textId="77777777" w:rsidR="009E4375" w:rsidRPr="00306103" w:rsidRDefault="009E4375" w:rsidP="00306103">
            <w:pPr>
              <w:spacing w:before="0" w:after="0" w:line="240" w:lineRule="auto"/>
              <w:contextualSpacing/>
            </w:pPr>
          </w:p>
        </w:tc>
        <w:tc>
          <w:tcPr>
            <w:tcW w:w="1590" w:type="dxa"/>
            <w:tcBorders>
              <w:top w:val="nil"/>
              <w:left w:val="nil"/>
              <w:bottom w:val="nil"/>
              <w:right w:val="nil"/>
            </w:tcBorders>
            <w:shd w:val="clear" w:color="auto" w:fill="E0E0E0"/>
            <w:tcMar>
              <w:top w:w="0" w:type="dxa"/>
              <w:left w:w="0" w:type="dxa"/>
              <w:bottom w:w="0" w:type="dxa"/>
              <w:right w:w="0" w:type="dxa"/>
            </w:tcMar>
          </w:tcPr>
          <w:p w14:paraId="10CF6EF0" w14:textId="77777777" w:rsidR="009E4375" w:rsidRPr="00306103" w:rsidRDefault="00000000" w:rsidP="00306103">
            <w:pPr>
              <w:spacing w:before="0" w:after="0" w:line="240" w:lineRule="auto"/>
              <w:ind w:left="60" w:right="60"/>
              <w:contextualSpacing/>
            </w:pPr>
            <w:r w:rsidRPr="00306103">
              <w:t>Total</w:t>
            </w:r>
          </w:p>
        </w:tc>
        <w:tc>
          <w:tcPr>
            <w:tcW w:w="1185" w:type="dxa"/>
            <w:tcBorders>
              <w:top w:val="nil"/>
              <w:left w:val="nil"/>
              <w:bottom w:val="nil"/>
              <w:right w:val="nil"/>
            </w:tcBorders>
            <w:shd w:val="clear" w:color="auto" w:fill="F9F9FB"/>
            <w:tcMar>
              <w:top w:w="0" w:type="dxa"/>
              <w:left w:w="0" w:type="dxa"/>
              <w:bottom w:w="0" w:type="dxa"/>
              <w:right w:w="0" w:type="dxa"/>
            </w:tcMar>
          </w:tcPr>
          <w:p w14:paraId="10CF6EF1" w14:textId="77777777" w:rsidR="009E4375" w:rsidRPr="00306103" w:rsidRDefault="00000000" w:rsidP="00306103">
            <w:pPr>
              <w:spacing w:before="0" w:after="0" w:line="240" w:lineRule="auto"/>
              <w:ind w:left="60" w:right="60"/>
              <w:contextualSpacing/>
              <w:jc w:val="right"/>
            </w:pPr>
            <w:r w:rsidRPr="00306103">
              <w:t>71.5653</w:t>
            </w:r>
          </w:p>
        </w:tc>
        <w:tc>
          <w:tcPr>
            <w:tcW w:w="1920" w:type="dxa"/>
            <w:tcBorders>
              <w:top w:val="nil"/>
              <w:left w:val="single" w:sz="5" w:space="0" w:color="E0E0E0"/>
              <w:bottom w:val="nil"/>
              <w:right w:val="nil"/>
            </w:tcBorders>
            <w:shd w:val="clear" w:color="auto" w:fill="F9F9FB"/>
            <w:tcMar>
              <w:top w:w="0" w:type="dxa"/>
              <w:left w:w="0" w:type="dxa"/>
              <w:bottom w:w="0" w:type="dxa"/>
              <w:right w:w="0" w:type="dxa"/>
            </w:tcMar>
          </w:tcPr>
          <w:p w14:paraId="10CF6EF2" w14:textId="77777777" w:rsidR="009E4375" w:rsidRPr="00306103" w:rsidRDefault="00000000" w:rsidP="00306103">
            <w:pPr>
              <w:spacing w:before="0" w:after="0" w:line="240" w:lineRule="auto"/>
              <w:ind w:left="60" w:right="60"/>
              <w:contextualSpacing/>
              <w:jc w:val="right"/>
            </w:pPr>
            <w:r w:rsidRPr="00306103">
              <w:t>16.80487</w:t>
            </w:r>
          </w:p>
        </w:tc>
        <w:tc>
          <w:tcPr>
            <w:tcW w:w="1020" w:type="dxa"/>
            <w:tcBorders>
              <w:top w:val="nil"/>
              <w:left w:val="single" w:sz="5" w:space="0" w:color="E0E0E0"/>
              <w:bottom w:val="nil"/>
              <w:right w:val="nil"/>
            </w:tcBorders>
            <w:shd w:val="clear" w:color="auto" w:fill="F9F9FB"/>
            <w:tcMar>
              <w:top w:w="0" w:type="dxa"/>
              <w:left w:w="0" w:type="dxa"/>
              <w:bottom w:w="0" w:type="dxa"/>
              <w:right w:w="0" w:type="dxa"/>
            </w:tcMar>
          </w:tcPr>
          <w:p w14:paraId="10CF6EF3" w14:textId="77777777" w:rsidR="009E4375" w:rsidRPr="00306103" w:rsidRDefault="00000000" w:rsidP="00306103">
            <w:pPr>
              <w:spacing w:before="0" w:after="0" w:line="240" w:lineRule="auto"/>
              <w:ind w:left="60" w:right="60"/>
              <w:contextualSpacing/>
              <w:jc w:val="right"/>
            </w:pPr>
            <w:r w:rsidRPr="00306103">
              <w:t>94</w:t>
            </w:r>
          </w:p>
        </w:tc>
      </w:tr>
      <w:tr w:rsidR="009E4375" w14:paraId="10CF6EFA" w14:textId="77777777">
        <w:trPr>
          <w:trHeight w:val="330"/>
        </w:trPr>
        <w:tc>
          <w:tcPr>
            <w:tcW w:w="2115" w:type="dxa"/>
            <w:vMerge w:val="restart"/>
            <w:tcBorders>
              <w:top w:val="single" w:sz="5" w:space="0" w:color="AEAEAE"/>
              <w:left w:val="nil"/>
              <w:bottom w:val="nil"/>
              <w:right w:val="nil"/>
            </w:tcBorders>
            <w:shd w:val="clear" w:color="auto" w:fill="E0E0E0"/>
            <w:tcMar>
              <w:top w:w="0" w:type="dxa"/>
              <w:left w:w="0" w:type="dxa"/>
              <w:bottom w:w="0" w:type="dxa"/>
              <w:right w:w="0" w:type="dxa"/>
            </w:tcMar>
          </w:tcPr>
          <w:p w14:paraId="10CF6EF5" w14:textId="77777777" w:rsidR="009E4375" w:rsidRPr="00306103" w:rsidRDefault="00000000" w:rsidP="00306103">
            <w:pPr>
              <w:spacing w:before="0" w:after="0" w:line="240" w:lineRule="auto"/>
              <w:ind w:left="60" w:right="60"/>
              <w:contextualSpacing/>
            </w:pPr>
            <w:r w:rsidRPr="00306103">
              <w:t>Perceived Stigma</w:t>
            </w:r>
          </w:p>
        </w:tc>
        <w:tc>
          <w:tcPr>
            <w:tcW w:w="1590"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EF6" w14:textId="77777777" w:rsidR="009E4375" w:rsidRPr="00306103" w:rsidRDefault="00000000" w:rsidP="00306103">
            <w:pPr>
              <w:spacing w:before="0" w:after="0" w:line="240" w:lineRule="auto"/>
              <w:ind w:left="60" w:right="60"/>
              <w:contextualSpacing/>
            </w:pPr>
            <w:r w:rsidRPr="00306103">
              <w:t>BIM</w:t>
            </w:r>
          </w:p>
        </w:tc>
        <w:tc>
          <w:tcPr>
            <w:tcW w:w="118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EF7" w14:textId="77777777" w:rsidR="009E4375" w:rsidRPr="00306103" w:rsidRDefault="00000000" w:rsidP="00306103">
            <w:pPr>
              <w:spacing w:before="0" w:after="0" w:line="240" w:lineRule="auto"/>
              <w:ind w:left="60" w:right="60"/>
              <w:contextualSpacing/>
              <w:jc w:val="right"/>
            </w:pPr>
            <w:r w:rsidRPr="00306103">
              <w:t>44.1009</w:t>
            </w:r>
          </w:p>
        </w:tc>
        <w:tc>
          <w:tcPr>
            <w:tcW w:w="1920"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EF8" w14:textId="77777777" w:rsidR="009E4375" w:rsidRPr="00306103" w:rsidRDefault="00000000" w:rsidP="00306103">
            <w:pPr>
              <w:spacing w:before="0" w:after="0" w:line="240" w:lineRule="auto"/>
              <w:ind w:left="60" w:right="60"/>
              <w:contextualSpacing/>
              <w:jc w:val="right"/>
            </w:pPr>
            <w:r w:rsidRPr="00306103">
              <w:t>20.40843</w:t>
            </w:r>
          </w:p>
        </w:tc>
        <w:tc>
          <w:tcPr>
            <w:tcW w:w="1020"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EF9" w14:textId="77777777" w:rsidR="009E4375" w:rsidRPr="00306103" w:rsidRDefault="00000000" w:rsidP="00306103">
            <w:pPr>
              <w:spacing w:before="0" w:after="0" w:line="240" w:lineRule="auto"/>
              <w:ind w:left="60" w:right="60"/>
              <w:contextualSpacing/>
              <w:jc w:val="right"/>
            </w:pPr>
            <w:r w:rsidRPr="00306103">
              <w:t>57</w:t>
            </w:r>
          </w:p>
        </w:tc>
      </w:tr>
      <w:tr w:rsidR="009E4375" w14:paraId="10CF6F00" w14:textId="77777777" w:rsidTr="00512C14">
        <w:trPr>
          <w:trHeight w:val="275"/>
        </w:trPr>
        <w:tc>
          <w:tcPr>
            <w:tcW w:w="2115" w:type="dxa"/>
            <w:vMerge/>
            <w:tcBorders>
              <w:top w:val="single" w:sz="5" w:space="0" w:color="AEAEAE"/>
              <w:left w:val="nil"/>
              <w:bottom w:val="nil"/>
              <w:right w:val="nil"/>
            </w:tcBorders>
            <w:tcMar>
              <w:top w:w="100" w:type="dxa"/>
              <w:left w:w="100" w:type="dxa"/>
              <w:bottom w:w="100" w:type="dxa"/>
              <w:right w:w="100" w:type="dxa"/>
            </w:tcMar>
          </w:tcPr>
          <w:p w14:paraId="10CF6EFB" w14:textId="77777777" w:rsidR="009E4375" w:rsidRPr="00306103" w:rsidRDefault="009E4375" w:rsidP="00306103">
            <w:pPr>
              <w:spacing w:before="0" w:after="0" w:line="240" w:lineRule="auto"/>
              <w:contextualSpacing/>
            </w:pPr>
          </w:p>
        </w:tc>
        <w:tc>
          <w:tcPr>
            <w:tcW w:w="1590" w:type="dxa"/>
            <w:tcBorders>
              <w:top w:val="nil"/>
              <w:left w:val="nil"/>
              <w:bottom w:val="single" w:sz="5" w:space="0" w:color="AEAEAE"/>
              <w:right w:val="nil"/>
            </w:tcBorders>
            <w:shd w:val="clear" w:color="auto" w:fill="E0E0E0"/>
            <w:tcMar>
              <w:top w:w="0" w:type="dxa"/>
              <w:left w:w="0" w:type="dxa"/>
              <w:bottom w:w="0" w:type="dxa"/>
              <w:right w:w="0" w:type="dxa"/>
            </w:tcMar>
          </w:tcPr>
          <w:p w14:paraId="10CF6EFC" w14:textId="77777777" w:rsidR="009E4375" w:rsidRPr="00306103" w:rsidRDefault="00000000" w:rsidP="00306103">
            <w:pPr>
              <w:spacing w:before="0" w:after="0" w:line="240" w:lineRule="auto"/>
              <w:ind w:left="60" w:right="60"/>
              <w:contextualSpacing/>
            </w:pPr>
            <w:r w:rsidRPr="00306103">
              <w:t>KTBM</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EFD" w14:textId="77777777" w:rsidR="009E4375" w:rsidRPr="00306103" w:rsidRDefault="00000000" w:rsidP="00306103">
            <w:pPr>
              <w:spacing w:before="0" w:after="0" w:line="240" w:lineRule="auto"/>
              <w:ind w:left="60" w:right="60"/>
              <w:contextualSpacing/>
              <w:jc w:val="right"/>
            </w:pPr>
            <w:r w:rsidRPr="00306103">
              <w:t>42.3986</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FE" w14:textId="77777777" w:rsidR="009E4375" w:rsidRPr="00306103" w:rsidRDefault="00000000" w:rsidP="00306103">
            <w:pPr>
              <w:spacing w:before="0" w:after="0" w:line="240" w:lineRule="auto"/>
              <w:ind w:left="60" w:right="60"/>
              <w:contextualSpacing/>
              <w:jc w:val="right"/>
            </w:pPr>
            <w:r w:rsidRPr="00306103">
              <w:t>21.37703</w:t>
            </w:r>
          </w:p>
        </w:tc>
        <w:tc>
          <w:tcPr>
            <w:tcW w:w="10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EFF" w14:textId="77777777" w:rsidR="009E4375" w:rsidRPr="00306103" w:rsidRDefault="00000000" w:rsidP="00306103">
            <w:pPr>
              <w:spacing w:before="0" w:after="0" w:line="240" w:lineRule="auto"/>
              <w:ind w:left="60" w:right="60"/>
              <w:contextualSpacing/>
              <w:jc w:val="right"/>
            </w:pPr>
            <w:r w:rsidRPr="00306103">
              <w:t>37</w:t>
            </w:r>
          </w:p>
        </w:tc>
      </w:tr>
      <w:tr w:rsidR="009E4375" w14:paraId="10CF6F06" w14:textId="77777777">
        <w:trPr>
          <w:trHeight w:val="330"/>
        </w:trPr>
        <w:tc>
          <w:tcPr>
            <w:tcW w:w="2115" w:type="dxa"/>
            <w:vMerge/>
            <w:tcBorders>
              <w:top w:val="single" w:sz="5" w:space="0" w:color="AEAEAE"/>
              <w:left w:val="nil"/>
              <w:bottom w:val="nil"/>
              <w:right w:val="nil"/>
            </w:tcBorders>
            <w:tcMar>
              <w:top w:w="100" w:type="dxa"/>
              <w:left w:w="100" w:type="dxa"/>
              <w:bottom w:w="100" w:type="dxa"/>
              <w:right w:w="100" w:type="dxa"/>
            </w:tcMar>
          </w:tcPr>
          <w:p w14:paraId="10CF6F01" w14:textId="77777777" w:rsidR="009E4375" w:rsidRPr="00306103" w:rsidRDefault="009E4375" w:rsidP="00306103">
            <w:pPr>
              <w:spacing w:before="0" w:after="0" w:line="240" w:lineRule="auto"/>
              <w:contextualSpacing/>
            </w:pPr>
          </w:p>
        </w:tc>
        <w:tc>
          <w:tcPr>
            <w:tcW w:w="1590" w:type="dxa"/>
            <w:tcBorders>
              <w:top w:val="nil"/>
              <w:left w:val="nil"/>
              <w:bottom w:val="nil"/>
              <w:right w:val="nil"/>
            </w:tcBorders>
            <w:shd w:val="clear" w:color="auto" w:fill="E0E0E0"/>
            <w:tcMar>
              <w:top w:w="0" w:type="dxa"/>
              <w:left w:w="0" w:type="dxa"/>
              <w:bottom w:w="0" w:type="dxa"/>
              <w:right w:w="0" w:type="dxa"/>
            </w:tcMar>
          </w:tcPr>
          <w:p w14:paraId="10CF6F02" w14:textId="77777777" w:rsidR="009E4375" w:rsidRPr="00306103" w:rsidRDefault="00000000" w:rsidP="00306103">
            <w:pPr>
              <w:spacing w:before="0" w:after="0" w:line="240" w:lineRule="auto"/>
              <w:ind w:left="60" w:right="60"/>
              <w:contextualSpacing/>
            </w:pPr>
            <w:r w:rsidRPr="00306103">
              <w:t>Total</w:t>
            </w:r>
          </w:p>
        </w:tc>
        <w:tc>
          <w:tcPr>
            <w:tcW w:w="1185" w:type="dxa"/>
            <w:tcBorders>
              <w:top w:val="nil"/>
              <w:left w:val="nil"/>
              <w:bottom w:val="nil"/>
              <w:right w:val="nil"/>
            </w:tcBorders>
            <w:shd w:val="clear" w:color="auto" w:fill="F9F9FB"/>
            <w:tcMar>
              <w:top w:w="0" w:type="dxa"/>
              <w:left w:w="0" w:type="dxa"/>
              <w:bottom w:w="0" w:type="dxa"/>
              <w:right w:w="0" w:type="dxa"/>
            </w:tcMar>
          </w:tcPr>
          <w:p w14:paraId="10CF6F03" w14:textId="77777777" w:rsidR="009E4375" w:rsidRPr="00306103" w:rsidRDefault="00000000" w:rsidP="00306103">
            <w:pPr>
              <w:spacing w:before="0" w:after="0" w:line="240" w:lineRule="auto"/>
              <w:ind w:left="60" w:right="60"/>
              <w:contextualSpacing/>
              <w:jc w:val="right"/>
            </w:pPr>
            <w:r w:rsidRPr="00306103">
              <w:t>43.4309</w:t>
            </w:r>
          </w:p>
        </w:tc>
        <w:tc>
          <w:tcPr>
            <w:tcW w:w="1920" w:type="dxa"/>
            <w:tcBorders>
              <w:top w:val="nil"/>
              <w:left w:val="single" w:sz="5" w:space="0" w:color="E0E0E0"/>
              <w:bottom w:val="nil"/>
              <w:right w:val="nil"/>
            </w:tcBorders>
            <w:shd w:val="clear" w:color="auto" w:fill="F9F9FB"/>
            <w:tcMar>
              <w:top w:w="0" w:type="dxa"/>
              <w:left w:w="0" w:type="dxa"/>
              <w:bottom w:w="0" w:type="dxa"/>
              <w:right w:w="0" w:type="dxa"/>
            </w:tcMar>
          </w:tcPr>
          <w:p w14:paraId="10CF6F04" w14:textId="77777777" w:rsidR="009E4375" w:rsidRPr="00306103" w:rsidRDefault="00000000" w:rsidP="00306103">
            <w:pPr>
              <w:spacing w:before="0" w:after="0" w:line="240" w:lineRule="auto"/>
              <w:ind w:left="60" w:right="60"/>
              <w:contextualSpacing/>
              <w:jc w:val="right"/>
            </w:pPr>
            <w:r w:rsidRPr="00306103">
              <w:t>20.69762</w:t>
            </w:r>
          </w:p>
        </w:tc>
        <w:tc>
          <w:tcPr>
            <w:tcW w:w="1020" w:type="dxa"/>
            <w:tcBorders>
              <w:top w:val="nil"/>
              <w:left w:val="single" w:sz="5" w:space="0" w:color="E0E0E0"/>
              <w:bottom w:val="nil"/>
              <w:right w:val="nil"/>
            </w:tcBorders>
            <w:shd w:val="clear" w:color="auto" w:fill="F9F9FB"/>
            <w:tcMar>
              <w:top w:w="0" w:type="dxa"/>
              <w:left w:w="0" w:type="dxa"/>
              <w:bottom w:w="0" w:type="dxa"/>
              <w:right w:w="0" w:type="dxa"/>
            </w:tcMar>
          </w:tcPr>
          <w:p w14:paraId="10CF6F05" w14:textId="77777777" w:rsidR="009E4375" w:rsidRPr="00306103" w:rsidRDefault="00000000" w:rsidP="00306103">
            <w:pPr>
              <w:spacing w:before="0" w:after="0" w:line="240" w:lineRule="auto"/>
              <w:ind w:left="60" w:right="60"/>
              <w:contextualSpacing/>
              <w:jc w:val="right"/>
            </w:pPr>
            <w:r w:rsidRPr="00306103">
              <w:t>94</w:t>
            </w:r>
          </w:p>
        </w:tc>
      </w:tr>
      <w:tr w:rsidR="009E4375" w14:paraId="10CF6F0C" w14:textId="77777777">
        <w:trPr>
          <w:trHeight w:val="330"/>
        </w:trPr>
        <w:tc>
          <w:tcPr>
            <w:tcW w:w="2115" w:type="dxa"/>
            <w:vMerge w:val="restart"/>
            <w:tcBorders>
              <w:top w:val="single" w:sz="5" w:space="0" w:color="AEAEAE"/>
              <w:left w:val="nil"/>
              <w:bottom w:val="single" w:sz="5" w:space="0" w:color="152935"/>
              <w:right w:val="nil"/>
            </w:tcBorders>
            <w:shd w:val="clear" w:color="auto" w:fill="E0E0E0"/>
            <w:tcMar>
              <w:top w:w="0" w:type="dxa"/>
              <w:left w:w="0" w:type="dxa"/>
              <w:bottom w:w="0" w:type="dxa"/>
              <w:right w:w="0" w:type="dxa"/>
            </w:tcMar>
          </w:tcPr>
          <w:p w14:paraId="10CF6F07" w14:textId="77777777" w:rsidR="009E4375" w:rsidRPr="00306103" w:rsidRDefault="00000000" w:rsidP="00306103">
            <w:pPr>
              <w:spacing w:before="0" w:after="0" w:line="240" w:lineRule="auto"/>
              <w:ind w:left="60" w:right="60"/>
              <w:contextualSpacing/>
            </w:pPr>
            <w:r w:rsidRPr="00306103">
              <w:t>Participation</w:t>
            </w:r>
          </w:p>
        </w:tc>
        <w:tc>
          <w:tcPr>
            <w:tcW w:w="1590"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F08" w14:textId="77777777" w:rsidR="009E4375" w:rsidRPr="00306103" w:rsidRDefault="00000000" w:rsidP="00306103">
            <w:pPr>
              <w:spacing w:before="0" w:after="0" w:line="240" w:lineRule="auto"/>
              <w:ind w:left="60" w:right="60"/>
              <w:contextualSpacing/>
            </w:pPr>
            <w:r w:rsidRPr="00306103">
              <w:t>BIM</w:t>
            </w:r>
          </w:p>
        </w:tc>
        <w:tc>
          <w:tcPr>
            <w:tcW w:w="118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F09" w14:textId="77777777" w:rsidR="009E4375" w:rsidRPr="00306103" w:rsidRDefault="00000000" w:rsidP="00306103">
            <w:pPr>
              <w:spacing w:before="0" w:after="0" w:line="240" w:lineRule="auto"/>
              <w:ind w:left="60" w:right="60"/>
              <w:contextualSpacing/>
              <w:jc w:val="right"/>
            </w:pPr>
            <w:r w:rsidRPr="00306103">
              <w:t>36.2281</w:t>
            </w:r>
          </w:p>
        </w:tc>
        <w:tc>
          <w:tcPr>
            <w:tcW w:w="1920"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F0A" w14:textId="77777777" w:rsidR="009E4375" w:rsidRPr="00306103" w:rsidRDefault="00000000" w:rsidP="00306103">
            <w:pPr>
              <w:spacing w:before="0" w:after="0" w:line="240" w:lineRule="auto"/>
              <w:ind w:left="60" w:right="60"/>
              <w:contextualSpacing/>
              <w:jc w:val="right"/>
            </w:pPr>
            <w:r w:rsidRPr="00306103">
              <w:t>21.34079</w:t>
            </w:r>
          </w:p>
        </w:tc>
        <w:tc>
          <w:tcPr>
            <w:tcW w:w="1020" w:type="dxa"/>
            <w:tcBorders>
              <w:top w:val="single" w:sz="5" w:space="0" w:color="AEAEAE"/>
              <w:left w:val="single" w:sz="5" w:space="0" w:color="E0E0E0"/>
              <w:bottom w:val="single" w:sz="5" w:space="0" w:color="AEAEAE"/>
              <w:right w:val="nil"/>
            </w:tcBorders>
            <w:shd w:val="clear" w:color="auto" w:fill="F9F9FB"/>
            <w:tcMar>
              <w:top w:w="0" w:type="dxa"/>
              <w:left w:w="0" w:type="dxa"/>
              <w:bottom w:w="0" w:type="dxa"/>
              <w:right w:w="0" w:type="dxa"/>
            </w:tcMar>
          </w:tcPr>
          <w:p w14:paraId="10CF6F0B" w14:textId="77777777" w:rsidR="009E4375" w:rsidRPr="00306103" w:rsidRDefault="00000000" w:rsidP="00306103">
            <w:pPr>
              <w:spacing w:before="0" w:after="0" w:line="240" w:lineRule="auto"/>
              <w:ind w:left="60" w:right="60"/>
              <w:contextualSpacing/>
              <w:jc w:val="right"/>
            </w:pPr>
            <w:r w:rsidRPr="00306103">
              <w:t>57</w:t>
            </w:r>
          </w:p>
        </w:tc>
      </w:tr>
      <w:tr w:rsidR="009E4375" w14:paraId="10CF6F12" w14:textId="77777777" w:rsidTr="00512C14">
        <w:trPr>
          <w:trHeight w:val="248"/>
        </w:trPr>
        <w:tc>
          <w:tcPr>
            <w:tcW w:w="2115" w:type="dxa"/>
            <w:vMerge/>
            <w:tcBorders>
              <w:top w:val="single" w:sz="5" w:space="0" w:color="AEAEAE"/>
              <w:left w:val="nil"/>
              <w:bottom w:val="single" w:sz="5" w:space="0" w:color="152935"/>
              <w:right w:val="nil"/>
            </w:tcBorders>
            <w:tcMar>
              <w:top w:w="100" w:type="dxa"/>
              <w:left w:w="100" w:type="dxa"/>
              <w:bottom w:w="100" w:type="dxa"/>
              <w:right w:w="100" w:type="dxa"/>
            </w:tcMar>
          </w:tcPr>
          <w:p w14:paraId="10CF6F0D" w14:textId="77777777" w:rsidR="009E4375" w:rsidRPr="00306103" w:rsidRDefault="009E4375" w:rsidP="00306103">
            <w:pPr>
              <w:spacing w:before="0" w:after="0" w:line="240" w:lineRule="auto"/>
              <w:contextualSpacing/>
            </w:pPr>
          </w:p>
        </w:tc>
        <w:tc>
          <w:tcPr>
            <w:tcW w:w="1590" w:type="dxa"/>
            <w:tcBorders>
              <w:top w:val="nil"/>
              <w:left w:val="nil"/>
              <w:bottom w:val="single" w:sz="5" w:space="0" w:color="AEAEAE"/>
              <w:right w:val="nil"/>
            </w:tcBorders>
            <w:shd w:val="clear" w:color="auto" w:fill="E0E0E0"/>
            <w:tcMar>
              <w:top w:w="0" w:type="dxa"/>
              <w:left w:w="0" w:type="dxa"/>
              <w:bottom w:w="0" w:type="dxa"/>
              <w:right w:w="0" w:type="dxa"/>
            </w:tcMar>
          </w:tcPr>
          <w:p w14:paraId="10CF6F0E" w14:textId="77777777" w:rsidR="009E4375" w:rsidRPr="00306103" w:rsidRDefault="00000000" w:rsidP="00306103">
            <w:pPr>
              <w:spacing w:before="0" w:after="0" w:line="240" w:lineRule="auto"/>
              <w:ind w:left="60" w:right="60"/>
              <w:contextualSpacing/>
            </w:pPr>
            <w:r w:rsidRPr="00306103">
              <w:t>KTBM</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F0F" w14:textId="77777777" w:rsidR="009E4375" w:rsidRPr="00306103" w:rsidRDefault="00000000" w:rsidP="00306103">
            <w:pPr>
              <w:spacing w:before="0" w:after="0" w:line="240" w:lineRule="auto"/>
              <w:ind w:left="60" w:right="60"/>
              <w:contextualSpacing/>
              <w:jc w:val="right"/>
            </w:pPr>
            <w:r w:rsidRPr="00306103">
              <w:t>35.9459</w:t>
            </w:r>
          </w:p>
        </w:tc>
        <w:tc>
          <w:tcPr>
            <w:tcW w:w="19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F10" w14:textId="77777777" w:rsidR="009E4375" w:rsidRPr="00306103" w:rsidRDefault="00000000" w:rsidP="00306103">
            <w:pPr>
              <w:spacing w:before="0" w:after="0" w:line="240" w:lineRule="auto"/>
              <w:ind w:left="60" w:right="60"/>
              <w:contextualSpacing/>
              <w:jc w:val="right"/>
            </w:pPr>
            <w:r w:rsidRPr="00306103">
              <w:t>20.34692</w:t>
            </w:r>
          </w:p>
        </w:tc>
        <w:tc>
          <w:tcPr>
            <w:tcW w:w="1020" w:type="dxa"/>
            <w:tcBorders>
              <w:top w:val="nil"/>
              <w:left w:val="single" w:sz="5" w:space="0" w:color="E0E0E0"/>
              <w:bottom w:val="single" w:sz="5" w:space="0" w:color="AEAEAE"/>
              <w:right w:val="nil"/>
            </w:tcBorders>
            <w:shd w:val="clear" w:color="auto" w:fill="F9F9FB"/>
            <w:tcMar>
              <w:top w:w="0" w:type="dxa"/>
              <w:left w:w="0" w:type="dxa"/>
              <w:bottom w:w="0" w:type="dxa"/>
              <w:right w:w="0" w:type="dxa"/>
            </w:tcMar>
          </w:tcPr>
          <w:p w14:paraId="10CF6F11" w14:textId="77777777" w:rsidR="009E4375" w:rsidRPr="00306103" w:rsidRDefault="00000000" w:rsidP="00306103">
            <w:pPr>
              <w:spacing w:before="0" w:after="0" w:line="240" w:lineRule="auto"/>
              <w:ind w:left="60" w:right="60"/>
              <w:contextualSpacing/>
              <w:jc w:val="right"/>
            </w:pPr>
            <w:r w:rsidRPr="00306103">
              <w:t>37</w:t>
            </w:r>
          </w:p>
        </w:tc>
      </w:tr>
      <w:tr w:rsidR="009E4375" w14:paraId="10CF6F18" w14:textId="77777777" w:rsidTr="00512C14">
        <w:trPr>
          <w:trHeight w:val="23"/>
        </w:trPr>
        <w:tc>
          <w:tcPr>
            <w:tcW w:w="2115" w:type="dxa"/>
            <w:vMerge/>
            <w:tcBorders>
              <w:top w:val="single" w:sz="5" w:space="0" w:color="AEAEAE"/>
              <w:left w:val="nil"/>
              <w:bottom w:val="single" w:sz="5" w:space="0" w:color="152935"/>
              <w:right w:val="nil"/>
            </w:tcBorders>
            <w:tcMar>
              <w:top w:w="100" w:type="dxa"/>
              <w:left w:w="100" w:type="dxa"/>
              <w:bottom w:w="100" w:type="dxa"/>
              <w:right w:w="100" w:type="dxa"/>
            </w:tcMar>
          </w:tcPr>
          <w:p w14:paraId="10CF6F13" w14:textId="77777777" w:rsidR="009E4375" w:rsidRPr="00306103" w:rsidRDefault="009E4375" w:rsidP="00306103">
            <w:pPr>
              <w:spacing w:before="0" w:after="0" w:line="240" w:lineRule="auto"/>
              <w:contextualSpacing/>
            </w:pPr>
          </w:p>
        </w:tc>
        <w:tc>
          <w:tcPr>
            <w:tcW w:w="1590" w:type="dxa"/>
            <w:tcBorders>
              <w:top w:val="nil"/>
              <w:left w:val="nil"/>
              <w:bottom w:val="single" w:sz="5" w:space="0" w:color="152935"/>
              <w:right w:val="nil"/>
            </w:tcBorders>
            <w:shd w:val="clear" w:color="auto" w:fill="E0E0E0"/>
            <w:tcMar>
              <w:top w:w="0" w:type="dxa"/>
              <w:left w:w="0" w:type="dxa"/>
              <w:bottom w:w="0" w:type="dxa"/>
              <w:right w:w="0" w:type="dxa"/>
            </w:tcMar>
          </w:tcPr>
          <w:p w14:paraId="10CF6F14" w14:textId="77777777" w:rsidR="009E4375" w:rsidRPr="00306103" w:rsidRDefault="00000000" w:rsidP="00306103">
            <w:pPr>
              <w:spacing w:before="0" w:after="0" w:line="240" w:lineRule="auto"/>
              <w:ind w:left="60" w:right="60"/>
              <w:contextualSpacing/>
            </w:pPr>
            <w:r w:rsidRPr="00306103">
              <w:t>Total</w:t>
            </w:r>
          </w:p>
        </w:tc>
        <w:tc>
          <w:tcPr>
            <w:tcW w:w="1185" w:type="dxa"/>
            <w:tcBorders>
              <w:top w:val="nil"/>
              <w:left w:val="nil"/>
              <w:bottom w:val="single" w:sz="5" w:space="0" w:color="152935"/>
              <w:right w:val="nil"/>
            </w:tcBorders>
            <w:shd w:val="clear" w:color="auto" w:fill="F9F9FB"/>
            <w:tcMar>
              <w:top w:w="0" w:type="dxa"/>
              <w:left w:w="0" w:type="dxa"/>
              <w:bottom w:w="0" w:type="dxa"/>
              <w:right w:w="0" w:type="dxa"/>
            </w:tcMar>
          </w:tcPr>
          <w:p w14:paraId="10CF6F15" w14:textId="77777777" w:rsidR="009E4375" w:rsidRPr="00306103" w:rsidRDefault="00000000" w:rsidP="00306103">
            <w:pPr>
              <w:spacing w:before="0" w:after="0" w:line="240" w:lineRule="auto"/>
              <w:ind w:left="60" w:right="60"/>
              <w:contextualSpacing/>
              <w:jc w:val="right"/>
            </w:pPr>
            <w:r w:rsidRPr="00306103">
              <w:t>36.1170</w:t>
            </w:r>
          </w:p>
        </w:tc>
        <w:tc>
          <w:tcPr>
            <w:tcW w:w="192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F16" w14:textId="77777777" w:rsidR="009E4375" w:rsidRPr="00306103" w:rsidRDefault="00000000" w:rsidP="00306103">
            <w:pPr>
              <w:spacing w:before="0" w:after="0" w:line="240" w:lineRule="auto"/>
              <w:ind w:left="60" w:right="60"/>
              <w:contextualSpacing/>
              <w:jc w:val="right"/>
            </w:pPr>
            <w:r w:rsidRPr="00306103">
              <w:t>20.84498</w:t>
            </w:r>
          </w:p>
        </w:tc>
        <w:tc>
          <w:tcPr>
            <w:tcW w:w="1020" w:type="dxa"/>
            <w:tcBorders>
              <w:top w:val="nil"/>
              <w:left w:val="single" w:sz="5" w:space="0" w:color="E0E0E0"/>
              <w:bottom w:val="single" w:sz="5" w:space="0" w:color="152935"/>
              <w:right w:val="nil"/>
            </w:tcBorders>
            <w:shd w:val="clear" w:color="auto" w:fill="F9F9FB"/>
            <w:tcMar>
              <w:top w:w="0" w:type="dxa"/>
              <w:left w:w="0" w:type="dxa"/>
              <w:bottom w:w="0" w:type="dxa"/>
              <w:right w:w="0" w:type="dxa"/>
            </w:tcMar>
          </w:tcPr>
          <w:p w14:paraId="10CF6F17" w14:textId="77777777" w:rsidR="009E4375" w:rsidRPr="00306103" w:rsidRDefault="00000000" w:rsidP="00306103">
            <w:pPr>
              <w:spacing w:before="0" w:after="0" w:line="240" w:lineRule="auto"/>
              <w:ind w:left="60" w:right="60"/>
              <w:contextualSpacing/>
              <w:jc w:val="right"/>
            </w:pPr>
            <w:r w:rsidRPr="00306103">
              <w:t>94</w:t>
            </w:r>
          </w:p>
        </w:tc>
      </w:tr>
    </w:tbl>
    <w:p w14:paraId="10CF6F1A" w14:textId="77777777" w:rsidR="009E4375" w:rsidRDefault="009E4375">
      <w:pPr>
        <w:spacing w:before="0" w:after="0"/>
        <w:rPr>
          <w:b/>
          <w:bCs/>
        </w:rPr>
      </w:pPr>
    </w:p>
    <w:p w14:paraId="10CF6F1B" w14:textId="77777777" w:rsidR="009E4375" w:rsidRDefault="00000000" w:rsidP="00B92EE2">
      <w:pPr>
        <w:spacing w:before="0" w:after="0"/>
        <w:rPr>
          <w:i/>
          <w:iCs/>
        </w:rPr>
      </w:pPr>
      <w:r>
        <w:rPr>
          <w:b/>
          <w:bCs/>
        </w:rPr>
        <w:t>Table 21</w:t>
      </w:r>
    </w:p>
    <w:p w14:paraId="10CF6F1C" w14:textId="77777777" w:rsidR="009E4375" w:rsidRDefault="00000000">
      <w:pPr>
        <w:spacing w:before="0" w:after="0" w:line="276" w:lineRule="auto"/>
      </w:pPr>
      <w:r>
        <w:rPr>
          <w:i/>
          <w:iCs/>
        </w:rPr>
        <w:t>A Multivariate Analysis of Variance (MANOVA) on the Type of Signed Communication in Dormitories</w:t>
      </w:r>
    </w:p>
    <w:tbl>
      <w:tblPr>
        <w:tblStyle w:val="af3"/>
        <w:tblW w:w="93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0"/>
        <w:gridCol w:w="1995"/>
        <w:gridCol w:w="855"/>
        <w:gridCol w:w="1155"/>
        <w:gridCol w:w="1230"/>
        <w:gridCol w:w="1125"/>
        <w:gridCol w:w="810"/>
        <w:gridCol w:w="1185"/>
      </w:tblGrid>
      <w:tr w:rsidR="009E4375" w14:paraId="10CF6F1E" w14:textId="77777777">
        <w:trPr>
          <w:trHeight w:val="311"/>
        </w:trPr>
        <w:tc>
          <w:tcPr>
            <w:tcW w:w="9375" w:type="dxa"/>
            <w:gridSpan w:val="8"/>
            <w:tcBorders>
              <w:top w:val="nil"/>
              <w:left w:val="nil"/>
              <w:bottom w:val="nil"/>
              <w:right w:val="nil"/>
            </w:tcBorders>
            <w:shd w:val="clear" w:color="auto" w:fill="FFFFFF"/>
            <w:tcMar>
              <w:top w:w="0" w:type="dxa"/>
              <w:left w:w="0" w:type="dxa"/>
              <w:bottom w:w="0" w:type="dxa"/>
              <w:right w:w="0" w:type="dxa"/>
            </w:tcMar>
          </w:tcPr>
          <w:p w14:paraId="10CF6F1D" w14:textId="77777777" w:rsidR="009E4375" w:rsidRDefault="00000000">
            <w:pPr>
              <w:spacing w:before="0" w:after="0" w:line="349" w:lineRule="auto"/>
              <w:ind w:left="60" w:right="60"/>
              <w:jc w:val="center"/>
              <w:rPr>
                <w:b/>
                <w:bCs/>
                <w:vertAlign w:val="superscript"/>
              </w:rPr>
            </w:pPr>
            <w:r>
              <w:rPr>
                <w:b/>
                <w:bCs/>
              </w:rPr>
              <w:t xml:space="preserve">Multivariate </w:t>
            </w:r>
            <w:proofErr w:type="spellStart"/>
            <w:r>
              <w:rPr>
                <w:b/>
                <w:bCs/>
              </w:rPr>
              <w:t>Tests</w:t>
            </w:r>
            <w:r>
              <w:rPr>
                <w:b/>
                <w:bCs/>
                <w:vertAlign w:val="superscript"/>
              </w:rPr>
              <w:t>a</w:t>
            </w:r>
            <w:proofErr w:type="spellEnd"/>
          </w:p>
        </w:tc>
      </w:tr>
      <w:tr w:rsidR="009E4375" w14:paraId="10CF6F26" w14:textId="77777777">
        <w:trPr>
          <w:trHeight w:val="645"/>
        </w:trPr>
        <w:tc>
          <w:tcPr>
            <w:tcW w:w="3015" w:type="dxa"/>
            <w:gridSpan w:val="2"/>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F1F" w14:textId="77777777" w:rsidR="009E4375" w:rsidRDefault="00000000">
            <w:pPr>
              <w:spacing w:before="0" w:after="0" w:line="349" w:lineRule="auto"/>
              <w:ind w:left="60" w:right="60"/>
              <w:rPr>
                <w:sz w:val="22"/>
                <w:szCs w:val="22"/>
              </w:rPr>
            </w:pPr>
            <w:r>
              <w:rPr>
                <w:sz w:val="22"/>
                <w:szCs w:val="22"/>
              </w:rPr>
              <w:t>Effect</w:t>
            </w:r>
          </w:p>
        </w:tc>
        <w:tc>
          <w:tcPr>
            <w:tcW w:w="855"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F20" w14:textId="77777777" w:rsidR="009E4375" w:rsidRDefault="00000000">
            <w:pPr>
              <w:spacing w:before="0" w:after="0" w:line="349" w:lineRule="auto"/>
              <w:ind w:left="60" w:right="60"/>
              <w:jc w:val="center"/>
              <w:rPr>
                <w:sz w:val="22"/>
                <w:szCs w:val="22"/>
              </w:rPr>
            </w:pPr>
            <w:r>
              <w:rPr>
                <w:sz w:val="22"/>
                <w:szCs w:val="22"/>
              </w:rPr>
              <w:t>Value</w:t>
            </w:r>
          </w:p>
        </w:tc>
        <w:tc>
          <w:tcPr>
            <w:tcW w:w="1155"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F21" w14:textId="77777777" w:rsidR="009E4375" w:rsidRDefault="00000000">
            <w:pPr>
              <w:spacing w:before="0" w:after="0" w:line="349" w:lineRule="auto"/>
              <w:ind w:left="60" w:right="60"/>
              <w:jc w:val="center"/>
              <w:rPr>
                <w:sz w:val="22"/>
                <w:szCs w:val="22"/>
              </w:rPr>
            </w:pPr>
            <w:r>
              <w:rPr>
                <w:sz w:val="22"/>
                <w:szCs w:val="22"/>
              </w:rPr>
              <w:t>F</w:t>
            </w:r>
          </w:p>
        </w:tc>
        <w:tc>
          <w:tcPr>
            <w:tcW w:w="123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F22" w14:textId="77777777" w:rsidR="009E4375" w:rsidRDefault="00000000">
            <w:pPr>
              <w:spacing w:before="0" w:after="0" w:line="349" w:lineRule="auto"/>
              <w:ind w:left="60" w:right="60"/>
              <w:jc w:val="center"/>
              <w:rPr>
                <w:sz w:val="22"/>
                <w:szCs w:val="22"/>
              </w:rPr>
            </w:pPr>
            <w:r>
              <w:rPr>
                <w:sz w:val="22"/>
                <w:szCs w:val="22"/>
              </w:rPr>
              <w:t xml:space="preserve">Hypothesis </w:t>
            </w:r>
            <w:proofErr w:type="spellStart"/>
            <w:r>
              <w:rPr>
                <w:sz w:val="22"/>
                <w:szCs w:val="22"/>
              </w:rPr>
              <w:t>df</w:t>
            </w:r>
            <w:proofErr w:type="spellEnd"/>
          </w:p>
        </w:tc>
        <w:tc>
          <w:tcPr>
            <w:tcW w:w="1125"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F23" w14:textId="77777777" w:rsidR="009E4375" w:rsidRDefault="00000000">
            <w:pPr>
              <w:spacing w:before="0" w:after="0" w:line="349" w:lineRule="auto"/>
              <w:ind w:left="60" w:right="60"/>
              <w:jc w:val="center"/>
              <w:rPr>
                <w:sz w:val="22"/>
                <w:szCs w:val="22"/>
              </w:rPr>
            </w:pPr>
            <w:r>
              <w:rPr>
                <w:sz w:val="22"/>
                <w:szCs w:val="22"/>
              </w:rPr>
              <w:t xml:space="preserve">Error </w:t>
            </w:r>
            <w:proofErr w:type="spellStart"/>
            <w:r>
              <w:rPr>
                <w:sz w:val="22"/>
                <w:szCs w:val="22"/>
              </w:rPr>
              <w:t>df</w:t>
            </w:r>
            <w:proofErr w:type="spellEnd"/>
          </w:p>
        </w:tc>
        <w:tc>
          <w:tcPr>
            <w:tcW w:w="810" w:type="dxa"/>
            <w:tcBorders>
              <w:top w:val="nil"/>
              <w:left w:val="nil"/>
              <w:bottom w:val="single" w:sz="5" w:space="0" w:color="152935"/>
              <w:right w:val="single" w:sz="5" w:space="0" w:color="E0E0E0"/>
            </w:tcBorders>
            <w:shd w:val="clear" w:color="auto" w:fill="FFFFFF"/>
            <w:tcMar>
              <w:top w:w="0" w:type="dxa"/>
              <w:left w:w="0" w:type="dxa"/>
              <w:bottom w:w="0" w:type="dxa"/>
              <w:right w:w="0" w:type="dxa"/>
            </w:tcMar>
            <w:vAlign w:val="bottom"/>
          </w:tcPr>
          <w:p w14:paraId="10CF6F24" w14:textId="77777777" w:rsidR="009E4375" w:rsidRDefault="00000000">
            <w:pPr>
              <w:spacing w:before="0" w:after="0" w:line="349" w:lineRule="auto"/>
              <w:ind w:left="60" w:right="60"/>
              <w:jc w:val="center"/>
              <w:rPr>
                <w:sz w:val="22"/>
                <w:szCs w:val="22"/>
              </w:rPr>
            </w:pPr>
            <w:r>
              <w:rPr>
                <w:sz w:val="22"/>
                <w:szCs w:val="22"/>
              </w:rPr>
              <w:t>Sig.</w:t>
            </w:r>
          </w:p>
        </w:tc>
        <w:tc>
          <w:tcPr>
            <w:tcW w:w="1185" w:type="dxa"/>
            <w:tcBorders>
              <w:top w:val="nil"/>
              <w:left w:val="nil"/>
              <w:bottom w:val="single" w:sz="5" w:space="0" w:color="152935"/>
              <w:right w:val="nil"/>
            </w:tcBorders>
            <w:shd w:val="clear" w:color="auto" w:fill="FFFFFF"/>
            <w:tcMar>
              <w:top w:w="0" w:type="dxa"/>
              <w:left w:w="0" w:type="dxa"/>
              <w:bottom w:w="0" w:type="dxa"/>
              <w:right w:w="0" w:type="dxa"/>
            </w:tcMar>
            <w:vAlign w:val="bottom"/>
          </w:tcPr>
          <w:p w14:paraId="10CF6F25" w14:textId="77777777" w:rsidR="009E4375" w:rsidRDefault="00000000">
            <w:pPr>
              <w:spacing w:before="0" w:after="0" w:line="349" w:lineRule="auto"/>
              <w:ind w:left="60" w:right="60"/>
              <w:jc w:val="center"/>
              <w:rPr>
                <w:sz w:val="22"/>
                <w:szCs w:val="22"/>
              </w:rPr>
            </w:pPr>
            <w:r>
              <w:rPr>
                <w:sz w:val="22"/>
                <w:szCs w:val="22"/>
              </w:rPr>
              <w:t>Partial Eta Squared</w:t>
            </w:r>
          </w:p>
        </w:tc>
      </w:tr>
      <w:tr w:rsidR="009E4375" w14:paraId="10CF6F2F" w14:textId="77777777">
        <w:trPr>
          <w:trHeight w:val="405"/>
        </w:trPr>
        <w:tc>
          <w:tcPr>
            <w:tcW w:w="1020" w:type="dxa"/>
            <w:vMerge w:val="restart"/>
            <w:tcBorders>
              <w:top w:val="nil"/>
              <w:left w:val="nil"/>
              <w:bottom w:val="nil"/>
              <w:right w:val="nil"/>
            </w:tcBorders>
            <w:shd w:val="clear" w:color="auto" w:fill="E0E0E0"/>
            <w:tcMar>
              <w:top w:w="0" w:type="dxa"/>
              <w:left w:w="0" w:type="dxa"/>
              <w:bottom w:w="0" w:type="dxa"/>
              <w:right w:w="0" w:type="dxa"/>
            </w:tcMar>
          </w:tcPr>
          <w:p w14:paraId="10CF6F27" w14:textId="77777777" w:rsidR="009E4375" w:rsidRDefault="00000000">
            <w:pPr>
              <w:spacing w:before="0" w:after="0" w:line="349" w:lineRule="auto"/>
              <w:ind w:left="60" w:right="60"/>
              <w:rPr>
                <w:sz w:val="22"/>
                <w:szCs w:val="22"/>
              </w:rPr>
            </w:pPr>
            <w:r>
              <w:rPr>
                <w:sz w:val="22"/>
                <w:szCs w:val="22"/>
              </w:rPr>
              <w:t>Intercept</w:t>
            </w:r>
          </w:p>
        </w:tc>
        <w:tc>
          <w:tcPr>
            <w:tcW w:w="1995" w:type="dxa"/>
            <w:tcBorders>
              <w:top w:val="nil"/>
              <w:left w:val="nil"/>
              <w:bottom w:val="single" w:sz="5" w:space="0" w:color="AEAEAE"/>
              <w:right w:val="nil"/>
            </w:tcBorders>
            <w:shd w:val="clear" w:color="auto" w:fill="E0E0E0"/>
            <w:tcMar>
              <w:top w:w="0" w:type="dxa"/>
              <w:left w:w="0" w:type="dxa"/>
              <w:bottom w:w="0" w:type="dxa"/>
              <w:right w:w="0" w:type="dxa"/>
            </w:tcMar>
          </w:tcPr>
          <w:p w14:paraId="10CF6F28" w14:textId="77777777" w:rsidR="009E4375" w:rsidRDefault="00000000">
            <w:pPr>
              <w:spacing w:before="0" w:after="0" w:line="349" w:lineRule="auto"/>
              <w:ind w:left="60" w:right="60"/>
              <w:rPr>
                <w:sz w:val="22"/>
                <w:szCs w:val="22"/>
              </w:rPr>
            </w:pPr>
            <w:r>
              <w:rPr>
                <w:sz w:val="22"/>
                <w:szCs w:val="22"/>
              </w:rPr>
              <w:t>Pillai's Trace</w:t>
            </w:r>
          </w:p>
        </w:tc>
        <w:tc>
          <w:tcPr>
            <w:tcW w:w="8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29" w14:textId="77777777" w:rsidR="009E4375" w:rsidRDefault="00000000">
            <w:pPr>
              <w:spacing w:before="0" w:after="0" w:line="349" w:lineRule="auto"/>
              <w:ind w:left="60" w:right="60"/>
              <w:jc w:val="right"/>
              <w:rPr>
                <w:sz w:val="22"/>
                <w:szCs w:val="22"/>
              </w:rPr>
            </w:pPr>
            <w:r>
              <w:rPr>
                <w:sz w:val="22"/>
                <w:szCs w:val="22"/>
              </w:rPr>
              <w:t>.968</w:t>
            </w:r>
          </w:p>
        </w:tc>
        <w:tc>
          <w:tcPr>
            <w:tcW w:w="11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2A" w14:textId="77777777" w:rsidR="009E4375" w:rsidRDefault="00000000">
            <w:pPr>
              <w:spacing w:before="0" w:after="0" w:line="349" w:lineRule="auto"/>
              <w:ind w:left="60" w:right="60"/>
              <w:jc w:val="right"/>
              <w:rPr>
                <w:sz w:val="22"/>
                <w:szCs w:val="22"/>
                <w:vertAlign w:val="superscript"/>
              </w:rPr>
            </w:pPr>
            <w:r>
              <w:rPr>
                <w:sz w:val="22"/>
                <w:szCs w:val="22"/>
              </w:rPr>
              <w:t>894.647</w:t>
            </w:r>
            <w:r>
              <w:rPr>
                <w:sz w:val="22"/>
                <w:szCs w:val="22"/>
                <w:vertAlign w:val="superscript"/>
              </w:rPr>
              <w:t>b</w:t>
            </w:r>
          </w:p>
        </w:tc>
        <w:tc>
          <w:tcPr>
            <w:tcW w:w="123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2B"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2C"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2D" w14:textId="77777777" w:rsidR="009E4375" w:rsidRDefault="00000000">
            <w:pPr>
              <w:spacing w:before="0" w:after="0" w:line="349" w:lineRule="auto"/>
              <w:ind w:left="60" w:right="60"/>
              <w:jc w:val="right"/>
              <w:rPr>
                <w:sz w:val="22"/>
                <w:szCs w:val="22"/>
              </w:rPr>
            </w:pPr>
            <w:r>
              <w:rPr>
                <w:sz w:val="22"/>
                <w:szCs w:val="22"/>
              </w:rPr>
              <w:t>&lt;.001</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F2E" w14:textId="77777777" w:rsidR="009E4375" w:rsidRDefault="00000000">
            <w:pPr>
              <w:spacing w:before="0" w:after="0" w:line="349" w:lineRule="auto"/>
              <w:ind w:left="60" w:right="60"/>
              <w:jc w:val="right"/>
              <w:rPr>
                <w:sz w:val="22"/>
                <w:szCs w:val="22"/>
              </w:rPr>
            </w:pPr>
            <w:r>
              <w:rPr>
                <w:sz w:val="22"/>
                <w:szCs w:val="22"/>
              </w:rPr>
              <w:t>.968</w:t>
            </w:r>
          </w:p>
        </w:tc>
      </w:tr>
      <w:tr w:rsidR="009E4375" w14:paraId="10CF6F38" w14:textId="77777777">
        <w:trPr>
          <w:trHeight w:val="405"/>
        </w:trPr>
        <w:tc>
          <w:tcPr>
            <w:tcW w:w="1020" w:type="dxa"/>
            <w:vMerge/>
            <w:tcBorders>
              <w:top w:val="nil"/>
              <w:left w:val="nil"/>
              <w:bottom w:val="nil"/>
              <w:right w:val="nil"/>
            </w:tcBorders>
            <w:tcMar>
              <w:top w:w="100" w:type="dxa"/>
              <w:left w:w="100" w:type="dxa"/>
              <w:bottom w:w="100" w:type="dxa"/>
              <w:right w:w="100" w:type="dxa"/>
            </w:tcMar>
          </w:tcPr>
          <w:p w14:paraId="10CF6F30" w14:textId="77777777" w:rsidR="009E4375" w:rsidRDefault="009E4375"/>
        </w:tc>
        <w:tc>
          <w:tcPr>
            <w:tcW w:w="1995" w:type="dxa"/>
            <w:tcBorders>
              <w:top w:val="nil"/>
              <w:left w:val="nil"/>
              <w:bottom w:val="single" w:sz="5" w:space="0" w:color="AEAEAE"/>
              <w:right w:val="nil"/>
            </w:tcBorders>
            <w:shd w:val="clear" w:color="auto" w:fill="E0E0E0"/>
            <w:tcMar>
              <w:top w:w="0" w:type="dxa"/>
              <w:left w:w="0" w:type="dxa"/>
              <w:bottom w:w="0" w:type="dxa"/>
              <w:right w:w="0" w:type="dxa"/>
            </w:tcMar>
          </w:tcPr>
          <w:p w14:paraId="10CF6F31" w14:textId="77777777" w:rsidR="009E4375" w:rsidRDefault="00000000">
            <w:pPr>
              <w:spacing w:before="0" w:after="0" w:line="349" w:lineRule="auto"/>
              <w:ind w:left="60" w:right="60"/>
              <w:rPr>
                <w:sz w:val="22"/>
                <w:szCs w:val="22"/>
              </w:rPr>
            </w:pPr>
            <w:r>
              <w:rPr>
                <w:sz w:val="22"/>
                <w:szCs w:val="22"/>
              </w:rPr>
              <w:t>Wilks' Lambda</w:t>
            </w:r>
          </w:p>
        </w:tc>
        <w:tc>
          <w:tcPr>
            <w:tcW w:w="8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2" w14:textId="77777777" w:rsidR="009E4375" w:rsidRDefault="00000000">
            <w:pPr>
              <w:spacing w:before="0" w:after="0" w:line="349" w:lineRule="auto"/>
              <w:ind w:left="60" w:right="60"/>
              <w:jc w:val="right"/>
              <w:rPr>
                <w:sz w:val="22"/>
                <w:szCs w:val="22"/>
              </w:rPr>
            </w:pPr>
            <w:r>
              <w:rPr>
                <w:sz w:val="22"/>
                <w:szCs w:val="22"/>
              </w:rPr>
              <w:t>.032</w:t>
            </w:r>
          </w:p>
        </w:tc>
        <w:tc>
          <w:tcPr>
            <w:tcW w:w="11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3" w14:textId="77777777" w:rsidR="009E4375" w:rsidRDefault="00000000">
            <w:pPr>
              <w:spacing w:before="0" w:after="0" w:line="349" w:lineRule="auto"/>
              <w:ind w:left="60" w:right="60"/>
              <w:jc w:val="right"/>
              <w:rPr>
                <w:sz w:val="22"/>
                <w:szCs w:val="22"/>
                <w:vertAlign w:val="superscript"/>
              </w:rPr>
            </w:pPr>
            <w:r>
              <w:rPr>
                <w:sz w:val="22"/>
                <w:szCs w:val="22"/>
              </w:rPr>
              <w:t>894.647</w:t>
            </w:r>
            <w:r>
              <w:rPr>
                <w:sz w:val="22"/>
                <w:szCs w:val="22"/>
                <w:vertAlign w:val="superscript"/>
              </w:rPr>
              <w:t>b</w:t>
            </w:r>
          </w:p>
        </w:tc>
        <w:tc>
          <w:tcPr>
            <w:tcW w:w="123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4"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5"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6" w14:textId="77777777" w:rsidR="009E4375" w:rsidRDefault="00000000">
            <w:pPr>
              <w:spacing w:before="0" w:after="0" w:line="349" w:lineRule="auto"/>
              <w:ind w:left="60" w:right="60"/>
              <w:jc w:val="right"/>
              <w:rPr>
                <w:sz w:val="22"/>
                <w:szCs w:val="22"/>
              </w:rPr>
            </w:pPr>
            <w:r>
              <w:rPr>
                <w:sz w:val="22"/>
                <w:szCs w:val="22"/>
              </w:rPr>
              <w:t>&lt;.001</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F37" w14:textId="77777777" w:rsidR="009E4375" w:rsidRDefault="00000000">
            <w:pPr>
              <w:spacing w:before="0" w:after="0" w:line="349" w:lineRule="auto"/>
              <w:ind w:left="60" w:right="60"/>
              <w:jc w:val="right"/>
              <w:rPr>
                <w:sz w:val="22"/>
                <w:szCs w:val="22"/>
              </w:rPr>
            </w:pPr>
            <w:r>
              <w:rPr>
                <w:sz w:val="22"/>
                <w:szCs w:val="22"/>
              </w:rPr>
              <w:t>.968</w:t>
            </w:r>
          </w:p>
        </w:tc>
      </w:tr>
      <w:tr w:rsidR="009E4375" w14:paraId="10CF6F41" w14:textId="77777777">
        <w:trPr>
          <w:trHeight w:val="375"/>
        </w:trPr>
        <w:tc>
          <w:tcPr>
            <w:tcW w:w="1020" w:type="dxa"/>
            <w:vMerge/>
            <w:tcBorders>
              <w:top w:val="nil"/>
              <w:left w:val="nil"/>
              <w:bottom w:val="nil"/>
              <w:right w:val="nil"/>
            </w:tcBorders>
            <w:tcMar>
              <w:top w:w="100" w:type="dxa"/>
              <w:left w:w="100" w:type="dxa"/>
              <w:bottom w:w="100" w:type="dxa"/>
              <w:right w:w="100" w:type="dxa"/>
            </w:tcMar>
          </w:tcPr>
          <w:p w14:paraId="10CF6F39" w14:textId="77777777" w:rsidR="009E4375" w:rsidRDefault="009E4375"/>
        </w:tc>
        <w:tc>
          <w:tcPr>
            <w:tcW w:w="1995" w:type="dxa"/>
            <w:tcBorders>
              <w:top w:val="nil"/>
              <w:left w:val="nil"/>
              <w:bottom w:val="single" w:sz="5" w:space="0" w:color="AEAEAE"/>
              <w:right w:val="nil"/>
            </w:tcBorders>
            <w:shd w:val="clear" w:color="auto" w:fill="E0E0E0"/>
            <w:tcMar>
              <w:top w:w="0" w:type="dxa"/>
              <w:left w:w="0" w:type="dxa"/>
              <w:bottom w:w="0" w:type="dxa"/>
              <w:right w:w="0" w:type="dxa"/>
            </w:tcMar>
          </w:tcPr>
          <w:p w14:paraId="10CF6F3A" w14:textId="77777777" w:rsidR="009E4375" w:rsidRDefault="00000000">
            <w:pPr>
              <w:spacing w:before="0" w:after="0" w:line="349" w:lineRule="auto"/>
              <w:ind w:left="60" w:right="60"/>
              <w:rPr>
                <w:sz w:val="22"/>
                <w:szCs w:val="22"/>
              </w:rPr>
            </w:pPr>
            <w:r>
              <w:rPr>
                <w:sz w:val="22"/>
                <w:szCs w:val="22"/>
              </w:rPr>
              <w:t>Hotelling's Trace</w:t>
            </w:r>
          </w:p>
        </w:tc>
        <w:tc>
          <w:tcPr>
            <w:tcW w:w="8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B" w14:textId="77777777" w:rsidR="009E4375" w:rsidRDefault="00000000">
            <w:pPr>
              <w:spacing w:before="0" w:after="0" w:line="349" w:lineRule="auto"/>
              <w:ind w:left="60" w:right="60"/>
              <w:jc w:val="right"/>
              <w:rPr>
                <w:sz w:val="22"/>
                <w:szCs w:val="22"/>
              </w:rPr>
            </w:pPr>
            <w:r>
              <w:rPr>
                <w:sz w:val="22"/>
                <w:szCs w:val="22"/>
              </w:rPr>
              <w:t>29.822</w:t>
            </w:r>
          </w:p>
        </w:tc>
        <w:tc>
          <w:tcPr>
            <w:tcW w:w="11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C" w14:textId="77777777" w:rsidR="009E4375" w:rsidRDefault="00000000">
            <w:pPr>
              <w:spacing w:before="0" w:after="0" w:line="349" w:lineRule="auto"/>
              <w:ind w:left="60" w:right="60"/>
              <w:jc w:val="right"/>
              <w:rPr>
                <w:sz w:val="22"/>
                <w:szCs w:val="22"/>
                <w:vertAlign w:val="superscript"/>
              </w:rPr>
            </w:pPr>
            <w:r>
              <w:rPr>
                <w:sz w:val="22"/>
                <w:szCs w:val="22"/>
              </w:rPr>
              <w:t>894.647</w:t>
            </w:r>
            <w:r>
              <w:rPr>
                <w:sz w:val="22"/>
                <w:szCs w:val="22"/>
                <w:vertAlign w:val="superscript"/>
              </w:rPr>
              <w:t>b</w:t>
            </w:r>
          </w:p>
        </w:tc>
        <w:tc>
          <w:tcPr>
            <w:tcW w:w="123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D"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E"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3F" w14:textId="77777777" w:rsidR="009E4375" w:rsidRDefault="00000000">
            <w:pPr>
              <w:spacing w:before="0" w:after="0" w:line="349" w:lineRule="auto"/>
              <w:ind w:left="60" w:right="60"/>
              <w:jc w:val="right"/>
              <w:rPr>
                <w:sz w:val="22"/>
                <w:szCs w:val="22"/>
              </w:rPr>
            </w:pPr>
            <w:r>
              <w:rPr>
                <w:sz w:val="22"/>
                <w:szCs w:val="22"/>
              </w:rPr>
              <w:t>&lt;.001</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F40" w14:textId="77777777" w:rsidR="009E4375" w:rsidRDefault="00000000">
            <w:pPr>
              <w:spacing w:before="0" w:after="0" w:line="349" w:lineRule="auto"/>
              <w:ind w:left="60" w:right="60"/>
              <w:jc w:val="right"/>
              <w:rPr>
                <w:sz w:val="22"/>
                <w:szCs w:val="22"/>
              </w:rPr>
            </w:pPr>
            <w:r>
              <w:rPr>
                <w:sz w:val="22"/>
                <w:szCs w:val="22"/>
              </w:rPr>
              <w:t>.968</w:t>
            </w:r>
          </w:p>
        </w:tc>
      </w:tr>
      <w:tr w:rsidR="009E4375" w14:paraId="10CF6F4A" w14:textId="77777777">
        <w:trPr>
          <w:trHeight w:val="420"/>
        </w:trPr>
        <w:tc>
          <w:tcPr>
            <w:tcW w:w="1020" w:type="dxa"/>
            <w:vMerge/>
            <w:tcBorders>
              <w:top w:val="nil"/>
              <w:left w:val="nil"/>
              <w:bottom w:val="nil"/>
              <w:right w:val="nil"/>
            </w:tcBorders>
            <w:tcMar>
              <w:top w:w="100" w:type="dxa"/>
              <w:left w:w="100" w:type="dxa"/>
              <w:bottom w:w="100" w:type="dxa"/>
              <w:right w:w="100" w:type="dxa"/>
            </w:tcMar>
          </w:tcPr>
          <w:p w14:paraId="10CF6F42" w14:textId="77777777" w:rsidR="009E4375" w:rsidRDefault="009E4375"/>
        </w:tc>
        <w:tc>
          <w:tcPr>
            <w:tcW w:w="1995" w:type="dxa"/>
            <w:tcBorders>
              <w:top w:val="nil"/>
              <w:left w:val="nil"/>
              <w:bottom w:val="nil"/>
              <w:right w:val="nil"/>
            </w:tcBorders>
            <w:shd w:val="clear" w:color="auto" w:fill="E0E0E0"/>
            <w:tcMar>
              <w:top w:w="0" w:type="dxa"/>
              <w:left w:w="0" w:type="dxa"/>
              <w:bottom w:w="0" w:type="dxa"/>
              <w:right w:w="0" w:type="dxa"/>
            </w:tcMar>
          </w:tcPr>
          <w:p w14:paraId="10CF6F43" w14:textId="77777777" w:rsidR="009E4375" w:rsidRDefault="00000000">
            <w:pPr>
              <w:spacing w:before="0" w:after="0" w:line="349" w:lineRule="auto"/>
              <w:ind w:left="60" w:right="60"/>
              <w:rPr>
                <w:sz w:val="22"/>
                <w:szCs w:val="22"/>
              </w:rPr>
            </w:pPr>
            <w:r>
              <w:rPr>
                <w:sz w:val="22"/>
                <w:szCs w:val="22"/>
              </w:rPr>
              <w:t>Roy's Largest Root</w:t>
            </w:r>
          </w:p>
        </w:tc>
        <w:tc>
          <w:tcPr>
            <w:tcW w:w="855" w:type="dxa"/>
            <w:tcBorders>
              <w:top w:val="nil"/>
              <w:left w:val="nil"/>
              <w:bottom w:val="nil"/>
              <w:right w:val="single" w:sz="5" w:space="0" w:color="E0E0E0"/>
            </w:tcBorders>
            <w:shd w:val="clear" w:color="auto" w:fill="F9F9FB"/>
            <w:tcMar>
              <w:top w:w="0" w:type="dxa"/>
              <w:left w:w="0" w:type="dxa"/>
              <w:bottom w:w="0" w:type="dxa"/>
              <w:right w:w="0" w:type="dxa"/>
            </w:tcMar>
          </w:tcPr>
          <w:p w14:paraId="10CF6F44" w14:textId="77777777" w:rsidR="009E4375" w:rsidRDefault="00000000">
            <w:pPr>
              <w:spacing w:before="0" w:after="0" w:line="349" w:lineRule="auto"/>
              <w:ind w:left="60" w:right="60"/>
              <w:jc w:val="right"/>
              <w:rPr>
                <w:sz w:val="22"/>
                <w:szCs w:val="22"/>
              </w:rPr>
            </w:pPr>
            <w:r>
              <w:rPr>
                <w:sz w:val="22"/>
                <w:szCs w:val="22"/>
              </w:rPr>
              <w:t>29.822</w:t>
            </w:r>
          </w:p>
        </w:tc>
        <w:tc>
          <w:tcPr>
            <w:tcW w:w="1155" w:type="dxa"/>
            <w:tcBorders>
              <w:top w:val="nil"/>
              <w:left w:val="nil"/>
              <w:bottom w:val="nil"/>
              <w:right w:val="single" w:sz="5" w:space="0" w:color="E0E0E0"/>
            </w:tcBorders>
            <w:shd w:val="clear" w:color="auto" w:fill="F9F9FB"/>
            <w:tcMar>
              <w:top w:w="0" w:type="dxa"/>
              <w:left w:w="0" w:type="dxa"/>
              <w:bottom w:w="0" w:type="dxa"/>
              <w:right w:w="0" w:type="dxa"/>
            </w:tcMar>
          </w:tcPr>
          <w:p w14:paraId="10CF6F45" w14:textId="77777777" w:rsidR="009E4375" w:rsidRDefault="00000000">
            <w:pPr>
              <w:spacing w:before="0" w:after="0" w:line="349" w:lineRule="auto"/>
              <w:ind w:left="60" w:right="60"/>
              <w:jc w:val="right"/>
              <w:rPr>
                <w:sz w:val="22"/>
                <w:szCs w:val="22"/>
                <w:vertAlign w:val="superscript"/>
              </w:rPr>
            </w:pPr>
            <w:r>
              <w:rPr>
                <w:sz w:val="22"/>
                <w:szCs w:val="22"/>
              </w:rPr>
              <w:t>894.647</w:t>
            </w:r>
            <w:r>
              <w:rPr>
                <w:sz w:val="22"/>
                <w:szCs w:val="22"/>
                <w:vertAlign w:val="superscript"/>
              </w:rPr>
              <w:t>b</w:t>
            </w:r>
          </w:p>
        </w:tc>
        <w:tc>
          <w:tcPr>
            <w:tcW w:w="1230" w:type="dxa"/>
            <w:tcBorders>
              <w:top w:val="nil"/>
              <w:left w:val="nil"/>
              <w:bottom w:val="nil"/>
              <w:right w:val="single" w:sz="5" w:space="0" w:color="E0E0E0"/>
            </w:tcBorders>
            <w:shd w:val="clear" w:color="auto" w:fill="F9F9FB"/>
            <w:tcMar>
              <w:top w:w="0" w:type="dxa"/>
              <w:left w:w="0" w:type="dxa"/>
              <w:bottom w:w="0" w:type="dxa"/>
              <w:right w:w="0" w:type="dxa"/>
            </w:tcMar>
          </w:tcPr>
          <w:p w14:paraId="10CF6F46"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nil"/>
              <w:right w:val="single" w:sz="5" w:space="0" w:color="E0E0E0"/>
            </w:tcBorders>
            <w:shd w:val="clear" w:color="auto" w:fill="F9F9FB"/>
            <w:tcMar>
              <w:top w:w="0" w:type="dxa"/>
              <w:left w:w="0" w:type="dxa"/>
              <w:bottom w:w="0" w:type="dxa"/>
              <w:right w:w="0" w:type="dxa"/>
            </w:tcMar>
          </w:tcPr>
          <w:p w14:paraId="10CF6F47"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nil"/>
              <w:right w:val="single" w:sz="5" w:space="0" w:color="E0E0E0"/>
            </w:tcBorders>
            <w:shd w:val="clear" w:color="auto" w:fill="F9F9FB"/>
            <w:tcMar>
              <w:top w:w="0" w:type="dxa"/>
              <w:left w:w="0" w:type="dxa"/>
              <w:bottom w:w="0" w:type="dxa"/>
              <w:right w:w="0" w:type="dxa"/>
            </w:tcMar>
          </w:tcPr>
          <w:p w14:paraId="10CF6F48" w14:textId="77777777" w:rsidR="009E4375" w:rsidRDefault="00000000">
            <w:pPr>
              <w:spacing w:before="0" w:after="0" w:line="349" w:lineRule="auto"/>
              <w:ind w:left="60" w:right="60"/>
              <w:jc w:val="right"/>
              <w:rPr>
                <w:sz w:val="22"/>
                <w:szCs w:val="22"/>
              </w:rPr>
            </w:pPr>
            <w:r>
              <w:rPr>
                <w:sz w:val="22"/>
                <w:szCs w:val="22"/>
              </w:rPr>
              <w:t>&lt;.001</w:t>
            </w:r>
          </w:p>
        </w:tc>
        <w:tc>
          <w:tcPr>
            <w:tcW w:w="1185" w:type="dxa"/>
            <w:tcBorders>
              <w:top w:val="nil"/>
              <w:left w:val="nil"/>
              <w:bottom w:val="nil"/>
              <w:right w:val="nil"/>
            </w:tcBorders>
            <w:shd w:val="clear" w:color="auto" w:fill="F9F9FB"/>
            <w:tcMar>
              <w:top w:w="0" w:type="dxa"/>
              <w:left w:w="0" w:type="dxa"/>
              <w:bottom w:w="0" w:type="dxa"/>
              <w:right w:w="0" w:type="dxa"/>
            </w:tcMar>
          </w:tcPr>
          <w:p w14:paraId="10CF6F49" w14:textId="77777777" w:rsidR="009E4375" w:rsidRDefault="00000000">
            <w:pPr>
              <w:spacing w:before="0" w:after="0" w:line="349" w:lineRule="auto"/>
              <w:ind w:left="60" w:right="60"/>
              <w:jc w:val="right"/>
              <w:rPr>
                <w:sz w:val="22"/>
                <w:szCs w:val="22"/>
              </w:rPr>
            </w:pPr>
            <w:r>
              <w:rPr>
                <w:sz w:val="22"/>
                <w:szCs w:val="22"/>
              </w:rPr>
              <w:t>.968</w:t>
            </w:r>
          </w:p>
        </w:tc>
      </w:tr>
      <w:tr w:rsidR="009E4375" w14:paraId="10CF6F53" w14:textId="77777777">
        <w:trPr>
          <w:trHeight w:val="405"/>
        </w:trPr>
        <w:tc>
          <w:tcPr>
            <w:tcW w:w="1020" w:type="dxa"/>
            <w:vMerge w:val="restart"/>
            <w:tcBorders>
              <w:top w:val="single" w:sz="5" w:space="0" w:color="AEAEAE"/>
              <w:left w:val="nil"/>
              <w:bottom w:val="single" w:sz="5" w:space="0" w:color="152935"/>
              <w:right w:val="nil"/>
            </w:tcBorders>
            <w:shd w:val="clear" w:color="auto" w:fill="E0E0E0"/>
            <w:tcMar>
              <w:top w:w="0" w:type="dxa"/>
              <w:left w:w="0" w:type="dxa"/>
              <w:bottom w:w="0" w:type="dxa"/>
              <w:right w:w="0" w:type="dxa"/>
            </w:tcMar>
          </w:tcPr>
          <w:p w14:paraId="10CF6F4B" w14:textId="77777777" w:rsidR="009E4375" w:rsidRDefault="00000000">
            <w:pPr>
              <w:spacing w:before="0" w:after="0" w:line="349" w:lineRule="auto"/>
              <w:ind w:left="60" w:right="60"/>
              <w:rPr>
                <w:sz w:val="22"/>
                <w:szCs w:val="22"/>
              </w:rPr>
            </w:pPr>
            <w:r>
              <w:rPr>
                <w:sz w:val="22"/>
                <w:szCs w:val="22"/>
              </w:rPr>
              <w:t>Dorm</w:t>
            </w:r>
          </w:p>
        </w:tc>
        <w:tc>
          <w:tcPr>
            <w:tcW w:w="1995" w:type="dxa"/>
            <w:tcBorders>
              <w:top w:val="single" w:sz="5" w:space="0" w:color="AEAEAE"/>
              <w:left w:val="nil"/>
              <w:bottom w:val="single" w:sz="5" w:space="0" w:color="AEAEAE"/>
              <w:right w:val="nil"/>
            </w:tcBorders>
            <w:shd w:val="clear" w:color="auto" w:fill="E0E0E0"/>
            <w:tcMar>
              <w:top w:w="0" w:type="dxa"/>
              <w:left w:w="0" w:type="dxa"/>
              <w:bottom w:w="0" w:type="dxa"/>
              <w:right w:w="0" w:type="dxa"/>
            </w:tcMar>
          </w:tcPr>
          <w:p w14:paraId="10CF6F4C" w14:textId="77777777" w:rsidR="009E4375" w:rsidRDefault="00000000">
            <w:pPr>
              <w:spacing w:before="0" w:after="0" w:line="349" w:lineRule="auto"/>
              <w:ind w:left="60" w:right="60"/>
              <w:rPr>
                <w:sz w:val="22"/>
                <w:szCs w:val="22"/>
              </w:rPr>
            </w:pPr>
            <w:r>
              <w:rPr>
                <w:sz w:val="22"/>
                <w:szCs w:val="22"/>
              </w:rPr>
              <w:t>Pillai's Trace</w:t>
            </w:r>
          </w:p>
        </w:tc>
        <w:tc>
          <w:tcPr>
            <w:tcW w:w="85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F4D" w14:textId="77777777" w:rsidR="009E4375" w:rsidRDefault="00000000">
            <w:pPr>
              <w:spacing w:before="0" w:after="0" w:line="349" w:lineRule="auto"/>
              <w:ind w:left="60" w:right="60"/>
              <w:jc w:val="right"/>
              <w:rPr>
                <w:sz w:val="22"/>
                <w:szCs w:val="22"/>
              </w:rPr>
            </w:pPr>
            <w:r>
              <w:rPr>
                <w:sz w:val="22"/>
                <w:szCs w:val="22"/>
              </w:rPr>
              <w:t>.011</w:t>
            </w:r>
          </w:p>
        </w:tc>
        <w:tc>
          <w:tcPr>
            <w:tcW w:w="115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F4E" w14:textId="77777777" w:rsidR="009E4375" w:rsidRDefault="00000000">
            <w:pPr>
              <w:spacing w:before="0" w:after="0" w:line="349" w:lineRule="auto"/>
              <w:ind w:left="60" w:right="60"/>
              <w:jc w:val="right"/>
              <w:rPr>
                <w:sz w:val="22"/>
                <w:szCs w:val="22"/>
                <w:vertAlign w:val="superscript"/>
              </w:rPr>
            </w:pPr>
            <w:r>
              <w:rPr>
                <w:sz w:val="22"/>
                <w:szCs w:val="22"/>
              </w:rPr>
              <w:t>.330</w:t>
            </w:r>
            <w:r>
              <w:rPr>
                <w:sz w:val="22"/>
                <w:szCs w:val="22"/>
                <w:vertAlign w:val="superscript"/>
              </w:rPr>
              <w:t>b</w:t>
            </w:r>
          </w:p>
        </w:tc>
        <w:tc>
          <w:tcPr>
            <w:tcW w:w="123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F4F"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F50"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single" w:sz="5" w:space="0" w:color="AEAEAE"/>
              <w:left w:val="nil"/>
              <w:bottom w:val="single" w:sz="5" w:space="0" w:color="AEAEAE"/>
              <w:right w:val="single" w:sz="5" w:space="0" w:color="E0E0E0"/>
            </w:tcBorders>
            <w:shd w:val="clear" w:color="auto" w:fill="F9F9FB"/>
            <w:tcMar>
              <w:top w:w="0" w:type="dxa"/>
              <w:left w:w="0" w:type="dxa"/>
              <w:bottom w:w="0" w:type="dxa"/>
              <w:right w:w="0" w:type="dxa"/>
            </w:tcMar>
          </w:tcPr>
          <w:p w14:paraId="10CF6F51" w14:textId="77777777" w:rsidR="009E4375" w:rsidRDefault="00000000">
            <w:pPr>
              <w:spacing w:before="0" w:after="0" w:line="349" w:lineRule="auto"/>
              <w:ind w:left="60" w:right="60"/>
              <w:jc w:val="right"/>
              <w:rPr>
                <w:sz w:val="22"/>
                <w:szCs w:val="22"/>
              </w:rPr>
            </w:pPr>
            <w:r>
              <w:rPr>
                <w:sz w:val="22"/>
                <w:szCs w:val="22"/>
              </w:rPr>
              <w:t>.804</w:t>
            </w:r>
          </w:p>
        </w:tc>
        <w:tc>
          <w:tcPr>
            <w:tcW w:w="1185" w:type="dxa"/>
            <w:tcBorders>
              <w:top w:val="single" w:sz="5" w:space="0" w:color="AEAEAE"/>
              <w:left w:val="nil"/>
              <w:bottom w:val="single" w:sz="5" w:space="0" w:color="AEAEAE"/>
              <w:right w:val="nil"/>
            </w:tcBorders>
            <w:shd w:val="clear" w:color="auto" w:fill="F9F9FB"/>
            <w:tcMar>
              <w:top w:w="0" w:type="dxa"/>
              <w:left w:w="0" w:type="dxa"/>
              <w:bottom w:w="0" w:type="dxa"/>
              <w:right w:w="0" w:type="dxa"/>
            </w:tcMar>
          </w:tcPr>
          <w:p w14:paraId="10CF6F52" w14:textId="77777777" w:rsidR="009E4375" w:rsidRDefault="00000000">
            <w:pPr>
              <w:spacing w:before="0" w:after="0" w:line="349" w:lineRule="auto"/>
              <w:ind w:left="60" w:right="60"/>
              <w:jc w:val="right"/>
              <w:rPr>
                <w:sz w:val="22"/>
                <w:szCs w:val="22"/>
              </w:rPr>
            </w:pPr>
            <w:r>
              <w:rPr>
                <w:sz w:val="22"/>
                <w:szCs w:val="22"/>
              </w:rPr>
              <w:t>.011</w:t>
            </w:r>
          </w:p>
        </w:tc>
      </w:tr>
      <w:tr w:rsidR="009E4375" w14:paraId="10CF6F5C" w14:textId="77777777">
        <w:trPr>
          <w:trHeight w:val="405"/>
        </w:trPr>
        <w:tc>
          <w:tcPr>
            <w:tcW w:w="102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F54" w14:textId="77777777" w:rsidR="009E4375" w:rsidRDefault="009E4375"/>
        </w:tc>
        <w:tc>
          <w:tcPr>
            <w:tcW w:w="1995" w:type="dxa"/>
            <w:tcBorders>
              <w:top w:val="nil"/>
              <w:left w:val="nil"/>
              <w:bottom w:val="single" w:sz="5" w:space="0" w:color="AEAEAE"/>
              <w:right w:val="nil"/>
            </w:tcBorders>
            <w:shd w:val="clear" w:color="auto" w:fill="E0E0E0"/>
            <w:tcMar>
              <w:top w:w="0" w:type="dxa"/>
              <w:left w:w="0" w:type="dxa"/>
              <w:bottom w:w="0" w:type="dxa"/>
              <w:right w:w="0" w:type="dxa"/>
            </w:tcMar>
          </w:tcPr>
          <w:p w14:paraId="10CF6F55" w14:textId="77777777" w:rsidR="009E4375" w:rsidRDefault="00000000">
            <w:pPr>
              <w:spacing w:before="0" w:after="0" w:line="349" w:lineRule="auto"/>
              <w:ind w:left="60" w:right="60"/>
              <w:rPr>
                <w:sz w:val="22"/>
                <w:szCs w:val="22"/>
              </w:rPr>
            </w:pPr>
            <w:r>
              <w:rPr>
                <w:sz w:val="22"/>
                <w:szCs w:val="22"/>
              </w:rPr>
              <w:t>Wilks' Lambda</w:t>
            </w:r>
          </w:p>
        </w:tc>
        <w:tc>
          <w:tcPr>
            <w:tcW w:w="8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56" w14:textId="77777777" w:rsidR="009E4375" w:rsidRDefault="00000000">
            <w:pPr>
              <w:spacing w:before="0" w:after="0" w:line="349" w:lineRule="auto"/>
              <w:ind w:left="60" w:right="60"/>
              <w:jc w:val="right"/>
              <w:rPr>
                <w:sz w:val="22"/>
                <w:szCs w:val="22"/>
              </w:rPr>
            </w:pPr>
            <w:r>
              <w:rPr>
                <w:sz w:val="22"/>
                <w:szCs w:val="22"/>
              </w:rPr>
              <w:t>.989</w:t>
            </w:r>
          </w:p>
        </w:tc>
        <w:tc>
          <w:tcPr>
            <w:tcW w:w="11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57" w14:textId="77777777" w:rsidR="009E4375" w:rsidRDefault="00000000">
            <w:pPr>
              <w:spacing w:before="0" w:after="0" w:line="349" w:lineRule="auto"/>
              <w:ind w:left="60" w:right="60"/>
              <w:jc w:val="right"/>
              <w:rPr>
                <w:sz w:val="22"/>
                <w:szCs w:val="22"/>
                <w:vertAlign w:val="superscript"/>
              </w:rPr>
            </w:pPr>
            <w:r>
              <w:rPr>
                <w:sz w:val="22"/>
                <w:szCs w:val="22"/>
              </w:rPr>
              <w:t>.330</w:t>
            </w:r>
            <w:r>
              <w:rPr>
                <w:sz w:val="22"/>
                <w:szCs w:val="22"/>
                <w:vertAlign w:val="superscript"/>
              </w:rPr>
              <w:t>b</w:t>
            </w:r>
          </w:p>
        </w:tc>
        <w:tc>
          <w:tcPr>
            <w:tcW w:w="123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58"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59"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5A" w14:textId="77777777" w:rsidR="009E4375" w:rsidRDefault="00000000">
            <w:pPr>
              <w:spacing w:before="0" w:after="0" w:line="349" w:lineRule="auto"/>
              <w:ind w:left="60" w:right="60"/>
              <w:jc w:val="right"/>
              <w:rPr>
                <w:sz w:val="22"/>
                <w:szCs w:val="22"/>
              </w:rPr>
            </w:pPr>
            <w:r>
              <w:rPr>
                <w:sz w:val="22"/>
                <w:szCs w:val="22"/>
              </w:rPr>
              <w:t>.804</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F5B" w14:textId="77777777" w:rsidR="009E4375" w:rsidRDefault="00000000">
            <w:pPr>
              <w:spacing w:before="0" w:after="0" w:line="349" w:lineRule="auto"/>
              <w:ind w:left="60" w:right="60"/>
              <w:jc w:val="right"/>
              <w:rPr>
                <w:sz w:val="22"/>
                <w:szCs w:val="22"/>
              </w:rPr>
            </w:pPr>
            <w:r>
              <w:rPr>
                <w:sz w:val="22"/>
                <w:szCs w:val="22"/>
              </w:rPr>
              <w:t>.011</w:t>
            </w:r>
          </w:p>
        </w:tc>
      </w:tr>
      <w:tr w:rsidR="009E4375" w14:paraId="10CF6F65" w14:textId="77777777">
        <w:trPr>
          <w:trHeight w:val="390"/>
        </w:trPr>
        <w:tc>
          <w:tcPr>
            <w:tcW w:w="102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F5D" w14:textId="77777777" w:rsidR="009E4375" w:rsidRDefault="009E4375"/>
        </w:tc>
        <w:tc>
          <w:tcPr>
            <w:tcW w:w="1995" w:type="dxa"/>
            <w:tcBorders>
              <w:top w:val="nil"/>
              <w:left w:val="nil"/>
              <w:bottom w:val="single" w:sz="5" w:space="0" w:color="AEAEAE"/>
              <w:right w:val="nil"/>
            </w:tcBorders>
            <w:shd w:val="clear" w:color="auto" w:fill="E0E0E0"/>
            <w:tcMar>
              <w:top w:w="0" w:type="dxa"/>
              <w:left w:w="0" w:type="dxa"/>
              <w:bottom w:w="0" w:type="dxa"/>
              <w:right w:w="0" w:type="dxa"/>
            </w:tcMar>
          </w:tcPr>
          <w:p w14:paraId="10CF6F5E" w14:textId="77777777" w:rsidR="009E4375" w:rsidRDefault="00000000">
            <w:pPr>
              <w:spacing w:before="0" w:after="0" w:line="349" w:lineRule="auto"/>
              <w:ind w:left="60" w:right="60"/>
              <w:rPr>
                <w:sz w:val="22"/>
                <w:szCs w:val="22"/>
              </w:rPr>
            </w:pPr>
            <w:r>
              <w:rPr>
                <w:sz w:val="22"/>
                <w:szCs w:val="22"/>
              </w:rPr>
              <w:t>Hotelling's Trace</w:t>
            </w:r>
          </w:p>
        </w:tc>
        <w:tc>
          <w:tcPr>
            <w:tcW w:w="8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5F" w14:textId="77777777" w:rsidR="009E4375" w:rsidRDefault="00000000">
            <w:pPr>
              <w:spacing w:before="0" w:after="0" w:line="349" w:lineRule="auto"/>
              <w:ind w:left="60" w:right="60"/>
              <w:jc w:val="right"/>
              <w:rPr>
                <w:sz w:val="22"/>
                <w:szCs w:val="22"/>
              </w:rPr>
            </w:pPr>
            <w:r>
              <w:rPr>
                <w:sz w:val="22"/>
                <w:szCs w:val="22"/>
              </w:rPr>
              <w:t>.011</w:t>
            </w:r>
          </w:p>
        </w:tc>
        <w:tc>
          <w:tcPr>
            <w:tcW w:w="115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60" w14:textId="77777777" w:rsidR="009E4375" w:rsidRDefault="00000000">
            <w:pPr>
              <w:spacing w:before="0" w:after="0" w:line="349" w:lineRule="auto"/>
              <w:ind w:left="60" w:right="60"/>
              <w:jc w:val="right"/>
              <w:rPr>
                <w:sz w:val="22"/>
                <w:szCs w:val="22"/>
                <w:vertAlign w:val="superscript"/>
              </w:rPr>
            </w:pPr>
            <w:r>
              <w:rPr>
                <w:sz w:val="22"/>
                <w:szCs w:val="22"/>
              </w:rPr>
              <w:t>.330</w:t>
            </w:r>
            <w:r>
              <w:rPr>
                <w:sz w:val="22"/>
                <w:szCs w:val="22"/>
                <w:vertAlign w:val="superscript"/>
              </w:rPr>
              <w:t>b</w:t>
            </w:r>
          </w:p>
        </w:tc>
        <w:tc>
          <w:tcPr>
            <w:tcW w:w="123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61"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62"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single" w:sz="5" w:space="0" w:color="AEAEAE"/>
              <w:right w:val="single" w:sz="5" w:space="0" w:color="E0E0E0"/>
            </w:tcBorders>
            <w:shd w:val="clear" w:color="auto" w:fill="F9F9FB"/>
            <w:tcMar>
              <w:top w:w="0" w:type="dxa"/>
              <w:left w:w="0" w:type="dxa"/>
              <w:bottom w:w="0" w:type="dxa"/>
              <w:right w:w="0" w:type="dxa"/>
            </w:tcMar>
          </w:tcPr>
          <w:p w14:paraId="10CF6F63" w14:textId="77777777" w:rsidR="009E4375" w:rsidRDefault="00000000">
            <w:pPr>
              <w:spacing w:before="0" w:after="0" w:line="349" w:lineRule="auto"/>
              <w:ind w:left="60" w:right="60"/>
              <w:jc w:val="right"/>
              <w:rPr>
                <w:sz w:val="22"/>
                <w:szCs w:val="22"/>
              </w:rPr>
            </w:pPr>
            <w:r>
              <w:rPr>
                <w:sz w:val="22"/>
                <w:szCs w:val="22"/>
              </w:rPr>
              <w:t>.804</w:t>
            </w:r>
          </w:p>
        </w:tc>
        <w:tc>
          <w:tcPr>
            <w:tcW w:w="1185" w:type="dxa"/>
            <w:tcBorders>
              <w:top w:val="nil"/>
              <w:left w:val="nil"/>
              <w:bottom w:val="single" w:sz="5" w:space="0" w:color="AEAEAE"/>
              <w:right w:val="nil"/>
            </w:tcBorders>
            <w:shd w:val="clear" w:color="auto" w:fill="F9F9FB"/>
            <w:tcMar>
              <w:top w:w="0" w:type="dxa"/>
              <w:left w:w="0" w:type="dxa"/>
              <w:bottom w:w="0" w:type="dxa"/>
              <w:right w:w="0" w:type="dxa"/>
            </w:tcMar>
          </w:tcPr>
          <w:p w14:paraId="10CF6F64" w14:textId="77777777" w:rsidR="009E4375" w:rsidRDefault="00000000">
            <w:pPr>
              <w:spacing w:before="0" w:after="0" w:line="349" w:lineRule="auto"/>
              <w:ind w:left="60" w:right="60"/>
              <w:jc w:val="right"/>
              <w:rPr>
                <w:sz w:val="22"/>
                <w:szCs w:val="22"/>
              </w:rPr>
            </w:pPr>
            <w:r>
              <w:rPr>
                <w:sz w:val="22"/>
                <w:szCs w:val="22"/>
              </w:rPr>
              <w:t>.011</w:t>
            </w:r>
          </w:p>
        </w:tc>
      </w:tr>
      <w:tr w:rsidR="009E4375" w14:paraId="10CF6F6E" w14:textId="77777777">
        <w:trPr>
          <w:trHeight w:val="420"/>
        </w:trPr>
        <w:tc>
          <w:tcPr>
            <w:tcW w:w="1020" w:type="dxa"/>
            <w:vMerge/>
            <w:tcBorders>
              <w:top w:val="single" w:sz="5" w:space="0" w:color="AEAEAE"/>
              <w:left w:val="nil"/>
              <w:bottom w:val="single" w:sz="5" w:space="0" w:color="152935"/>
              <w:right w:val="nil"/>
            </w:tcBorders>
            <w:tcMar>
              <w:top w:w="100" w:type="dxa"/>
              <w:left w:w="100" w:type="dxa"/>
              <w:bottom w:w="100" w:type="dxa"/>
              <w:right w:w="100" w:type="dxa"/>
            </w:tcMar>
          </w:tcPr>
          <w:p w14:paraId="10CF6F66" w14:textId="77777777" w:rsidR="009E4375" w:rsidRDefault="009E4375"/>
        </w:tc>
        <w:tc>
          <w:tcPr>
            <w:tcW w:w="1995" w:type="dxa"/>
            <w:tcBorders>
              <w:top w:val="nil"/>
              <w:left w:val="nil"/>
              <w:bottom w:val="single" w:sz="5" w:space="0" w:color="152935"/>
              <w:right w:val="nil"/>
            </w:tcBorders>
            <w:shd w:val="clear" w:color="auto" w:fill="E0E0E0"/>
            <w:tcMar>
              <w:top w:w="0" w:type="dxa"/>
              <w:left w:w="0" w:type="dxa"/>
              <w:bottom w:w="0" w:type="dxa"/>
              <w:right w:w="0" w:type="dxa"/>
            </w:tcMar>
          </w:tcPr>
          <w:p w14:paraId="10CF6F67" w14:textId="77777777" w:rsidR="009E4375" w:rsidRDefault="00000000">
            <w:pPr>
              <w:spacing w:before="0" w:after="0" w:line="349" w:lineRule="auto"/>
              <w:ind w:left="60" w:right="60"/>
              <w:rPr>
                <w:sz w:val="22"/>
                <w:szCs w:val="22"/>
              </w:rPr>
            </w:pPr>
            <w:r>
              <w:rPr>
                <w:sz w:val="22"/>
                <w:szCs w:val="22"/>
              </w:rPr>
              <w:t>Roy's Largest Root</w:t>
            </w:r>
          </w:p>
        </w:tc>
        <w:tc>
          <w:tcPr>
            <w:tcW w:w="855"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F68" w14:textId="77777777" w:rsidR="009E4375" w:rsidRDefault="00000000">
            <w:pPr>
              <w:spacing w:before="0" w:after="0" w:line="349" w:lineRule="auto"/>
              <w:ind w:left="60" w:right="60"/>
              <w:jc w:val="right"/>
              <w:rPr>
                <w:sz w:val="22"/>
                <w:szCs w:val="22"/>
              </w:rPr>
            </w:pPr>
            <w:r>
              <w:rPr>
                <w:sz w:val="22"/>
                <w:szCs w:val="22"/>
              </w:rPr>
              <w:t>.011</w:t>
            </w:r>
          </w:p>
        </w:tc>
        <w:tc>
          <w:tcPr>
            <w:tcW w:w="1155"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F69" w14:textId="77777777" w:rsidR="009E4375" w:rsidRDefault="00000000">
            <w:pPr>
              <w:spacing w:before="0" w:after="0" w:line="349" w:lineRule="auto"/>
              <w:ind w:left="60" w:right="60"/>
              <w:jc w:val="right"/>
              <w:rPr>
                <w:sz w:val="22"/>
                <w:szCs w:val="22"/>
                <w:vertAlign w:val="superscript"/>
              </w:rPr>
            </w:pPr>
            <w:r>
              <w:rPr>
                <w:sz w:val="22"/>
                <w:szCs w:val="22"/>
              </w:rPr>
              <w:t>.330</w:t>
            </w:r>
            <w:r>
              <w:rPr>
                <w:sz w:val="22"/>
                <w:szCs w:val="22"/>
                <w:vertAlign w:val="superscript"/>
              </w:rPr>
              <w:t>b</w:t>
            </w:r>
          </w:p>
        </w:tc>
        <w:tc>
          <w:tcPr>
            <w:tcW w:w="123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F6A" w14:textId="77777777" w:rsidR="009E4375" w:rsidRDefault="00000000">
            <w:pPr>
              <w:spacing w:before="0" w:after="0" w:line="349" w:lineRule="auto"/>
              <w:ind w:left="60" w:right="60"/>
              <w:jc w:val="right"/>
              <w:rPr>
                <w:sz w:val="22"/>
                <w:szCs w:val="22"/>
              </w:rPr>
            </w:pPr>
            <w:r>
              <w:rPr>
                <w:sz w:val="22"/>
                <w:szCs w:val="22"/>
              </w:rPr>
              <w:t>3.000</w:t>
            </w:r>
          </w:p>
        </w:tc>
        <w:tc>
          <w:tcPr>
            <w:tcW w:w="1125"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F6B" w14:textId="77777777" w:rsidR="009E4375" w:rsidRDefault="00000000">
            <w:pPr>
              <w:spacing w:before="0" w:after="0" w:line="349" w:lineRule="auto"/>
              <w:ind w:left="60" w:right="60"/>
              <w:jc w:val="right"/>
              <w:rPr>
                <w:sz w:val="22"/>
                <w:szCs w:val="22"/>
              </w:rPr>
            </w:pPr>
            <w:r>
              <w:rPr>
                <w:sz w:val="22"/>
                <w:szCs w:val="22"/>
              </w:rPr>
              <w:t>90.000</w:t>
            </w:r>
          </w:p>
        </w:tc>
        <w:tc>
          <w:tcPr>
            <w:tcW w:w="810" w:type="dxa"/>
            <w:tcBorders>
              <w:top w:val="nil"/>
              <w:left w:val="nil"/>
              <w:bottom w:val="single" w:sz="5" w:space="0" w:color="152935"/>
              <w:right w:val="single" w:sz="5" w:space="0" w:color="E0E0E0"/>
            </w:tcBorders>
            <w:shd w:val="clear" w:color="auto" w:fill="F9F9FB"/>
            <w:tcMar>
              <w:top w:w="0" w:type="dxa"/>
              <w:left w:w="0" w:type="dxa"/>
              <w:bottom w:w="0" w:type="dxa"/>
              <w:right w:w="0" w:type="dxa"/>
            </w:tcMar>
          </w:tcPr>
          <w:p w14:paraId="10CF6F6C" w14:textId="77777777" w:rsidR="009E4375" w:rsidRDefault="00000000">
            <w:pPr>
              <w:spacing w:before="0" w:after="0" w:line="349" w:lineRule="auto"/>
              <w:ind w:left="60" w:right="60"/>
              <w:jc w:val="right"/>
              <w:rPr>
                <w:sz w:val="22"/>
                <w:szCs w:val="22"/>
              </w:rPr>
            </w:pPr>
            <w:r>
              <w:rPr>
                <w:sz w:val="22"/>
                <w:szCs w:val="22"/>
              </w:rPr>
              <w:t>.804</w:t>
            </w:r>
          </w:p>
        </w:tc>
        <w:tc>
          <w:tcPr>
            <w:tcW w:w="1185" w:type="dxa"/>
            <w:tcBorders>
              <w:top w:val="nil"/>
              <w:left w:val="nil"/>
              <w:bottom w:val="single" w:sz="5" w:space="0" w:color="152935"/>
              <w:right w:val="nil"/>
            </w:tcBorders>
            <w:shd w:val="clear" w:color="auto" w:fill="F9F9FB"/>
            <w:tcMar>
              <w:top w:w="0" w:type="dxa"/>
              <w:left w:w="0" w:type="dxa"/>
              <w:bottom w:w="0" w:type="dxa"/>
              <w:right w:w="0" w:type="dxa"/>
            </w:tcMar>
          </w:tcPr>
          <w:p w14:paraId="10CF6F6D" w14:textId="77777777" w:rsidR="009E4375" w:rsidRDefault="00000000">
            <w:pPr>
              <w:spacing w:before="0" w:after="0" w:line="349" w:lineRule="auto"/>
              <w:ind w:left="60" w:right="60"/>
              <w:jc w:val="right"/>
              <w:rPr>
                <w:sz w:val="22"/>
                <w:szCs w:val="22"/>
              </w:rPr>
            </w:pPr>
            <w:r>
              <w:rPr>
                <w:sz w:val="22"/>
                <w:szCs w:val="22"/>
              </w:rPr>
              <w:t>.011</w:t>
            </w:r>
          </w:p>
        </w:tc>
      </w:tr>
      <w:tr w:rsidR="009E4375" w14:paraId="10CF6F72" w14:textId="77777777">
        <w:trPr>
          <w:trHeight w:val="330"/>
        </w:trPr>
        <w:tc>
          <w:tcPr>
            <w:tcW w:w="9375" w:type="dxa"/>
            <w:gridSpan w:val="8"/>
            <w:tcBorders>
              <w:top w:val="nil"/>
              <w:left w:val="nil"/>
              <w:bottom w:val="nil"/>
              <w:right w:val="nil"/>
            </w:tcBorders>
            <w:shd w:val="clear" w:color="auto" w:fill="FFFFFF"/>
            <w:tcMar>
              <w:top w:w="0" w:type="dxa"/>
              <w:left w:w="0" w:type="dxa"/>
              <w:bottom w:w="0" w:type="dxa"/>
              <w:right w:w="0" w:type="dxa"/>
            </w:tcMar>
          </w:tcPr>
          <w:p w14:paraId="10CF6F6F" w14:textId="77777777" w:rsidR="009E4375" w:rsidRDefault="00000000">
            <w:pPr>
              <w:spacing w:before="0" w:after="0" w:line="349" w:lineRule="auto"/>
              <w:ind w:left="60" w:right="60"/>
              <w:rPr>
                <w:sz w:val="22"/>
                <w:szCs w:val="22"/>
              </w:rPr>
            </w:pPr>
            <w:r>
              <w:rPr>
                <w:i/>
                <w:iCs/>
                <w:sz w:val="22"/>
                <w:szCs w:val="22"/>
              </w:rPr>
              <w:t>Note</w:t>
            </w:r>
            <w:r>
              <w:rPr>
                <w:sz w:val="22"/>
                <w:szCs w:val="22"/>
              </w:rPr>
              <w:t>. a. Design: Intercept + dorm</w:t>
            </w:r>
          </w:p>
          <w:p w14:paraId="10CF6F70" w14:textId="77777777" w:rsidR="009E4375" w:rsidRDefault="00000000">
            <w:pPr>
              <w:spacing w:before="0" w:after="0" w:line="349" w:lineRule="auto"/>
              <w:ind w:left="60" w:right="60"/>
              <w:rPr>
                <w:sz w:val="22"/>
                <w:szCs w:val="22"/>
              </w:rPr>
            </w:pPr>
            <w:r>
              <w:rPr>
                <w:sz w:val="22"/>
                <w:szCs w:val="22"/>
              </w:rPr>
              <w:t xml:space="preserve">b. Exact </w:t>
            </w:r>
            <w:proofErr w:type="gramStart"/>
            <w:r>
              <w:rPr>
                <w:sz w:val="22"/>
                <w:szCs w:val="22"/>
              </w:rPr>
              <w:t>statistic</w:t>
            </w:r>
            <w:proofErr w:type="gramEnd"/>
          </w:p>
          <w:p w14:paraId="3BA00BD8" w14:textId="77777777" w:rsidR="009E4375" w:rsidRDefault="009E4375">
            <w:pPr>
              <w:spacing w:before="0" w:after="0" w:line="349" w:lineRule="auto"/>
              <w:ind w:left="60" w:right="60"/>
              <w:rPr>
                <w:sz w:val="22"/>
                <w:szCs w:val="22"/>
              </w:rPr>
            </w:pPr>
          </w:p>
          <w:p w14:paraId="10CF6F71" w14:textId="77777777" w:rsidR="00B92EE2" w:rsidRDefault="00B92EE2">
            <w:pPr>
              <w:spacing w:before="0" w:after="0" w:line="349" w:lineRule="auto"/>
              <w:ind w:left="60" w:right="60"/>
              <w:rPr>
                <w:sz w:val="22"/>
                <w:szCs w:val="22"/>
              </w:rPr>
            </w:pPr>
          </w:p>
        </w:tc>
      </w:tr>
    </w:tbl>
    <w:p w14:paraId="10CF6F73" w14:textId="77777777" w:rsidR="009E4375" w:rsidRDefault="00000000">
      <w:pPr>
        <w:pStyle w:val="Heading3"/>
        <w:spacing w:before="200" w:after="200"/>
        <w:jc w:val="center"/>
      </w:pPr>
      <w:bookmarkStart w:id="74" w:name="_Toc214490426"/>
      <w:r>
        <w:t>Summary</w:t>
      </w:r>
      <w:bookmarkEnd w:id="74"/>
    </w:p>
    <w:p w14:paraId="10CF6F74" w14:textId="77777777" w:rsidR="009E4375" w:rsidRDefault="00000000">
      <w:pPr>
        <w:ind w:firstLine="720"/>
      </w:pPr>
      <w:r>
        <w:t xml:space="preserve">This study primarily investigated the relationship between the signed communication and QOL of deaf individuals. The unexpected results countered my prediction that signed communication affects </w:t>
      </w:r>
      <w:proofErr w:type="gramStart"/>
      <w:r>
        <w:t>the QOL</w:t>
      </w:r>
      <w:proofErr w:type="gramEnd"/>
      <w:r>
        <w:t xml:space="preserve">. There were no significant differences between BIM and KTBM users on QOL and its subdomains. There was a significant relationship between overall QOL and one’s satisfaction of signed communication used in school and home settings during childhood, but there was not a significant relationship with the dormitories setting. Even so, one’s satisfaction of signed communication in school, home, and dormitories during childhood correlated with the </w:t>
      </w:r>
      <w:r>
        <w:lastRenderedPageBreak/>
        <w:t xml:space="preserve">self-acceptance/advocacy domain. The findings were not statistically significant for the type of signed communication previously used across the three settings (i.e., home, school and dorm). </w:t>
      </w:r>
    </w:p>
    <w:p w14:paraId="10CF6F75" w14:textId="77777777" w:rsidR="009E4375" w:rsidRDefault="00000000">
      <w:pPr>
        <w:pStyle w:val="Heading1"/>
      </w:pPr>
      <w:bookmarkStart w:id="75" w:name="_u6tf2qttbl4x" w:colFirst="0" w:colLast="0"/>
      <w:bookmarkEnd w:id="75"/>
      <w:r>
        <w:br w:type="page"/>
      </w:r>
    </w:p>
    <w:p w14:paraId="10CF6F76" w14:textId="77777777" w:rsidR="009E4375" w:rsidRDefault="00000000">
      <w:pPr>
        <w:pStyle w:val="Heading1"/>
      </w:pPr>
      <w:bookmarkStart w:id="76" w:name="_Toc214490427"/>
      <w:r>
        <w:lastRenderedPageBreak/>
        <w:t>CHAPTER V</w:t>
      </w:r>
      <w:bookmarkEnd w:id="76"/>
    </w:p>
    <w:p w14:paraId="10CF6F77" w14:textId="77777777" w:rsidR="009E4375" w:rsidRDefault="00000000">
      <w:pPr>
        <w:pStyle w:val="Heading2"/>
      </w:pPr>
      <w:bookmarkStart w:id="77" w:name="_Toc214490428"/>
      <w:r>
        <w:t>Discussion, Limitations, and Future Research</w:t>
      </w:r>
      <w:bookmarkEnd w:id="77"/>
    </w:p>
    <w:p w14:paraId="10CF6F78" w14:textId="77777777" w:rsidR="009E4375" w:rsidRDefault="009E4375">
      <w:pPr>
        <w:spacing w:before="0" w:after="0"/>
      </w:pPr>
    </w:p>
    <w:p w14:paraId="10CF6F79" w14:textId="77777777" w:rsidR="009E4375" w:rsidRDefault="00000000">
      <w:pPr>
        <w:spacing w:before="0" w:after="0"/>
      </w:pPr>
      <w:r>
        <w:tab/>
        <w:t xml:space="preserve">244 participants responded to the instrument used in this study, however only 220 participants agreed with the consent form to participate for further analysis. Most of the participants were deaf (N = 185) compared to hard of hearing (N = 35). Of the participants, 159 reported that they utilize BIM as their daily communication whereas only 53 reported that they use KTBM. </w:t>
      </w:r>
    </w:p>
    <w:p w14:paraId="10CF6F7A" w14:textId="77777777" w:rsidR="009E4375" w:rsidRDefault="009E4375">
      <w:pPr>
        <w:spacing w:before="0" w:after="0"/>
      </w:pPr>
    </w:p>
    <w:p w14:paraId="10CF6F7B" w14:textId="77777777" w:rsidR="009E4375" w:rsidRDefault="00000000">
      <w:pPr>
        <w:pStyle w:val="Heading4"/>
      </w:pPr>
      <w:bookmarkStart w:id="78" w:name="_Toc214490429"/>
      <w:r>
        <w:t>Summary of the Research Analyses</w:t>
      </w:r>
      <w:bookmarkEnd w:id="78"/>
    </w:p>
    <w:p w14:paraId="10CF6F7C" w14:textId="77777777" w:rsidR="009E4375" w:rsidRDefault="00000000">
      <w:pPr>
        <w:spacing w:before="0" w:after="0"/>
      </w:pPr>
      <w:r>
        <w:tab/>
        <w:t xml:space="preserve">In the current research, this researcher studied the QOL of Malaysian deaf adults with respect to the following factors: (1) the status of deaf Malaysians’ QOL outcomes related to demographic variables, (2) the relationship of QOL and the satisfaction of signed communication at three settings including school, home, and dormitory, and (3) the difference in QOL based on signed communication most often used during one’s previous school years. There were three main research questions conducted by this researcher. First, this researcher examined demographic variables such as gender, race and hearing status related to higher or lesser QOL outcomes for deaf Malaysians. T-test and MANOVA analyses were conducted to determine the relationship between those factors. The findings </w:t>
      </w:r>
      <w:proofErr w:type="gramStart"/>
      <w:r>
        <w:t>with regard to</w:t>
      </w:r>
      <w:proofErr w:type="gramEnd"/>
      <w:r>
        <w:t xml:space="preserve"> QOL demonstrated that gender and hearing status were not statistically significant in the T-test for overall QOL and not statistically significant in the MANOVA for its subdomains. Findings related to race from the MANOVA analysis were statistically significant. According to the univariate analyses in this current study, Malay participants reported higher self-acceptance/advocacy levels than Chinese participants, and lower levels of perceived stigma than Indian participants. There were not statistically significant differences among the races for the participation domain or overall QOL. However, after Bonferroni correction, the univariate analyses for individual subdomains didn't remain statistically significant. Prior to correction, the factors of self-acceptance/advocacy and perceived stigma differed modestly by race, suggesting potential trends that should be explored in more detail.  Secondly, Spearman correlations were conducted for overall QOL and its subdomains in relation </w:t>
      </w:r>
      <w:r>
        <w:lastRenderedPageBreak/>
        <w:t>to the satisfaction level of one’s signed communication across three settings during one’s previous school year (i.e., school, at home with family, and in the dormitories with friends). Self-acceptance/advocacy was correlated with satisfaction with signed communication in all three settings. Overall QOL was significantly correlated with satisfaction with signed communication in school and home settings; however, there was not a significant relationship with the dormitory setting. Lastly, using T-test and MANOVA analysis, this researcher investigated if the type of signed communication most often used during one’s previous school years (such as BIM and KTBM) impacted deaf Malaysians’ QOL in adulthood. The findings were not statistically significant for the type of signed communication previously used across the three settings (i.e., home, school and dorm).</w:t>
      </w:r>
    </w:p>
    <w:p w14:paraId="10CF6F7D" w14:textId="77777777" w:rsidR="009E4375" w:rsidRDefault="00000000">
      <w:pPr>
        <w:spacing w:before="0" w:after="0"/>
      </w:pPr>
      <w:r>
        <w:t xml:space="preserve"> </w:t>
      </w:r>
    </w:p>
    <w:p w14:paraId="10CF6F7E" w14:textId="77777777" w:rsidR="009E4375" w:rsidRDefault="00000000">
      <w:pPr>
        <w:pStyle w:val="Heading4"/>
      </w:pPr>
      <w:bookmarkStart w:id="79" w:name="_Toc214490430"/>
      <w:r>
        <w:t>Preferred Signed Communication in Malaysia</w:t>
      </w:r>
      <w:bookmarkEnd w:id="79"/>
    </w:p>
    <w:p w14:paraId="10CF6F7F" w14:textId="77777777" w:rsidR="009E4375" w:rsidRDefault="00000000">
      <w:pPr>
        <w:spacing w:before="0" w:after="0"/>
      </w:pPr>
      <w:r>
        <w:tab/>
        <w:t xml:space="preserve">The results related to signed communication indicate that BIM and KTBM (both the communication preferred today and that used during childhood used across settings) do not appear to affect the QOL of deaf adults differently.  It can also be noted that participants preferred BIM over KTBM by a significant margin in terms of the percentage of participants (72%) who identified BIM as their preferred language. </w:t>
      </w:r>
    </w:p>
    <w:p w14:paraId="10CF6F80" w14:textId="77777777" w:rsidR="009E4375" w:rsidRDefault="00000000">
      <w:pPr>
        <w:spacing w:before="0" w:after="0"/>
        <w:ind w:firstLine="720"/>
      </w:pPr>
      <w:r>
        <w:t xml:space="preserve">Deaf Malaysians may have been confused which sign language to identify as their own preferred sign language, as there are a mix of messages about BIM and KTBM in Malaysia on social media or in their previous schooling. This occurrence is not specific to Malaysia. In Australia, for example, members of the deaf community showed similar confusion about their sign language, thinking it was British Sign Language or Signed English rather than their native Australian Sign Language (Johnston, 1989). I have learned from my doctoral studies about natural sign languages and their grammar properties, and what differentiates natural sign languages from contrived sign systems (Sandler &amp; Lillo‐Martin, 2001); however, most deaf Malaysians have not received similar education about their sign language histories and usage (Chong &amp; Mohd, 2021; Trovato, 2013). This researcher identified the signed language that some deaf Malaysian participants used as BIM; however, they thought their signed language was ASL or KTBM. This indicates that the percentage of participants who identified BIM as </w:t>
      </w:r>
      <w:r>
        <w:lastRenderedPageBreak/>
        <w:t>their preferred language may</w:t>
      </w:r>
      <w:proofErr w:type="gramStart"/>
      <w:r>
        <w:t>, in reality, be</w:t>
      </w:r>
      <w:proofErr w:type="gramEnd"/>
      <w:r>
        <w:t xml:space="preserve"> higher than what is reported here. Additionally, the analysis of QOL by type of signed communication may have been impacted by participants’ confusion on this question. Malaysians may not understand the difference between BIM and </w:t>
      </w:r>
      <w:proofErr w:type="gramStart"/>
      <w:r>
        <w:t>KTBM, and</w:t>
      </w:r>
      <w:proofErr w:type="gramEnd"/>
      <w:r>
        <w:t xml:space="preserve"> may not correctly identify which signed language they most often use.</w:t>
      </w:r>
    </w:p>
    <w:p w14:paraId="10CF6F81" w14:textId="77777777" w:rsidR="009E4375" w:rsidRDefault="00000000">
      <w:pPr>
        <w:spacing w:before="0" w:after="0"/>
        <w:ind w:firstLine="720"/>
      </w:pPr>
      <w:r>
        <w:t xml:space="preserve">Satisfaction of the signed communication, such as BIM or KTBM used with friends at school, family at home, and with others in the dorms are significantly related to the </w:t>
      </w:r>
      <w:proofErr w:type="spellStart"/>
      <w:r>
        <w:t>self acceptance</w:t>
      </w:r>
      <w:proofErr w:type="spellEnd"/>
      <w:r>
        <w:t>/advocacy domain of QOL. As satisfaction of the signed communication across these settings increases, self-acceptance/advocacy in adulthood also increases. The relationship between satisfaction of the signed communication in the school and home were additionally related to the overall QOL. The relationship between satisfaction of the signed communication in the dormitory was not significantly correlated with overall QOL.</w:t>
      </w:r>
    </w:p>
    <w:p w14:paraId="10CF6F82" w14:textId="77777777" w:rsidR="009E4375" w:rsidRDefault="00000000">
      <w:pPr>
        <w:spacing w:before="0" w:after="0"/>
        <w:ind w:firstLine="720"/>
      </w:pPr>
      <w:r>
        <w:t xml:space="preserve">According to Maslow’s hierarchy (Maslow, 1943, 1962 &amp; 1987; McLeod, 2024), the students at the dormitory may have their basic physiological needs met by having a place to sleep and food to eat, but they may not have their safety needs provided by the dormitory staff, indicated through a lower QOL. The needs of safety, </w:t>
      </w:r>
      <w:proofErr w:type="gramStart"/>
      <w:r>
        <w:t>belongingness</w:t>
      </w:r>
      <w:proofErr w:type="gramEnd"/>
      <w:r>
        <w:t xml:space="preserve"> and love, and esteem in Maslow’s Hierarchy might not be provided sufficiently to meet the needs of deaf children who stay at the dormitory during their previous schooling to show a relation in the overall QOL. According to this researcher's observation, dorm staff’s responsibilities are to ensure the children are fed and safe, while not always being intentional about interacting or communicating with the children.  As a result, they are not providing fully for children's needs for safety, love, and belonging through communication or engaging with them as much as they could. Rather, it is treated as a job. However, one’s satisfaction with dormitory communication did relate to one’s self-acceptance/advocacy in adulthood. As compared to communication at school and with families at home, they may strive to ensure their deaf children have enough of these needs met. The satisfaction of one’s needs might affect the QOL of deaf adults related to Maslow’s Hierarchy (Maslow, 1987) during previous schooling despite the satisfaction of the signed communication. School settings such as dormitories that did not satisfy the needs of the deaf is related to lower QOL among deaf adults. However, schools and </w:t>
      </w:r>
      <w:r>
        <w:lastRenderedPageBreak/>
        <w:t xml:space="preserve">homes generally seem to meet the communication needs of the deaf to accept themselves later in life and have a higher QOL overall. </w:t>
      </w:r>
    </w:p>
    <w:p w14:paraId="10CF6F83" w14:textId="77777777" w:rsidR="009E4375" w:rsidRDefault="00000000">
      <w:pPr>
        <w:spacing w:before="0" w:after="0"/>
        <w:ind w:firstLine="720"/>
      </w:pPr>
      <w:r>
        <w:t xml:space="preserve">One explanation for the discrepancy between the study results and the theoretical model of this research might have to do with the cultural expectations surrounding signed communication in Malaysia. These results </w:t>
      </w:r>
      <w:proofErr w:type="gramStart"/>
      <w:r>
        <w:t>indicated</w:t>
      </w:r>
      <w:proofErr w:type="gramEnd"/>
      <w:r>
        <w:t xml:space="preserve"> that BIM and KTBM used in three settings such as school, home, and dormitories in their previous schooling do not affect the QOL of deaf adults differently in their adulthood. However, it can be noted that participants preferred BIM over KTBM by a significant margin in terms of the number of </w:t>
      </w:r>
      <w:proofErr w:type="gramStart"/>
      <w:r>
        <w:t>persons</w:t>
      </w:r>
      <w:proofErr w:type="gramEnd"/>
      <w:r>
        <w:t xml:space="preserve"> who identify BIM as their preferred language, which they most often used in their previous schooling. Additionally with the observed participant confusion between BIM and KTBM, there are limitations to collecting valid data about signed communication via a survey as was employed in this study.</w:t>
      </w:r>
    </w:p>
    <w:p w14:paraId="10CF6F84" w14:textId="77777777" w:rsidR="009E4375" w:rsidRDefault="009E4375">
      <w:pPr>
        <w:spacing w:before="0" w:after="0"/>
        <w:ind w:firstLine="720"/>
      </w:pPr>
    </w:p>
    <w:p w14:paraId="10CF6F85" w14:textId="77777777" w:rsidR="009E4375" w:rsidRDefault="00000000">
      <w:pPr>
        <w:pStyle w:val="Heading4"/>
      </w:pPr>
      <w:bookmarkStart w:id="80" w:name="_Toc214490431"/>
      <w:r>
        <w:t>Perceptions of Deaf People on QOL</w:t>
      </w:r>
      <w:bookmarkEnd w:id="80"/>
    </w:p>
    <w:p w14:paraId="10CF6F86" w14:textId="77777777" w:rsidR="009E4375" w:rsidRDefault="00000000">
      <w:pPr>
        <w:spacing w:before="0" w:after="0"/>
        <w:ind w:firstLine="720"/>
      </w:pPr>
      <w:r>
        <w:t>The study results indicated that there were no statistically significant differences in QOL across the demographic variables such as one’s preferred signed communication, gender, and hearing status. Regarding race, there were statistically significant differences for the Malay group in the QOL subdomains.</w:t>
      </w:r>
    </w:p>
    <w:p w14:paraId="10CF6F87" w14:textId="77777777" w:rsidR="009E4375" w:rsidRDefault="00000000">
      <w:pPr>
        <w:spacing w:before="0" w:after="0"/>
        <w:ind w:firstLine="720"/>
      </w:pPr>
      <w:r>
        <w:t>According to the result of this study, QOL did not differ for deaf adults by gender; rather, the QOL of deaf Malaysians is equal for men and women.  Generally, women more often reported using signed language than men (</w:t>
      </w:r>
      <w:proofErr w:type="spellStart"/>
      <w:r>
        <w:t>MItchell</w:t>
      </w:r>
      <w:proofErr w:type="spellEnd"/>
      <w:r>
        <w:t xml:space="preserve"> &amp; Young, 2023), which has been known to contribute to higher QOL (La </w:t>
      </w:r>
      <w:proofErr w:type="spellStart"/>
      <w:r>
        <w:t>Grutta</w:t>
      </w:r>
      <w:proofErr w:type="spellEnd"/>
      <w:r>
        <w:t xml:space="preserve"> al. et, 2023). In Malaysia, there were not noted differences in the percentage of use among the genders. Prior literature has detected differences in QOL by gender. In Saudi Arabia, deaf Saudi women reported statistically higher QOL than their male counterparts since, according to Islam, women should be given respect and kindness (</w:t>
      </w:r>
      <w:proofErr w:type="spellStart"/>
      <w:r>
        <w:t>Alsabei</w:t>
      </w:r>
      <w:proofErr w:type="spellEnd"/>
      <w:r>
        <w:t xml:space="preserve">, 2020). In Tumin </w:t>
      </w:r>
      <w:proofErr w:type="gramStart"/>
      <w:r>
        <w:t>et al.(</w:t>
      </w:r>
      <w:proofErr w:type="gramEnd"/>
      <w:r>
        <w:t xml:space="preserve">2017), they indicated that Malaysian women have lower QOL compared to men in </w:t>
      </w:r>
      <w:proofErr w:type="spellStart"/>
      <w:r>
        <w:t>HRQoL</w:t>
      </w:r>
      <w:proofErr w:type="spellEnd"/>
      <w:r>
        <w:t xml:space="preserve"> with differences ranging between two and five percent.  However, in the current study, there were no statistically significant differences between the genders in QOL.</w:t>
      </w:r>
    </w:p>
    <w:p w14:paraId="10CF6F88" w14:textId="77777777" w:rsidR="009E4375" w:rsidRDefault="00000000">
      <w:pPr>
        <w:spacing w:before="0" w:after="0"/>
      </w:pPr>
      <w:r>
        <w:tab/>
        <w:t xml:space="preserve"> The Malay participants reported a higher level of self-acceptance/advocacy than the Chinese participants, and a lower level of perceived stigma than the Indian </w:t>
      </w:r>
      <w:r>
        <w:lastRenderedPageBreak/>
        <w:t>participants. Although these trends are not statistically robust after adjustment for multiple comparisons, they may be influenced by cultural or social factors within different communities that influence perceptions of self and stigma. Furthermore, the effect sizes of these QOL subdomains indicated that race accounted for small-to-moderate proportions of variance, suggesting that race and each subdomain may be meaningful in practice. Perhaps interestingly, for race in terms of the self-acceptance and advocacy subdomain of QOL, Malays generally have a more positive or higher rating than Malaysian Chinese. They also have lower perceived stigma than Malaysian Indians. According to the Federal Constitution of Malaysia, it is widely recognized that Malays classify as Muslims who accept God's will. As a part of their faith, they believe strongly in the concept of surrendering to God and accepting their fate (Nygard,1996). This acceptance of fate and positive outlook may contribute to a higher quality of life for Malays, even in the face of challenges. These cultural and religious perspectives might explain why they report better QOL subdomains compared to other racial groups.</w:t>
      </w:r>
    </w:p>
    <w:p w14:paraId="10CF6F89" w14:textId="77777777" w:rsidR="009E4375" w:rsidRDefault="00000000">
      <w:pPr>
        <w:spacing w:before="0" w:after="0"/>
        <w:ind w:firstLine="720"/>
      </w:pPr>
      <w:r>
        <w:t xml:space="preserve">In interpreting the results of the current research, the unexpected result indicated that the deaf and hard of hearing are equal in the QOL. The practice of total communication, which is still a traditional approach for deaf children in Malaysia, may be a contributing factor to the satisfaction of deaf and hard of hearing people. In contrast, the literature (Chong, 2014; Chong &amp; Hussain, 2021; Lee et al. 2022) indicates that deaf people face language barriers in Malaysia. Factors such as sign production errors by teachers (Lee et al. 2022) create difficulties in understanding through signed communication for deaf students, whereas hard of hearing students have more access to spoken language used by the teacher.  These communication barriers may contribute to </w:t>
      </w:r>
      <w:proofErr w:type="gramStart"/>
      <w:r>
        <w:t>lower</w:t>
      </w:r>
      <w:proofErr w:type="gramEnd"/>
      <w:r>
        <w:t xml:space="preserve"> QOL for deaf people. </w:t>
      </w:r>
    </w:p>
    <w:p w14:paraId="10CF6F8A" w14:textId="77777777" w:rsidR="009E4375" w:rsidRDefault="009E4375">
      <w:pPr>
        <w:spacing w:before="0" w:after="0"/>
        <w:ind w:firstLine="720"/>
      </w:pPr>
    </w:p>
    <w:p w14:paraId="10CF6F8B" w14:textId="77777777" w:rsidR="009E4375" w:rsidRDefault="00000000">
      <w:pPr>
        <w:pStyle w:val="Heading4"/>
        <w:jc w:val="center"/>
      </w:pPr>
      <w:bookmarkStart w:id="81" w:name="_Toc214490432"/>
      <w:r>
        <w:t>Limitations</w:t>
      </w:r>
      <w:bookmarkEnd w:id="81"/>
    </w:p>
    <w:p w14:paraId="10CF6F8C" w14:textId="77777777" w:rsidR="009E4375" w:rsidRDefault="00000000">
      <w:pPr>
        <w:spacing w:before="0" w:after="0"/>
        <w:ind w:firstLine="720"/>
      </w:pPr>
      <w:r>
        <w:t xml:space="preserve">There are four limitations to this current study. First, there is a limitation to the </w:t>
      </w:r>
      <w:proofErr w:type="gramStart"/>
      <w:r>
        <w:t>survey translation</w:t>
      </w:r>
      <w:proofErr w:type="gramEnd"/>
      <w:r>
        <w:t xml:space="preserve">. The YQOL-DHH in Malay and Bahasa </w:t>
      </w:r>
      <w:proofErr w:type="spellStart"/>
      <w:r>
        <w:t>Isyarat</w:t>
      </w:r>
      <w:proofErr w:type="spellEnd"/>
      <w:r>
        <w:t xml:space="preserve"> Malaysia (BIM) versions were unavailable before this pilot study was conducted in Malaysia. Prior to conducting the study, this researcher made minor revisions to the survey to make it culturally appropriate and translated the YQOL-DHH into Malay and BIM versions with </w:t>
      </w:r>
      <w:r>
        <w:lastRenderedPageBreak/>
        <w:t xml:space="preserve">the assistance of professionals. Through a pilot study, this researcher examined whether respondents were understanding the intended meaning of the questions. The pilot study helped to identify misunderstandings that may have been influenced by the translations, and further revisions were made. While errors associated with translations into Malay and BIM have been minimized through this process, respondents may still understand questions differently from the original survey due to the language choices of the translations. </w:t>
      </w:r>
    </w:p>
    <w:p w14:paraId="10CF6F8D" w14:textId="77777777" w:rsidR="009E4375" w:rsidRDefault="00000000">
      <w:pPr>
        <w:spacing w:before="0" w:after="0"/>
        <w:ind w:firstLine="720"/>
      </w:pPr>
      <w:r>
        <w:t xml:space="preserve">The second limitation of the current study was the use of a fully online instrument to collect self-reported data. The deaf participants, particularly from rural areas, did not have experience with taking online surveys. Some struggled to complete the survey through an online link. The participants needed either assistance from the researcher or their friends who did the survey on how to use technology properly since they were unfamiliar with online surveys on Qualtrics. They were not sure how to access the survey and translations, play the videos repeatedly, how to click the question responses, nor how to click to progress in the survey. Therefore, those who had already completed the survey were assisting and explaining to others on how to use the technology to complete the survey. The survey contained several questions provided in Malay, English, and BIM video format, which lengthened the time it took for participants to complete the survey. It is suspected this may have further caused boredom and disengagement. Those who completed the survey reported to this researcher via video call after they filled it out or met with this researcher in person. Although they said they </w:t>
      </w:r>
      <w:proofErr w:type="gramStart"/>
      <w:r>
        <w:t>almost</w:t>
      </w:r>
      <w:proofErr w:type="gramEnd"/>
      <w:r>
        <w:t xml:space="preserve"> disengaged from the survey, they ended up completing the survey fully as a commitment to the research. Accordingly, the survey could be improved by reducing the long duration of administering it. Additionally, the use of a qualitative method such as post-survey interviews or focus groups would have assisted this researcher in getting a clearer understanding of the QOL indicators, including additional cultural or linguistic indicators, affecting deaf adults in Malaysia. </w:t>
      </w:r>
    </w:p>
    <w:p w14:paraId="10CF6F8E" w14:textId="77777777" w:rsidR="009E4375" w:rsidRDefault="00000000">
      <w:pPr>
        <w:spacing w:before="0" w:after="0"/>
      </w:pPr>
      <w:r>
        <w:tab/>
        <w:t xml:space="preserve">The third limitation was related to data collection of sufficient numbers by demographic variable groups. Those participants who did not complete the survey due to limited or prepaid internet access had to be excluded from the original pool of participants, which made the sample smaller than intended. This </w:t>
      </w:r>
      <w:proofErr w:type="gramStart"/>
      <w:r>
        <w:t>researcher</w:t>
      </w:r>
      <w:proofErr w:type="gramEnd"/>
      <w:r>
        <w:t xml:space="preserve"> failed to </w:t>
      </w:r>
      <w:r>
        <w:lastRenderedPageBreak/>
        <w:t xml:space="preserve">achieve at least 40 participants in each signed communication group. There was a need to merge those using KTBM (N=8, 3.6%) and Sim-Com (N=45, 20.5%). KTBM and Sim-Com were merged into one group known as KTBM due to their similar </w:t>
      </w:r>
      <w:proofErr w:type="gramStart"/>
      <w:r>
        <w:t>natures</w:t>
      </w:r>
      <w:proofErr w:type="gramEnd"/>
      <w:r>
        <w:t>; however, these were two distinct groups at the start of the study. Additionally, there was a slight imbalance in race among the participants with 44.1% Malay and about 45% Chinese participants. While these are similar in percent, they do not reflect the general population in Malaysia which is 69% Malay and 22% Chinese. Lastly, the number of hard of hearing participants was small compared to the number of deaf participants. The number of participants in the current study may have been insufficient to provide significant results by signed communication, race groups, and deaf/ hard of hearing groups. This study used a convenience sample and thus has limited generalizability.</w:t>
      </w:r>
    </w:p>
    <w:p w14:paraId="10CF6F8F" w14:textId="77777777" w:rsidR="009E4375" w:rsidRDefault="00000000">
      <w:pPr>
        <w:spacing w:before="0" w:after="0"/>
        <w:ind w:firstLine="720"/>
      </w:pPr>
      <w:r>
        <w:t xml:space="preserve">The last limitation was the use of mobile phones. Almost </w:t>
      </w:r>
      <w:proofErr w:type="gramStart"/>
      <w:r>
        <w:t>all of</w:t>
      </w:r>
      <w:proofErr w:type="gramEnd"/>
      <w:r>
        <w:t xml:space="preserve"> the participants used their mobile phones as a necessary communication tool. The videos for the study appeared small on </w:t>
      </w:r>
      <w:proofErr w:type="gramStart"/>
      <w:r>
        <w:t>the mobile</w:t>
      </w:r>
      <w:proofErr w:type="gramEnd"/>
      <w:r>
        <w:t xml:space="preserve"> phones, which made it harder for the participants to fully view the BIM translations and comprehend the questions. See pictures in Appendix C. They also needed to have a good and stable internet signal on their mobile phone so the videos would play at a normal speed without </w:t>
      </w:r>
      <w:proofErr w:type="gramStart"/>
      <w:r>
        <w:t>the interruption</w:t>
      </w:r>
      <w:proofErr w:type="gramEnd"/>
      <w:r>
        <w:t xml:space="preserve"> or loading. Using a laptop or computer should be recommended to complete online surveys of this nature </w:t>
      </w:r>
      <w:proofErr w:type="gramStart"/>
      <w:r>
        <w:t>in order for</w:t>
      </w:r>
      <w:proofErr w:type="gramEnd"/>
      <w:r>
        <w:t xml:space="preserve"> participants to read, view, and understand what to do more clearly.</w:t>
      </w:r>
    </w:p>
    <w:p w14:paraId="10CF6F90" w14:textId="77777777" w:rsidR="009E4375" w:rsidRDefault="009E4375">
      <w:pPr>
        <w:spacing w:before="0" w:after="0"/>
        <w:ind w:firstLine="720"/>
      </w:pPr>
    </w:p>
    <w:p w14:paraId="10CF6F91" w14:textId="77777777" w:rsidR="009E4375" w:rsidRDefault="00000000">
      <w:pPr>
        <w:pStyle w:val="Heading4"/>
        <w:jc w:val="center"/>
      </w:pPr>
      <w:bookmarkStart w:id="82" w:name="_Toc214490433"/>
      <w:r>
        <w:t>Future Research</w:t>
      </w:r>
      <w:bookmarkEnd w:id="82"/>
    </w:p>
    <w:p w14:paraId="10CF6F92" w14:textId="77777777" w:rsidR="009E4375" w:rsidRDefault="00000000">
      <w:pPr>
        <w:spacing w:before="0" w:after="0"/>
      </w:pPr>
      <w:r>
        <w:tab/>
        <w:t xml:space="preserve">The results of the current study showed the necessity for further exploration of the QOL of deaf people in Malaysia. A larger sample would be </w:t>
      </w:r>
      <w:proofErr w:type="gramStart"/>
      <w:r>
        <w:t>needed to</w:t>
      </w:r>
      <w:proofErr w:type="gramEnd"/>
      <w:r>
        <w:t xml:space="preserve"> </w:t>
      </w:r>
      <w:proofErr w:type="spellStart"/>
      <w:r>
        <w:t>to</w:t>
      </w:r>
      <w:proofErr w:type="spellEnd"/>
      <w:r>
        <w:t xml:space="preserve"> increase the statistical power of the analyses and improve the ability to detect meaningful differences. Two ways could result in more participants. The first is to include deaf people in the age category of 18-60 years old. </w:t>
      </w:r>
    </w:p>
    <w:p w14:paraId="10CF6F93" w14:textId="77777777" w:rsidR="009E4375" w:rsidRDefault="00000000">
      <w:pPr>
        <w:spacing w:before="0" w:after="0"/>
        <w:ind w:firstLine="720"/>
      </w:pPr>
      <w:r>
        <w:t xml:space="preserve">The second is to locate more people who have graduated within the last 10 years who are most likely to have a better recollection of their </w:t>
      </w:r>
      <w:proofErr w:type="gramStart"/>
      <w:r>
        <w:t>sign communication</w:t>
      </w:r>
      <w:proofErr w:type="gramEnd"/>
      <w:r>
        <w:t xml:space="preserve"> experiences in school, family, and dorm. Additionally focus-group interviews should be used along with the nationwide survey and integrated in a mixed method analysis of the topic. (Creswell &amp; </w:t>
      </w:r>
      <w:proofErr w:type="spellStart"/>
      <w:r>
        <w:t>Cerewell</w:t>
      </w:r>
      <w:proofErr w:type="spellEnd"/>
      <w:r>
        <w:t xml:space="preserve">, 2021). Given the limitations provided around </w:t>
      </w:r>
      <w:proofErr w:type="gramStart"/>
      <w:r>
        <w:t>technology</w:t>
      </w:r>
      <w:proofErr w:type="gramEnd"/>
      <w:r>
        <w:t xml:space="preserve"> </w:t>
      </w:r>
      <w:r>
        <w:lastRenderedPageBreak/>
        <w:t xml:space="preserve">use and understanding of one’s own sign language, focus groups would stimulate further necessary information and provide greater resources to the participants in conveying their experiences (Wilson &amp; Winiarczyk, 2014). </w:t>
      </w:r>
    </w:p>
    <w:p w14:paraId="10CF6F94" w14:textId="77777777" w:rsidR="009E4375" w:rsidRDefault="00000000">
      <w:pPr>
        <w:spacing w:before="0" w:after="0"/>
        <w:ind w:firstLine="720"/>
      </w:pPr>
      <w:r>
        <w:t>Also, the surveys could also be conducted physically, particularly in rural areas where deaf people are most unfamiliar with online surveys on Qualtrics. Support would be readily available to those who need assistance with how to use the technology to complete the survey. As an example, Gallaudet University’s Center for Deaf Health Equity conducted research using surveys to address cancer health equity with DHH. During the distribution of the survey in person, the respondents had the opportunity to ask clarifying questions, such as what certain terms meant. Center team members answered their questions in ASL. They distributed the survey in person so that respondents could clarify their understanding of the terms. With the QOL survey, brief explanations of BIM, KTBM, and a mixture of these could be provided to participants before giving them the survey to complete. This may reduce the confusion of the various sign languages. In the future, a workshop for the community could be conducted regarding the signed languages.</w:t>
      </w:r>
    </w:p>
    <w:p w14:paraId="10CF6F95" w14:textId="77777777" w:rsidR="009E4375" w:rsidRDefault="009E4375">
      <w:pPr>
        <w:spacing w:before="0" w:after="0"/>
        <w:ind w:firstLine="720"/>
      </w:pPr>
    </w:p>
    <w:p w14:paraId="10CF6F96" w14:textId="77777777" w:rsidR="009E4375" w:rsidRDefault="00000000">
      <w:pPr>
        <w:pStyle w:val="Heading4"/>
        <w:jc w:val="center"/>
      </w:pPr>
      <w:bookmarkStart w:id="83" w:name="_Toc214490434"/>
      <w:r>
        <w:t>Conclusion</w:t>
      </w:r>
      <w:bookmarkEnd w:id="83"/>
    </w:p>
    <w:p w14:paraId="10CF6F97" w14:textId="77777777" w:rsidR="009E4375" w:rsidRDefault="00000000">
      <w:pPr>
        <w:spacing w:before="0" w:after="0"/>
      </w:pPr>
      <w:r>
        <w:tab/>
        <w:t xml:space="preserve">The current study focused on the QOL among deaf people in Malaysia. This study did not find that one’s signed language most often used today or in one’s previous schooling across settings had a statistically significant impact on QOL for the deaf people in Malaysia. Despite these findings, BIM is widely used in both the deaf and hearing communities in Malaysia, and it continues to grow in popularity due to the awareness of its importance and the use of BIM in social media. A curriculum about BIM as an additional language subject for Year 1 is in the process and is expected to be released in 2027 for both deaf and hearing students. The deaf schools should be able to adopt BIM for deaf students since KTBM is being used less in schools. Curricula for additional years will also be developed. </w:t>
      </w:r>
    </w:p>
    <w:p w14:paraId="10CF6F98" w14:textId="77777777" w:rsidR="009E4375" w:rsidRDefault="00000000">
      <w:pPr>
        <w:spacing w:before="0" w:after="0"/>
        <w:ind w:firstLine="720"/>
      </w:pPr>
      <w:r>
        <w:t>Furthermore, in this study, one’s satisfaction in sign communication used in previous school, home, and dormitory did relate to self-acceptance and advocacy in adulthood. Demographic variables, such as gender and deaf/</w:t>
      </w:r>
      <w:proofErr w:type="gramStart"/>
      <w:r>
        <w:t>hard of</w:t>
      </w:r>
      <w:proofErr w:type="gramEnd"/>
      <w:r>
        <w:t xml:space="preserve"> hearing, were not </w:t>
      </w:r>
      <w:r>
        <w:lastRenderedPageBreak/>
        <w:t xml:space="preserve">statistically significant. However, regarding race, Malay deaf people demonstrated the highest self-acceptance and advocacy among races as well as low perceived stigma. </w:t>
      </w:r>
    </w:p>
    <w:p w14:paraId="10CF6F99" w14:textId="77777777" w:rsidR="009E4375" w:rsidRDefault="00000000">
      <w:pPr>
        <w:spacing w:before="0" w:after="0"/>
        <w:ind w:firstLine="720"/>
      </w:pPr>
      <w:r>
        <w:t>Finally, the current study was a significantly beneficial initiative in researching the QOL of deaf Malaysians. It contributes to understanding the QOL within the DHH community on their signed communication in Malaysia. More studies are needed to continue to investigate the significance by which signed languages in childhood and adulthood affect the quality of deaf Malaysian’s lives.</w:t>
      </w:r>
    </w:p>
    <w:p w14:paraId="10CF6F9A" w14:textId="77777777" w:rsidR="009E4375" w:rsidRDefault="00000000">
      <w:pPr>
        <w:pStyle w:val="Heading4"/>
      </w:pPr>
      <w:bookmarkStart w:id="84" w:name="_q3emw5lf0qt2" w:colFirst="0" w:colLast="0"/>
      <w:bookmarkEnd w:id="84"/>
      <w:r>
        <w:br w:type="page"/>
      </w:r>
    </w:p>
    <w:p w14:paraId="10CF6F9B" w14:textId="77777777" w:rsidR="009E4375" w:rsidRPr="00D43BCC" w:rsidRDefault="00000000">
      <w:pPr>
        <w:pStyle w:val="Heading1"/>
        <w:rPr>
          <w:lang w:val="nb-NO"/>
        </w:rPr>
      </w:pPr>
      <w:bookmarkStart w:id="85" w:name="_Toc214490435"/>
      <w:r w:rsidRPr="00D43BCC">
        <w:rPr>
          <w:lang w:val="nb-NO"/>
        </w:rPr>
        <w:lastRenderedPageBreak/>
        <w:t>References</w:t>
      </w:r>
      <w:bookmarkEnd w:id="85"/>
    </w:p>
    <w:p w14:paraId="10CF6F9C" w14:textId="77777777" w:rsidR="009E4375" w:rsidRDefault="00000000" w:rsidP="00266915">
      <w:pPr>
        <w:spacing w:after="160"/>
        <w:ind w:left="540" w:hanging="540"/>
      </w:pPr>
      <w:r w:rsidRPr="00D43BCC">
        <w:rPr>
          <w:lang w:val="nb-NO"/>
        </w:rPr>
        <w:t xml:space="preserve">Aanondsen, C. M., Jozefiak, T., Heiling, K., Lydersen, S., &amp; Rimehaug, T. (2021). </w:t>
      </w:r>
      <w:r>
        <w:t xml:space="preserve">Psychometric properties of the inventory of life quality in children and adolescents in Norwegian Sign Language. </w:t>
      </w:r>
      <w:r>
        <w:rPr>
          <w:i/>
          <w:iCs/>
        </w:rPr>
        <w:t>BMC Psychology</w:t>
      </w:r>
      <w:r>
        <w:t xml:space="preserve">, </w:t>
      </w:r>
      <w:r>
        <w:rPr>
          <w:i/>
          <w:iCs/>
        </w:rPr>
        <w:t>9</w:t>
      </w:r>
      <w:r>
        <w:t xml:space="preserve">(1), 89–89. </w:t>
      </w:r>
      <w:hyperlink r:id="rId24">
        <w:r w:rsidR="009E4375">
          <w:rPr>
            <w:u w:val="single"/>
          </w:rPr>
          <w:t>https://doi.org/10.1186/s40359-021-00590-x</w:t>
        </w:r>
      </w:hyperlink>
    </w:p>
    <w:p w14:paraId="10CF6F9D" w14:textId="77777777" w:rsidR="009E4375" w:rsidRDefault="00000000" w:rsidP="00266915">
      <w:pPr>
        <w:spacing w:after="160"/>
        <w:ind w:left="540" w:hanging="540"/>
      </w:pPr>
      <w:r>
        <w:t xml:space="preserve">Aanondsen, C. M., Jozefiak, T., Lydersen, S., Heiling, K., &amp; </w:t>
      </w:r>
      <w:proofErr w:type="spellStart"/>
      <w:r>
        <w:t>Rimehaug</w:t>
      </w:r>
      <w:proofErr w:type="spellEnd"/>
      <w:r>
        <w:t xml:space="preserve">, T. (2023). Deaf and hard-of-hearing children and adolescents’ mental health, Quality of Life and communication. </w:t>
      </w:r>
      <w:r>
        <w:rPr>
          <w:i/>
          <w:iCs/>
        </w:rPr>
        <w:t>BMC Psychiatry</w:t>
      </w:r>
      <w:r>
        <w:t xml:space="preserve">, </w:t>
      </w:r>
      <w:r>
        <w:rPr>
          <w:i/>
          <w:iCs/>
        </w:rPr>
        <w:t>23</w:t>
      </w:r>
      <w:r>
        <w:t xml:space="preserve">(1), 297–297. </w:t>
      </w:r>
      <w:hyperlink r:id="rId25">
        <w:r w:rsidR="009E4375">
          <w:rPr>
            <w:u w:val="single"/>
          </w:rPr>
          <w:t>https://doi.org/10.1186/s12888-023-04787-9</w:t>
        </w:r>
      </w:hyperlink>
    </w:p>
    <w:p w14:paraId="10CF6F9E" w14:textId="77777777" w:rsidR="009E4375" w:rsidRDefault="00000000" w:rsidP="00266915">
      <w:pPr>
        <w:spacing w:after="160"/>
        <w:ind w:left="540" w:hanging="540"/>
      </w:pPr>
      <w:r>
        <w:t xml:space="preserve">Abdullah, M. N. L. Y. (2012). Embracing diversity by bridging the school-to-work transition of students with disabilities in Malaysia. In G. </w:t>
      </w:r>
      <w:proofErr w:type="spellStart"/>
      <w:r>
        <w:t>Tchibozo</w:t>
      </w:r>
      <w:proofErr w:type="spellEnd"/>
      <w:r>
        <w:t xml:space="preserve"> (Ed.), </w:t>
      </w:r>
      <w:r>
        <w:rPr>
          <w:i/>
          <w:iCs/>
        </w:rPr>
        <w:t>Cultural and social diversity and the transition from education to work</w:t>
      </w:r>
      <w:r>
        <w:t xml:space="preserve"> (pp. 163-183). Springer Netherlands. https://doi.org/10.1007/978-94-007-5107-1_9</w:t>
      </w:r>
    </w:p>
    <w:p w14:paraId="10CF6F9F" w14:textId="77777777" w:rsidR="009E4375" w:rsidRDefault="00000000" w:rsidP="00266915">
      <w:pPr>
        <w:spacing w:after="0"/>
        <w:ind w:left="540" w:hanging="540"/>
        <w:rPr>
          <w:highlight w:val="white"/>
        </w:rPr>
      </w:pPr>
      <w:r>
        <w:rPr>
          <w:highlight w:val="white"/>
        </w:rPr>
        <w:t xml:space="preserve">Adibi, S. M. A. B. M., Chen, N. R., Azmir, N. A., </w:t>
      </w:r>
      <w:proofErr w:type="spellStart"/>
      <w:r>
        <w:rPr>
          <w:highlight w:val="white"/>
        </w:rPr>
        <w:t>Solahan</w:t>
      </w:r>
      <w:proofErr w:type="spellEnd"/>
      <w:r>
        <w:rPr>
          <w:highlight w:val="white"/>
        </w:rPr>
        <w:t>, N., Ismail, A</w:t>
      </w:r>
      <w:proofErr w:type="gramStart"/>
      <w:r>
        <w:rPr>
          <w:highlight w:val="white"/>
        </w:rPr>
        <w:t>., Anuar</w:t>
      </w:r>
      <w:proofErr w:type="gramEnd"/>
      <w:r>
        <w:rPr>
          <w:highlight w:val="white"/>
        </w:rPr>
        <w:t xml:space="preserve">, A. Z., &amp; </w:t>
      </w:r>
      <w:proofErr w:type="spellStart"/>
      <w:r>
        <w:rPr>
          <w:highlight w:val="white"/>
        </w:rPr>
        <w:t>Ukm</w:t>
      </w:r>
      <w:proofErr w:type="spellEnd"/>
      <w:r>
        <w:rPr>
          <w:highlight w:val="white"/>
        </w:rPr>
        <w:t xml:space="preserve">, M. (2013). The quality of life in hearing impaired adolescents after hearing aid application. </w:t>
      </w:r>
      <w:r>
        <w:rPr>
          <w:i/>
          <w:iCs/>
          <w:highlight w:val="white"/>
        </w:rPr>
        <w:t>Medical Journal of Malaysia</w:t>
      </w:r>
      <w:r>
        <w:rPr>
          <w:highlight w:val="white"/>
        </w:rPr>
        <w:t xml:space="preserve">, </w:t>
      </w:r>
      <w:r>
        <w:rPr>
          <w:i/>
          <w:iCs/>
          <w:highlight w:val="white"/>
        </w:rPr>
        <w:t>68</w:t>
      </w:r>
      <w:r>
        <w:rPr>
          <w:highlight w:val="white"/>
        </w:rPr>
        <w:t>(4), 315–322.</w:t>
      </w:r>
    </w:p>
    <w:p w14:paraId="10CF6FA0" w14:textId="77777777" w:rsidR="009E4375" w:rsidRDefault="00000000" w:rsidP="00266915">
      <w:pPr>
        <w:spacing w:after="0"/>
        <w:ind w:left="540" w:hanging="540"/>
      </w:pPr>
      <w:r>
        <w:t xml:space="preserve">Acharya, A. S., Prakash, A., Saxena, P., &amp; Nigam, A. (2013). Sampling: why and how of it? </w:t>
      </w:r>
      <w:r>
        <w:rPr>
          <w:i/>
          <w:iCs/>
        </w:rPr>
        <w:t xml:space="preserve">Indian Journal of Medical </w:t>
      </w:r>
      <w:proofErr w:type="spellStart"/>
      <w:r>
        <w:rPr>
          <w:i/>
          <w:iCs/>
        </w:rPr>
        <w:t>Specialities</w:t>
      </w:r>
      <w:proofErr w:type="spellEnd"/>
      <w:r>
        <w:t xml:space="preserve">, </w:t>
      </w:r>
      <w:r>
        <w:rPr>
          <w:i/>
          <w:iCs/>
        </w:rPr>
        <w:t>4</w:t>
      </w:r>
      <w:r>
        <w:t xml:space="preserve">(2), 330-333. </w:t>
      </w:r>
      <w:hyperlink r:id="rId26">
        <w:r w:rsidR="009E4375">
          <w:rPr>
            <w:u w:val="single"/>
          </w:rPr>
          <w:t>https://doi.org/10.7713/ijms.2013.0032</w:t>
        </w:r>
      </w:hyperlink>
      <w:r>
        <w:t xml:space="preserve"> </w:t>
      </w:r>
    </w:p>
    <w:p w14:paraId="10CF6FA1" w14:textId="77777777" w:rsidR="009E4375" w:rsidRDefault="00000000" w:rsidP="00266915">
      <w:pPr>
        <w:spacing w:after="0"/>
        <w:ind w:left="540" w:hanging="540"/>
      </w:pPr>
      <w:r>
        <w:t xml:space="preserve">Ali, M. M., Mustapha, R., &amp; Jelas, Z. M. (2006). An empirical study on teachers’ perceptions towards inclusive education in Malaysia. </w:t>
      </w:r>
      <w:r>
        <w:rPr>
          <w:i/>
          <w:iCs/>
        </w:rPr>
        <w:t>International Journal of Special Education</w:t>
      </w:r>
      <w:r>
        <w:t xml:space="preserve">, </w:t>
      </w:r>
      <w:r>
        <w:rPr>
          <w:i/>
          <w:iCs/>
        </w:rPr>
        <w:t>21</w:t>
      </w:r>
      <w:r>
        <w:t>(3), 36–44.</w:t>
      </w:r>
    </w:p>
    <w:p w14:paraId="10CF6FA2" w14:textId="77777777" w:rsidR="009E4375" w:rsidRPr="00D43BCC" w:rsidRDefault="00000000" w:rsidP="00266915">
      <w:pPr>
        <w:spacing w:after="0"/>
        <w:ind w:left="540" w:hanging="540"/>
        <w:rPr>
          <w:lang w:val="es-ES"/>
        </w:rPr>
      </w:pPr>
      <w:proofErr w:type="spellStart"/>
      <w:r>
        <w:t>AlNowaiser</w:t>
      </w:r>
      <w:proofErr w:type="spellEnd"/>
      <w:r>
        <w:t xml:space="preserve">, M. W., </w:t>
      </w:r>
      <w:proofErr w:type="spellStart"/>
      <w:r>
        <w:t>Bakraa</w:t>
      </w:r>
      <w:proofErr w:type="spellEnd"/>
      <w:r>
        <w:t xml:space="preserve">, R. M., Alamoudi, M. M., </w:t>
      </w:r>
      <w:proofErr w:type="spellStart"/>
      <w:r>
        <w:t>Basonbul</w:t>
      </w:r>
      <w:proofErr w:type="spellEnd"/>
      <w:r>
        <w:t xml:space="preserve">, R. A., Bukhari, A. F., &amp; Zawawi, F. (2023). Translation and Validation of the Hearing Environments and Reflection on Quality of Life (HEAR-QL) Questionnaire for Children and Adolescents in Arabic. </w:t>
      </w:r>
      <w:proofErr w:type="spellStart"/>
      <w:r w:rsidRPr="00D43BCC">
        <w:rPr>
          <w:i/>
          <w:iCs/>
          <w:lang w:val="es-ES"/>
        </w:rPr>
        <w:t>Curēus</w:t>
      </w:r>
      <w:proofErr w:type="spellEnd"/>
      <w:r w:rsidRPr="00D43BCC">
        <w:rPr>
          <w:lang w:val="es-ES"/>
        </w:rPr>
        <w:t xml:space="preserve">, </w:t>
      </w:r>
      <w:r w:rsidRPr="00D43BCC">
        <w:rPr>
          <w:i/>
          <w:iCs/>
          <w:lang w:val="es-ES"/>
        </w:rPr>
        <w:t>15</w:t>
      </w:r>
      <w:r w:rsidRPr="00D43BCC">
        <w:rPr>
          <w:lang w:val="es-ES"/>
        </w:rPr>
        <w:t xml:space="preserve">(5), e38936–e38936. </w:t>
      </w:r>
      <w:hyperlink r:id="rId27">
        <w:r w:rsidR="009E4375" w:rsidRPr="00D43BCC">
          <w:rPr>
            <w:u w:val="single"/>
            <w:lang w:val="es-ES"/>
          </w:rPr>
          <w:t>https://doi.org/10.7759/cureus.38936</w:t>
        </w:r>
      </w:hyperlink>
    </w:p>
    <w:p w14:paraId="10CF6FA3" w14:textId="77777777" w:rsidR="009E4375" w:rsidRDefault="00000000" w:rsidP="00266915">
      <w:pPr>
        <w:spacing w:after="0"/>
        <w:ind w:left="540" w:hanging="540"/>
      </w:pPr>
      <w:proofErr w:type="spellStart"/>
      <w:r w:rsidRPr="00D43BCC">
        <w:rPr>
          <w:lang w:val="es-ES"/>
        </w:rPr>
        <w:lastRenderedPageBreak/>
        <w:t>Alsabei</w:t>
      </w:r>
      <w:proofErr w:type="spellEnd"/>
      <w:r w:rsidRPr="00D43BCC">
        <w:rPr>
          <w:lang w:val="es-ES"/>
        </w:rPr>
        <w:t xml:space="preserve">, A. M. (2020). </w:t>
      </w:r>
      <w:r>
        <w:rPr>
          <w:i/>
          <w:iCs/>
        </w:rPr>
        <w:t>The quality of life for deaf and hard of hearing adults in Saudi Arabia.</w:t>
      </w:r>
      <w:r>
        <w:t xml:space="preserve"> [Unpublished doctoral dissertation]. University of Tennessee. </w:t>
      </w:r>
      <w:hyperlink r:id="rId28">
        <w:r w:rsidR="009E4375">
          <w:rPr>
            <w:u w:val="single"/>
          </w:rPr>
          <w:t>https://trace.tennessee.edu/utk_graddiss/5872/</w:t>
        </w:r>
      </w:hyperlink>
    </w:p>
    <w:p w14:paraId="10CF6FA4" w14:textId="77777777" w:rsidR="009E4375" w:rsidRDefault="00000000" w:rsidP="00266915">
      <w:pPr>
        <w:spacing w:after="0"/>
        <w:ind w:left="540" w:hanging="540"/>
      </w:pPr>
      <w:r>
        <w:t xml:space="preserve">Andrew, G. J. (2002). Private complementary medicine and older people: Service use and user empowerment. </w:t>
      </w:r>
      <w:r>
        <w:rPr>
          <w:i/>
          <w:iCs/>
        </w:rPr>
        <w:t>Ageing and Society</w:t>
      </w:r>
      <w:r>
        <w:t xml:space="preserve">, </w:t>
      </w:r>
      <w:r>
        <w:rPr>
          <w:i/>
          <w:iCs/>
        </w:rPr>
        <w:t>22</w:t>
      </w:r>
      <w:r>
        <w:t xml:space="preserve">(3), 343–368. </w:t>
      </w:r>
      <w:hyperlink r:id="rId29">
        <w:r w:rsidR="009E4375">
          <w:rPr>
            <w:u w:val="single"/>
          </w:rPr>
          <w:t>https://doi.org/10.1017/S0144686X02008668</w:t>
        </w:r>
      </w:hyperlink>
    </w:p>
    <w:p w14:paraId="10CF6FA5" w14:textId="77777777" w:rsidR="009E4375" w:rsidRDefault="00000000" w:rsidP="00266915">
      <w:pPr>
        <w:spacing w:after="0"/>
        <w:ind w:left="540" w:hanging="540"/>
      </w:pPr>
      <w:r>
        <w:t xml:space="preserve">Andrews, F. M., &amp; Withey, S. B. (2012). </w:t>
      </w:r>
      <w:r>
        <w:rPr>
          <w:i/>
          <w:iCs/>
        </w:rPr>
        <w:t>Social indicators of well-being: Americans' perceptions of life quality</w:t>
      </w:r>
      <w:r>
        <w:t>. Springer Science &amp; Business Media.</w:t>
      </w:r>
    </w:p>
    <w:p w14:paraId="10CF6FA6" w14:textId="77777777" w:rsidR="009E4375" w:rsidRDefault="00000000" w:rsidP="00266915">
      <w:pPr>
        <w:spacing w:after="0"/>
        <w:ind w:left="540" w:hanging="540"/>
        <w:rPr>
          <w:u w:val="single"/>
        </w:rPr>
      </w:pPr>
      <w:r>
        <w:t>Arsi</w:t>
      </w:r>
      <w:r>
        <w:rPr>
          <w:highlight w:val="white"/>
        </w:rPr>
        <w:t>ć</w:t>
      </w:r>
      <w:r>
        <w:t>, R. B., &amp; Djordjevi</w:t>
      </w:r>
      <w:r>
        <w:rPr>
          <w:highlight w:val="white"/>
        </w:rPr>
        <w:t>ć</w:t>
      </w:r>
      <w:r>
        <w:t xml:space="preserve">, S. V., (2017). An evaluation of the quality of life of </w:t>
      </w:r>
      <w:proofErr w:type="gramStart"/>
      <w:r>
        <w:t>hearing impaired</w:t>
      </w:r>
      <w:proofErr w:type="gramEnd"/>
      <w:r>
        <w:t xml:space="preserve"> children attending special schools in the Serbian education system. </w:t>
      </w:r>
      <w:r>
        <w:rPr>
          <w:i/>
          <w:iCs/>
        </w:rPr>
        <w:t>Journal of Special Education and Rehabilitation</w:t>
      </w:r>
      <w:r>
        <w:t xml:space="preserve">, </w:t>
      </w:r>
      <w:r>
        <w:rPr>
          <w:i/>
          <w:iCs/>
        </w:rPr>
        <w:t>18</w:t>
      </w:r>
      <w:r>
        <w:t>(1-2), 26-41.</w:t>
      </w:r>
      <w:hyperlink r:id="rId30">
        <w:r w:rsidR="009E4375">
          <w:t xml:space="preserve"> </w:t>
        </w:r>
      </w:hyperlink>
      <w:hyperlink r:id="rId31">
        <w:r w:rsidR="009E4375">
          <w:rPr>
            <w:u w:val="single"/>
          </w:rPr>
          <w:t>http://jser.fzf.ukim.edu.mk/files/2017(1-2)/04.(str.26-41)Radomir-B-Arsik.pdf</w:t>
        </w:r>
      </w:hyperlink>
    </w:p>
    <w:p w14:paraId="10CF6FA7" w14:textId="77777777" w:rsidR="009E4375" w:rsidRDefault="00000000" w:rsidP="00266915">
      <w:pPr>
        <w:spacing w:after="0"/>
        <w:ind w:left="540" w:hanging="540"/>
        <w:rPr>
          <w:highlight w:val="white"/>
        </w:rPr>
      </w:pPr>
      <w:r w:rsidRPr="00D43BCC">
        <w:rPr>
          <w:highlight w:val="white"/>
          <w:lang w:val="fi-FI"/>
        </w:rPr>
        <w:t xml:space="preserve">Ashori, M., &amp; Jalil-Abkenar, S. S. (2021). </w:t>
      </w:r>
      <w:r>
        <w:rPr>
          <w:highlight w:val="white"/>
        </w:rPr>
        <w:t xml:space="preserve">Emotional intelligence: Quality of life and cognitive emotion regulation of deaf and hard-of-hearing adolescents. </w:t>
      </w:r>
      <w:r>
        <w:rPr>
          <w:i/>
          <w:iCs/>
          <w:highlight w:val="white"/>
        </w:rPr>
        <w:t>Deafness &amp; Education International</w:t>
      </w:r>
      <w:r>
        <w:rPr>
          <w:highlight w:val="white"/>
        </w:rPr>
        <w:t xml:space="preserve">, </w:t>
      </w:r>
      <w:r>
        <w:rPr>
          <w:i/>
          <w:iCs/>
          <w:highlight w:val="white"/>
        </w:rPr>
        <w:t>23</w:t>
      </w:r>
      <w:r>
        <w:rPr>
          <w:highlight w:val="white"/>
        </w:rPr>
        <w:t xml:space="preserve">(2), 84–102. </w:t>
      </w:r>
      <w:hyperlink r:id="rId32">
        <w:r w:rsidR="009E4375">
          <w:rPr>
            <w:highlight w:val="white"/>
            <w:u w:val="single"/>
          </w:rPr>
          <w:t>https://doi.org/10.1080/14643154.2020.1766754</w:t>
        </w:r>
      </w:hyperlink>
    </w:p>
    <w:p w14:paraId="10CF6FA8" w14:textId="77777777" w:rsidR="009E4375" w:rsidRDefault="00000000" w:rsidP="00266915">
      <w:pPr>
        <w:spacing w:after="0"/>
        <w:ind w:left="540" w:hanging="540"/>
        <w:rPr>
          <w:highlight w:val="white"/>
        </w:rPr>
      </w:pPr>
      <w:proofErr w:type="spellStart"/>
      <w:r>
        <w:t>Ashori</w:t>
      </w:r>
      <w:proofErr w:type="spellEnd"/>
      <w:r>
        <w:t xml:space="preserve">, M., &amp; Rashidi, A. (2020). Investigate the psychometric properties of the Persian version of the youth quality of life instrument deaf and hard of hearing (YQOL-DHH). </w:t>
      </w:r>
      <w:r>
        <w:rPr>
          <w:i/>
          <w:iCs/>
        </w:rPr>
        <w:t>Quarterly Journal of Social Work</w:t>
      </w:r>
      <w:r>
        <w:t xml:space="preserve">, 9(2), 48-59. </w:t>
      </w:r>
      <w:hyperlink r:id="rId33">
        <w:r w:rsidR="009E4375">
          <w:rPr>
            <w:u w:val="single"/>
          </w:rPr>
          <w:t>https://socialworkmag.ir/article-1-600-fa.pdf</w:t>
        </w:r>
      </w:hyperlink>
    </w:p>
    <w:p w14:paraId="10CF6FA9" w14:textId="77777777" w:rsidR="009E4375" w:rsidRDefault="00000000" w:rsidP="00266915">
      <w:pPr>
        <w:spacing w:after="0"/>
        <w:ind w:left="540" w:hanging="540"/>
        <w:rPr>
          <w:highlight w:val="white"/>
        </w:rPr>
      </w:pPr>
      <w:r w:rsidRPr="00D43BCC">
        <w:rPr>
          <w:highlight w:val="white"/>
          <w:lang w:val="fi-FI"/>
        </w:rPr>
        <w:t xml:space="preserve">Aziz, A. A., Jani, R., &amp; Hanafi, H. (2023). </w:t>
      </w:r>
      <w:r>
        <w:rPr>
          <w:highlight w:val="white"/>
        </w:rPr>
        <w:t xml:space="preserve">Determinants of </w:t>
      </w:r>
      <w:proofErr w:type="gramStart"/>
      <w:r>
        <w:rPr>
          <w:highlight w:val="white"/>
        </w:rPr>
        <w:t>quality of life</w:t>
      </w:r>
      <w:proofErr w:type="gramEnd"/>
      <w:r>
        <w:rPr>
          <w:highlight w:val="white"/>
        </w:rPr>
        <w:t xml:space="preserve"> person with disabilities in Malaysia. </w:t>
      </w:r>
      <w:r>
        <w:rPr>
          <w:i/>
          <w:iCs/>
          <w:highlight w:val="white"/>
        </w:rPr>
        <w:t>e-BANGI Journal, 20</w:t>
      </w:r>
      <w:r>
        <w:rPr>
          <w:highlight w:val="white"/>
        </w:rPr>
        <w:t xml:space="preserve">(3). 178–188. </w:t>
      </w:r>
      <w:hyperlink r:id="rId34">
        <w:r w:rsidR="009E4375">
          <w:rPr>
            <w:highlight w:val="white"/>
            <w:u w:val="single"/>
          </w:rPr>
          <w:t>https://doi.org/10.17576/ebangi.2023.2003.15</w:t>
        </w:r>
      </w:hyperlink>
    </w:p>
    <w:p w14:paraId="10CF6FAA" w14:textId="77777777" w:rsidR="009E4375" w:rsidRDefault="00000000" w:rsidP="00266915">
      <w:pPr>
        <w:spacing w:after="0"/>
        <w:ind w:left="540" w:hanging="540"/>
        <w:rPr>
          <w:highlight w:val="white"/>
        </w:rPr>
      </w:pPr>
      <w:r>
        <w:rPr>
          <w:highlight w:val="white"/>
        </w:rPr>
        <w:t>Baker, E, &amp; Intagliata, J. (1982). Quality of life in the evaluation of community support systems.</w:t>
      </w:r>
      <w:r>
        <w:rPr>
          <w:i/>
          <w:iCs/>
          <w:highlight w:val="white"/>
        </w:rPr>
        <w:t xml:space="preserve"> Evaluation and Program Planning, 5</w:t>
      </w:r>
      <w:r>
        <w:rPr>
          <w:highlight w:val="white"/>
        </w:rPr>
        <w:t xml:space="preserve">(1), 69-79. </w:t>
      </w:r>
      <w:hyperlink r:id="rId35">
        <w:r w:rsidR="009E4375">
          <w:rPr>
            <w:highlight w:val="white"/>
            <w:u w:val="single"/>
          </w:rPr>
          <w:t>https://doi.org/10.1016/0149-7189(82)90059-3</w:t>
        </w:r>
      </w:hyperlink>
    </w:p>
    <w:p w14:paraId="10CF6FAB" w14:textId="77777777" w:rsidR="009E4375" w:rsidRDefault="00000000" w:rsidP="00266915">
      <w:pPr>
        <w:spacing w:after="0"/>
        <w:ind w:left="540" w:hanging="540"/>
      </w:pPr>
      <w:r>
        <w:rPr>
          <w:highlight w:val="white"/>
        </w:rPr>
        <w:lastRenderedPageBreak/>
        <w:t>Barcaccia, B. (2013). Definitions and domains of health-related quality of life. In T. Paraskevi (Ed.),</w:t>
      </w:r>
      <w:r>
        <w:t xml:space="preserve"> </w:t>
      </w:r>
      <w:r>
        <w:rPr>
          <w:i/>
          <w:iCs/>
        </w:rPr>
        <w:t xml:space="preserve">Outcomes assessment in end-stage kidney disease: Measurements and applications in clinical practice </w:t>
      </w:r>
      <w:r>
        <w:t>(pp. 12-24). Bentham Science Publishers.</w:t>
      </w:r>
    </w:p>
    <w:p w14:paraId="10CF6FAC" w14:textId="77777777" w:rsidR="009E4375" w:rsidRDefault="00000000" w:rsidP="00266915">
      <w:pPr>
        <w:spacing w:after="0"/>
        <w:ind w:left="540" w:hanging="540"/>
      </w:pPr>
      <w:r>
        <w:t xml:space="preserve">Bell, C. H., Cox, P. D., Allen, L. P., Pearson, J., &amp; Beirne, M. A. (1983). Diapause in twenty populations of </w:t>
      </w:r>
      <w:proofErr w:type="spellStart"/>
      <w:r>
        <w:t>Ephestia</w:t>
      </w:r>
      <w:proofErr w:type="spellEnd"/>
      <w:r>
        <w:t xml:space="preserve"> </w:t>
      </w:r>
      <w:proofErr w:type="spellStart"/>
      <w:r>
        <w:t>cautella</w:t>
      </w:r>
      <w:proofErr w:type="spellEnd"/>
      <w:r>
        <w:t xml:space="preserve"> (Walker) (Lepidoptera: </w:t>
      </w:r>
      <w:proofErr w:type="spellStart"/>
      <w:r>
        <w:t>Pyralidae</w:t>
      </w:r>
      <w:proofErr w:type="spellEnd"/>
      <w:r>
        <w:t xml:space="preserve">) from different parts of the world. </w:t>
      </w:r>
      <w:r>
        <w:rPr>
          <w:i/>
          <w:iCs/>
        </w:rPr>
        <w:t>Journal of Stored Products Research</w:t>
      </w:r>
      <w:r>
        <w:t xml:space="preserve">, </w:t>
      </w:r>
      <w:r>
        <w:rPr>
          <w:i/>
          <w:iCs/>
        </w:rPr>
        <w:t>19</w:t>
      </w:r>
      <w:r>
        <w:t xml:space="preserve">(3), 117–123. </w:t>
      </w:r>
      <w:hyperlink r:id="rId36">
        <w:r w:rsidR="009E4375">
          <w:rPr>
            <w:u w:val="single"/>
          </w:rPr>
          <w:t>https://doi.org/10.1016/0022-474X(83)90043-7</w:t>
        </w:r>
      </w:hyperlink>
    </w:p>
    <w:p w14:paraId="10CF6FAD" w14:textId="77777777" w:rsidR="009E4375" w:rsidRDefault="00000000" w:rsidP="00266915">
      <w:pPr>
        <w:spacing w:after="0"/>
        <w:ind w:left="540" w:hanging="540"/>
        <w:rPr>
          <w:u w:val="single"/>
        </w:rPr>
      </w:pPr>
      <w:r>
        <w:t>Bell, R., Ibrahim, Z., Koon Wei, H. &amp; Lim, L. (2015). Malaysian Sign Language (BIM). In J. Jepsen, G. De Clerck, S. Lutalo-</w:t>
      </w:r>
      <w:proofErr w:type="spellStart"/>
      <w:r>
        <w:t>Kiingi</w:t>
      </w:r>
      <w:proofErr w:type="spellEnd"/>
      <w:r>
        <w:t xml:space="preserve"> &amp; W. McGregor (Eds.), </w:t>
      </w:r>
      <w:r>
        <w:rPr>
          <w:i/>
          <w:iCs/>
        </w:rPr>
        <w:t>Sign languages of the world: A comparative handbook</w:t>
      </w:r>
      <w:r>
        <w:t xml:space="preserve"> (pp. 583-606). De Gruyter Mouton.</w:t>
      </w:r>
      <w:hyperlink r:id="rId37">
        <w:r w:rsidR="009E4375">
          <w:t xml:space="preserve"> </w:t>
        </w:r>
      </w:hyperlink>
      <w:hyperlink r:id="rId38">
        <w:r w:rsidR="009E4375">
          <w:rPr>
            <w:u w:val="single"/>
          </w:rPr>
          <w:t>https://doi.org/10.1515/9781614518174-030</w:t>
        </w:r>
      </w:hyperlink>
    </w:p>
    <w:p w14:paraId="10CF6FAE" w14:textId="77777777" w:rsidR="009E4375" w:rsidRDefault="00000000" w:rsidP="00266915">
      <w:pPr>
        <w:spacing w:after="0"/>
        <w:ind w:left="540" w:hanging="540"/>
        <w:rPr>
          <w:u w:val="single"/>
        </w:rPr>
      </w:pPr>
      <w:r>
        <w:t xml:space="preserve">Bigelow, D. A., McFarland, B. H. &amp; Olson, M. M. (1991) Quality of life of community mental health program clients: validating a measure. </w:t>
      </w:r>
      <w:r>
        <w:rPr>
          <w:i/>
          <w:iCs/>
        </w:rPr>
        <w:t>Community Mental Health Journal, 27</w:t>
      </w:r>
      <w:r>
        <w:t>, 43–55.</w:t>
      </w:r>
      <w:hyperlink r:id="rId39">
        <w:r w:rsidR="009E4375">
          <w:t xml:space="preserve"> </w:t>
        </w:r>
      </w:hyperlink>
      <w:hyperlink r:id="rId40">
        <w:r w:rsidR="009E4375">
          <w:rPr>
            <w:u w:val="single"/>
          </w:rPr>
          <w:t>https://doi.org/10.1007/BF00752714</w:t>
        </w:r>
      </w:hyperlink>
    </w:p>
    <w:p w14:paraId="10CF6FAF" w14:textId="77777777" w:rsidR="009E4375" w:rsidRDefault="00000000" w:rsidP="00266915">
      <w:pPr>
        <w:spacing w:after="0"/>
        <w:ind w:left="540" w:hanging="540"/>
      </w:pPr>
      <w:r>
        <w:t>Blunden, R. (1988). Programmatic feature of quality setting. In M. P. Janicki, M. W. Krauss, &amp; M. M. Seltzer (Eds.),</w:t>
      </w:r>
      <w:r>
        <w:rPr>
          <w:i/>
          <w:iCs/>
        </w:rPr>
        <w:t xml:space="preserve"> Community residences for </w:t>
      </w:r>
      <w:proofErr w:type="gramStart"/>
      <w:r>
        <w:rPr>
          <w:i/>
          <w:iCs/>
        </w:rPr>
        <w:t>persons</w:t>
      </w:r>
      <w:proofErr w:type="gramEnd"/>
      <w:r>
        <w:rPr>
          <w:i/>
          <w:iCs/>
        </w:rPr>
        <w:t xml:space="preserve"> with developmental disabilities: Here to stay </w:t>
      </w:r>
      <w:r>
        <w:t>(</w:t>
      </w:r>
      <w:proofErr w:type="gramStart"/>
      <w:r>
        <w:t>pp</w:t>
      </w:r>
      <w:proofErr w:type="gramEnd"/>
      <w:r>
        <w:t>.117-122). Paul H. Brookes.</w:t>
      </w:r>
    </w:p>
    <w:p w14:paraId="10CF6FB0" w14:textId="77777777" w:rsidR="009E4375" w:rsidRDefault="00000000" w:rsidP="00266915">
      <w:pPr>
        <w:spacing w:after="0"/>
        <w:ind w:left="540" w:hanging="540"/>
        <w:rPr>
          <w:u w:val="single"/>
        </w:rPr>
      </w:pPr>
      <w:r>
        <w:t>Borthwick-Duffy, S. A. (1992). Quality of life and quality of care in mental retardation. In</w:t>
      </w:r>
      <w:r>
        <w:rPr>
          <w:sz w:val="22"/>
          <w:szCs w:val="22"/>
          <w:highlight w:val="white"/>
        </w:rPr>
        <w:t xml:space="preserve"> </w:t>
      </w:r>
      <w:r>
        <w:t xml:space="preserve">L. </w:t>
      </w:r>
      <w:proofErr w:type="spellStart"/>
      <w:r>
        <w:t>Rowitz</w:t>
      </w:r>
      <w:proofErr w:type="spellEnd"/>
      <w:r>
        <w:t xml:space="preserve"> (Ed.), </w:t>
      </w:r>
      <w:r>
        <w:rPr>
          <w:i/>
          <w:iCs/>
        </w:rPr>
        <w:t>Mental retardation in the year 2000</w:t>
      </w:r>
      <w:r>
        <w:t xml:space="preserve"> (pp. 52-66). Springer New York.</w:t>
      </w:r>
      <w:hyperlink r:id="rId41">
        <w:r w:rsidR="009E4375">
          <w:t xml:space="preserve"> </w:t>
        </w:r>
      </w:hyperlink>
      <w:hyperlink r:id="rId42">
        <w:r w:rsidR="009E4375">
          <w:rPr>
            <w:u w:val="single"/>
          </w:rPr>
          <w:t>https://doi.org/10.1007/978-1-4613-9115-9_4</w:t>
        </w:r>
      </w:hyperlink>
    </w:p>
    <w:p w14:paraId="10CF6FB1" w14:textId="77777777" w:rsidR="009E4375" w:rsidRPr="00D43BCC" w:rsidRDefault="00000000" w:rsidP="00266915">
      <w:pPr>
        <w:spacing w:after="0"/>
        <w:ind w:left="540" w:hanging="540"/>
        <w:rPr>
          <w:lang w:val="fr-FR"/>
        </w:rPr>
      </w:pPr>
      <w:proofErr w:type="spellStart"/>
      <w:r w:rsidRPr="001F367A">
        <w:t>Borujeni</w:t>
      </w:r>
      <w:proofErr w:type="spellEnd"/>
      <w:r w:rsidRPr="001F367A">
        <w:t xml:space="preserve">, S. S., </w:t>
      </w:r>
      <w:proofErr w:type="spellStart"/>
      <w:r w:rsidRPr="001F367A">
        <w:t>Hatamizadeh</w:t>
      </w:r>
      <w:proofErr w:type="spellEnd"/>
      <w:r w:rsidRPr="001F367A">
        <w:t xml:space="preserve">, N., </w:t>
      </w:r>
      <w:proofErr w:type="spellStart"/>
      <w:r w:rsidRPr="001F367A">
        <w:t>Vameghi</w:t>
      </w:r>
      <w:proofErr w:type="spellEnd"/>
      <w:r w:rsidRPr="001F367A">
        <w:t xml:space="preserve">, R., &amp; </w:t>
      </w:r>
      <w:proofErr w:type="spellStart"/>
      <w:r w:rsidRPr="001F367A">
        <w:t>Keraskian</w:t>
      </w:r>
      <w:proofErr w:type="spellEnd"/>
      <w:r w:rsidRPr="001F367A">
        <w:t xml:space="preserve">, A. (2015). </w:t>
      </w:r>
      <w:r>
        <w:t xml:space="preserve">Hearing loss related quality of life in adolescents with hearing loss. </w:t>
      </w:r>
      <w:proofErr w:type="spellStart"/>
      <w:r w:rsidRPr="00D43BCC">
        <w:rPr>
          <w:i/>
          <w:iCs/>
          <w:lang w:val="fr-FR"/>
        </w:rPr>
        <w:t>Iranian</w:t>
      </w:r>
      <w:proofErr w:type="spellEnd"/>
      <w:r w:rsidRPr="00D43BCC">
        <w:rPr>
          <w:i/>
          <w:iCs/>
          <w:lang w:val="fr-FR"/>
        </w:rPr>
        <w:t xml:space="preserve"> </w:t>
      </w:r>
      <w:proofErr w:type="spellStart"/>
      <w:r w:rsidRPr="00D43BCC">
        <w:rPr>
          <w:i/>
          <w:iCs/>
          <w:lang w:val="fr-FR"/>
        </w:rPr>
        <w:t>Rehabilitation</w:t>
      </w:r>
      <w:proofErr w:type="spellEnd"/>
      <w:r w:rsidRPr="00D43BCC">
        <w:rPr>
          <w:i/>
          <w:iCs/>
          <w:lang w:val="fr-FR"/>
        </w:rPr>
        <w:t xml:space="preserve"> Journal</w:t>
      </w:r>
      <w:r w:rsidRPr="00D43BCC">
        <w:rPr>
          <w:lang w:val="fr-FR"/>
        </w:rPr>
        <w:t xml:space="preserve">, </w:t>
      </w:r>
      <w:r w:rsidRPr="00D43BCC">
        <w:rPr>
          <w:i/>
          <w:iCs/>
          <w:lang w:val="fr-FR"/>
        </w:rPr>
        <w:t>13</w:t>
      </w:r>
      <w:r w:rsidRPr="00D43BCC">
        <w:rPr>
          <w:lang w:val="fr-FR"/>
        </w:rPr>
        <w:t xml:space="preserve">(1), 38–43. </w:t>
      </w:r>
      <w:hyperlink r:id="rId43">
        <w:r w:rsidR="009E4375" w:rsidRPr="00D43BCC">
          <w:rPr>
            <w:u w:val="single"/>
            <w:lang w:val="fr-FR"/>
          </w:rPr>
          <w:t>https://irj.uswr.ac.ir/files/site1/user_files_055690/hatamizadeh-A-10-417-1-7a23248.pdf</w:t>
        </w:r>
      </w:hyperlink>
    </w:p>
    <w:p w14:paraId="10CF6FB2" w14:textId="77777777" w:rsidR="009E4375" w:rsidRDefault="00000000" w:rsidP="00266915">
      <w:pPr>
        <w:spacing w:after="0"/>
        <w:ind w:left="540" w:hanging="540"/>
      </w:pPr>
      <w:r>
        <w:lastRenderedPageBreak/>
        <w:t xml:space="preserve">Bowling, A. (2003). In A. J. </w:t>
      </w:r>
      <w:proofErr w:type="gramStart"/>
      <w:r>
        <w:t>Carr,  I.</w:t>
      </w:r>
      <w:proofErr w:type="gramEnd"/>
      <w:r>
        <w:t xml:space="preserve"> J. Higginson, &amp; P. G. Robinson (Eds.), </w:t>
      </w:r>
      <w:r>
        <w:rPr>
          <w:i/>
          <w:iCs/>
        </w:rPr>
        <w:t xml:space="preserve">Quality of life </w:t>
      </w:r>
      <w:r>
        <w:t>(pp. 1-8). BMJ Books.</w:t>
      </w:r>
    </w:p>
    <w:p w14:paraId="10CF6FB3" w14:textId="77777777" w:rsidR="009E4375" w:rsidRDefault="00000000" w:rsidP="00266915">
      <w:pPr>
        <w:spacing w:after="0"/>
        <w:ind w:left="540" w:hanging="540"/>
      </w:pPr>
      <w:r>
        <w:t xml:space="preserve">Brewis, B., le Roux, T., Schlemmer, K., Nauta, L., &amp; Vinck, B. (2020). Health-related quality of life in South African children who use cochlear implants. </w:t>
      </w:r>
      <w:r>
        <w:rPr>
          <w:i/>
          <w:iCs/>
        </w:rPr>
        <w:t>International Journal of Audiology</w:t>
      </w:r>
      <w:r>
        <w:t xml:space="preserve">, </w:t>
      </w:r>
      <w:r>
        <w:rPr>
          <w:i/>
          <w:iCs/>
        </w:rPr>
        <w:t>59</w:t>
      </w:r>
      <w:r>
        <w:t xml:space="preserve">(2), 132–139. </w:t>
      </w:r>
      <w:hyperlink r:id="rId44">
        <w:r w:rsidR="009E4375">
          <w:rPr>
            <w:u w:val="single"/>
          </w:rPr>
          <w:t>https://doi.org/10.1080/14992027.2019.1661531</w:t>
        </w:r>
      </w:hyperlink>
    </w:p>
    <w:p w14:paraId="10CF6FB4" w14:textId="77777777" w:rsidR="009E4375" w:rsidRDefault="00000000" w:rsidP="00266915">
      <w:pPr>
        <w:spacing w:after="0"/>
        <w:ind w:left="540" w:hanging="540"/>
      </w:pPr>
      <w:r>
        <w:t>Brown, R. I., &amp; Bayer, M. B. (1992).</w:t>
      </w:r>
      <w:r>
        <w:rPr>
          <w:i/>
          <w:iCs/>
        </w:rPr>
        <w:t xml:space="preserve"> Rehabilitation questionnaire manual: A personal guide to the individual's quality of life</w:t>
      </w:r>
      <w:r>
        <w:t xml:space="preserve">. </w:t>
      </w:r>
      <w:proofErr w:type="spellStart"/>
      <w:r>
        <w:t>Captns</w:t>
      </w:r>
      <w:proofErr w:type="spellEnd"/>
      <w:r>
        <w:t xml:space="preserve"> Press, Ontario. </w:t>
      </w:r>
    </w:p>
    <w:p w14:paraId="10CF6FB5" w14:textId="77777777" w:rsidR="009E4375" w:rsidRDefault="00000000" w:rsidP="00266915">
      <w:pPr>
        <w:spacing w:after="0"/>
        <w:ind w:left="540" w:hanging="540"/>
      </w:pPr>
      <w:r>
        <w:t xml:space="preserve">Brown, R. I., Brown, P. M. &amp; Bayer, M. B. (1994). A </w:t>
      </w:r>
      <w:proofErr w:type="gramStart"/>
      <w:r>
        <w:t>quality of life</w:t>
      </w:r>
      <w:proofErr w:type="gramEnd"/>
      <w:r>
        <w:t xml:space="preserve"> model: New challenges arising from a six-year study. In D. Goode (Ed.), </w:t>
      </w:r>
      <w:r>
        <w:rPr>
          <w:i/>
          <w:iCs/>
        </w:rPr>
        <w:t>Quality of life for persons with disabilities: International perspectives and issues (</w:t>
      </w:r>
      <w:r>
        <w:t xml:space="preserve">pp. 39–56). Brookline Books. </w:t>
      </w:r>
    </w:p>
    <w:p w14:paraId="10CF6FB6" w14:textId="77777777" w:rsidR="009E4375" w:rsidRDefault="00000000" w:rsidP="00266915">
      <w:pPr>
        <w:spacing w:after="0"/>
        <w:ind w:left="540" w:hanging="540"/>
        <w:rPr>
          <w:highlight w:val="white"/>
        </w:rPr>
      </w:pPr>
      <w:r>
        <w:rPr>
          <w:highlight w:val="white"/>
        </w:rPr>
        <w:t xml:space="preserve">Bubolz, M. M., Eicher, J. B., Evers, S. J., &amp; Sontag, M. S. (1980). A human ecological approach to quality of life: Conceptual framework and results of a preliminary study. </w:t>
      </w:r>
      <w:r>
        <w:rPr>
          <w:i/>
          <w:iCs/>
          <w:highlight w:val="white"/>
        </w:rPr>
        <w:t>Social Indicators Research</w:t>
      </w:r>
      <w:r>
        <w:rPr>
          <w:highlight w:val="white"/>
        </w:rPr>
        <w:t xml:space="preserve">, </w:t>
      </w:r>
      <w:r>
        <w:rPr>
          <w:i/>
          <w:iCs/>
          <w:highlight w:val="white"/>
        </w:rPr>
        <w:t>7</w:t>
      </w:r>
      <w:r>
        <w:rPr>
          <w:highlight w:val="white"/>
        </w:rPr>
        <w:t xml:space="preserve">, 103-136.  </w:t>
      </w:r>
      <w:hyperlink r:id="rId45">
        <w:r w:rsidR="009E4375">
          <w:rPr>
            <w:highlight w:val="white"/>
            <w:u w:val="single"/>
          </w:rPr>
          <w:t>https://doi.org/10.1007/BF00305595</w:t>
        </w:r>
      </w:hyperlink>
    </w:p>
    <w:p w14:paraId="10CF6FB7" w14:textId="77777777" w:rsidR="009E4375" w:rsidRDefault="00000000" w:rsidP="00266915">
      <w:pPr>
        <w:spacing w:after="0"/>
        <w:ind w:left="540" w:hanging="540"/>
      </w:pPr>
      <w:r>
        <w:t xml:space="preserve">Budak, Z., Isikhan, S. Y., &amp; Batuk, M. O. (2023). Validity, discriminative ability, and reliability of the Turkish hearing-related quality of life questionnaire for children and adolescents. </w:t>
      </w:r>
      <w:r>
        <w:rPr>
          <w:i/>
          <w:iCs/>
        </w:rPr>
        <w:t>Language, Speech &amp; Hearing Services in Schools</w:t>
      </w:r>
      <w:r>
        <w:t xml:space="preserve">, </w:t>
      </w:r>
      <w:r>
        <w:rPr>
          <w:i/>
          <w:iCs/>
        </w:rPr>
        <w:t>54</w:t>
      </w:r>
      <w:r>
        <w:t xml:space="preserve">(1), 260–274. </w:t>
      </w:r>
      <w:hyperlink r:id="rId46">
        <w:r w:rsidR="009E4375">
          <w:rPr>
            <w:u w:val="single"/>
          </w:rPr>
          <w:t>https://doi.org/10.1044/2022_LSHSS-22-00018</w:t>
        </w:r>
      </w:hyperlink>
    </w:p>
    <w:p w14:paraId="10CF6FB8" w14:textId="77777777" w:rsidR="009E4375" w:rsidRDefault="00000000" w:rsidP="00266915">
      <w:pPr>
        <w:spacing w:after="0"/>
        <w:ind w:left="540" w:hanging="540"/>
      </w:pPr>
      <w:r>
        <w:t xml:space="preserve">Buntinx, W.H.E. &amp; Schalock, R.L. (2010), Models of disability, quality of life, and individualized supports: Implications for professional practice in intellectual disability. </w:t>
      </w:r>
      <w:r>
        <w:rPr>
          <w:i/>
          <w:iCs/>
        </w:rPr>
        <w:t>Journal of Policy and Practice in Intellectual Disabilities</w:t>
      </w:r>
      <w:r>
        <w:t xml:space="preserve">, </w:t>
      </w:r>
      <w:r>
        <w:rPr>
          <w:i/>
          <w:iCs/>
        </w:rPr>
        <w:t>7</w:t>
      </w:r>
      <w:r>
        <w:t xml:space="preserve">(4) 283-294. </w:t>
      </w:r>
      <w:hyperlink r:id="rId47">
        <w:r w:rsidR="009E4375">
          <w:rPr>
            <w:u w:val="single"/>
          </w:rPr>
          <w:t>https://doi.org/10.1111/j.1741-1130.2010.00278.x</w:t>
        </w:r>
      </w:hyperlink>
    </w:p>
    <w:p w14:paraId="10CF6FB9" w14:textId="77777777" w:rsidR="009E4375" w:rsidRPr="00D43BCC" w:rsidRDefault="00000000" w:rsidP="00266915">
      <w:pPr>
        <w:spacing w:after="0"/>
        <w:ind w:left="540" w:hanging="540"/>
        <w:rPr>
          <w:lang w:val="fi-FI"/>
        </w:rPr>
      </w:pPr>
      <w:r>
        <w:t xml:space="preserve">Cahyani, N. D., Dewi, A. M. K., </w:t>
      </w:r>
      <w:proofErr w:type="spellStart"/>
      <w:r>
        <w:t>Ruspita</w:t>
      </w:r>
      <w:proofErr w:type="spellEnd"/>
      <w:r>
        <w:t xml:space="preserve">, D. A., &amp; </w:t>
      </w:r>
      <w:proofErr w:type="spellStart"/>
      <w:r>
        <w:t>Muyassaroh</w:t>
      </w:r>
      <w:proofErr w:type="spellEnd"/>
      <w:r>
        <w:t xml:space="preserve">, M. (2022). Hearing Aids and The Quality of Life of Children with Hearing Loss. </w:t>
      </w:r>
      <w:r w:rsidRPr="00D43BCC">
        <w:rPr>
          <w:i/>
          <w:iCs/>
          <w:lang w:val="fi-FI"/>
        </w:rPr>
        <w:t>KEMAS : Jurnal Kesehatan Masyarakat, 17</w:t>
      </w:r>
      <w:r w:rsidRPr="00D43BCC">
        <w:rPr>
          <w:lang w:val="fi-FI"/>
        </w:rPr>
        <w:t xml:space="preserve">(4), 490–499. </w:t>
      </w:r>
      <w:hyperlink r:id="rId48">
        <w:r w:rsidR="009E4375" w:rsidRPr="00D43BCC">
          <w:rPr>
            <w:u w:val="single"/>
            <w:lang w:val="fi-FI"/>
          </w:rPr>
          <w:t>https://doi.org/10.15294/kemas.v17i4.26574</w:t>
        </w:r>
      </w:hyperlink>
    </w:p>
    <w:p w14:paraId="10CF6FBA" w14:textId="77777777" w:rsidR="009E4375" w:rsidRDefault="00000000" w:rsidP="00266915">
      <w:pPr>
        <w:spacing w:after="0"/>
        <w:ind w:left="540" w:hanging="540"/>
      </w:pPr>
      <w:r w:rsidRPr="00D43BCC">
        <w:rPr>
          <w:lang w:val="fi-FI"/>
        </w:rPr>
        <w:lastRenderedPageBreak/>
        <w:t xml:space="preserve">Campbell, A. (1981). </w:t>
      </w:r>
      <w:r>
        <w:rPr>
          <w:i/>
          <w:iCs/>
        </w:rPr>
        <w:t>The sense of well-being in America: Recent patterns and trends.</w:t>
      </w:r>
      <w:r>
        <w:t xml:space="preserve"> McGraw-Hill.</w:t>
      </w:r>
    </w:p>
    <w:p w14:paraId="10CF6FBB" w14:textId="77777777" w:rsidR="009E4375" w:rsidRDefault="00000000" w:rsidP="00266915">
      <w:pPr>
        <w:spacing w:after="0"/>
        <w:ind w:left="540" w:hanging="540"/>
      </w:pPr>
      <w:r>
        <w:t xml:space="preserve">Campbell, A., Converse, P. E., &amp; Rodgers, W. L. (1976). </w:t>
      </w:r>
      <w:r>
        <w:rPr>
          <w:i/>
          <w:iCs/>
        </w:rPr>
        <w:t xml:space="preserve">The quality of American </w:t>
      </w:r>
      <w:proofErr w:type="gramStart"/>
      <w:r>
        <w:rPr>
          <w:i/>
          <w:iCs/>
        </w:rPr>
        <w:t>life :</w:t>
      </w:r>
      <w:proofErr w:type="gramEnd"/>
      <w:r>
        <w:rPr>
          <w:i/>
          <w:iCs/>
        </w:rPr>
        <w:t xml:space="preserve"> perceptions, evaluations, and satisfactions</w:t>
      </w:r>
      <w:r>
        <w:t>. Russell Sage Foundation.</w:t>
      </w:r>
    </w:p>
    <w:p w14:paraId="10CF6FBC" w14:textId="77777777" w:rsidR="009E4375" w:rsidRDefault="00000000" w:rsidP="00266915">
      <w:pPr>
        <w:spacing w:after="0"/>
        <w:ind w:left="540" w:hanging="540"/>
      </w:pPr>
      <w:r>
        <w:t xml:space="preserve">Carley, M. (1981). </w:t>
      </w:r>
      <w:r>
        <w:rPr>
          <w:i/>
          <w:iCs/>
        </w:rPr>
        <w:t xml:space="preserve">Social measurement and social </w:t>
      </w:r>
      <w:proofErr w:type="gramStart"/>
      <w:r>
        <w:rPr>
          <w:i/>
          <w:iCs/>
        </w:rPr>
        <w:t>Indicators :</w:t>
      </w:r>
      <w:proofErr w:type="gramEnd"/>
      <w:r>
        <w:rPr>
          <w:i/>
          <w:iCs/>
        </w:rPr>
        <w:t xml:space="preserve"> Issues of policy and theory. </w:t>
      </w:r>
      <w:r>
        <w:t>Allen &amp; Unwin.</w:t>
      </w:r>
    </w:p>
    <w:p w14:paraId="10CF6FBD" w14:textId="77777777" w:rsidR="009E4375" w:rsidRDefault="00000000" w:rsidP="00266915">
      <w:pPr>
        <w:spacing w:after="0"/>
        <w:ind w:left="540" w:hanging="540"/>
      </w:pPr>
      <w:r>
        <w:t xml:space="preserve">Cejas, I., Barker, D. H., Petruzzello, E., </w:t>
      </w:r>
      <w:proofErr w:type="spellStart"/>
      <w:r>
        <w:t>Sarangoulis</w:t>
      </w:r>
      <w:proofErr w:type="spellEnd"/>
      <w:r>
        <w:t xml:space="preserve">, C. M., &amp; Quittner, A. L. (2023). Cochlear Implantation and Educational and Quality-of-Life Outcomes in Adolescence. </w:t>
      </w:r>
      <w:r>
        <w:rPr>
          <w:i/>
          <w:iCs/>
        </w:rPr>
        <w:t>Archives of Otolaryngology--Head &amp; Neck Surgery</w:t>
      </w:r>
      <w:r>
        <w:t xml:space="preserve">, </w:t>
      </w:r>
      <w:r>
        <w:rPr>
          <w:i/>
          <w:iCs/>
        </w:rPr>
        <w:t>149</w:t>
      </w:r>
      <w:r>
        <w:t xml:space="preserve">(8), 708-. </w:t>
      </w:r>
      <w:hyperlink r:id="rId49">
        <w:r w:rsidR="009E4375">
          <w:rPr>
            <w:u w:val="single"/>
          </w:rPr>
          <w:t>https://doi.org/10.1001/jamaoto.2023.1327</w:t>
        </w:r>
      </w:hyperlink>
    </w:p>
    <w:p w14:paraId="10CF6FBE" w14:textId="77777777" w:rsidR="009E4375" w:rsidRDefault="00000000" w:rsidP="00266915">
      <w:pPr>
        <w:spacing w:after="0"/>
        <w:ind w:left="540" w:hanging="540"/>
      </w:pPr>
      <w:r>
        <w:t xml:space="preserve">Cella, D. F. (1994). Quality of life: Concepts and definition. </w:t>
      </w:r>
      <w:r>
        <w:rPr>
          <w:i/>
          <w:iCs/>
        </w:rPr>
        <w:t>Journal of Pain and Symptom Management, 9</w:t>
      </w:r>
      <w:r>
        <w:t xml:space="preserve">(3), 186–192. </w:t>
      </w:r>
      <w:hyperlink r:id="rId50">
        <w:r w:rsidR="009E4375">
          <w:rPr>
            <w:u w:val="single"/>
          </w:rPr>
          <w:t>https://doi.org/10.1016/0885-3924(94)90129-5</w:t>
        </w:r>
      </w:hyperlink>
    </w:p>
    <w:p w14:paraId="10CF6FBF" w14:textId="77777777" w:rsidR="009E4375" w:rsidRDefault="00000000" w:rsidP="00266915">
      <w:pPr>
        <w:spacing w:after="0"/>
        <w:ind w:left="540" w:hanging="540"/>
      </w:pPr>
      <w:r>
        <w:t xml:space="preserve">Cella, D. F. (1995). Measuring quality of life in palliative care. </w:t>
      </w:r>
      <w:r>
        <w:rPr>
          <w:i/>
          <w:iCs/>
        </w:rPr>
        <w:t>Seminars in Oncology</w:t>
      </w:r>
      <w:r>
        <w:t xml:space="preserve">, </w:t>
      </w:r>
      <w:r>
        <w:rPr>
          <w:i/>
          <w:iCs/>
        </w:rPr>
        <w:t>22</w:t>
      </w:r>
      <w:r>
        <w:t>(2 Suppl 3), 73–81.</w:t>
      </w:r>
    </w:p>
    <w:p w14:paraId="10CF6FC0" w14:textId="77777777" w:rsidR="009E4375" w:rsidRDefault="00000000" w:rsidP="00266915">
      <w:pPr>
        <w:spacing w:after="0"/>
        <w:ind w:left="540" w:hanging="540"/>
        <w:rPr>
          <w:highlight w:val="white"/>
        </w:rPr>
      </w:pPr>
      <w:r>
        <w:rPr>
          <w:highlight w:val="white"/>
        </w:rPr>
        <w:t xml:space="preserve">Chen, K.-H., Wu, C.-H., &amp; Yao, G. (2006). Applicability of the WHOQOL-BREF on Early Adolescence. </w:t>
      </w:r>
      <w:r>
        <w:rPr>
          <w:i/>
          <w:iCs/>
          <w:highlight w:val="white"/>
        </w:rPr>
        <w:t>Social Indicators Research</w:t>
      </w:r>
      <w:r>
        <w:rPr>
          <w:highlight w:val="white"/>
        </w:rPr>
        <w:t xml:space="preserve">, </w:t>
      </w:r>
      <w:r>
        <w:rPr>
          <w:i/>
          <w:iCs/>
          <w:highlight w:val="white"/>
        </w:rPr>
        <w:t>79</w:t>
      </w:r>
      <w:r>
        <w:rPr>
          <w:highlight w:val="white"/>
        </w:rPr>
        <w:t xml:space="preserve">(2), 215–234. </w:t>
      </w:r>
      <w:hyperlink r:id="rId51">
        <w:r w:rsidR="009E4375">
          <w:rPr>
            <w:highlight w:val="white"/>
            <w:u w:val="single"/>
          </w:rPr>
          <w:t>https://doi.org/10.1007/s11205-005-0211-0</w:t>
        </w:r>
      </w:hyperlink>
    </w:p>
    <w:p w14:paraId="10CF6FC1" w14:textId="77777777" w:rsidR="009E4375" w:rsidRDefault="00000000" w:rsidP="00266915">
      <w:pPr>
        <w:spacing w:after="0"/>
        <w:ind w:left="540" w:hanging="540"/>
      </w:pPr>
      <w:r>
        <w:rPr>
          <w:rFonts w:ascii="Arial Unicode MS" w:eastAsia="Arial Unicode MS" w:hAnsi="Arial Unicode MS" w:cs="Arial Unicode MS"/>
        </w:rPr>
        <w:t xml:space="preserve">Chen, Yi-Hui., (2020). </w:t>
      </w:r>
      <w:proofErr w:type="spellStart"/>
      <w:r>
        <w:rPr>
          <w:rFonts w:ascii="Arial Unicode MS" w:eastAsia="Arial Unicode MS" w:hAnsi="Arial Unicode MS" w:cs="Arial Unicode MS"/>
        </w:rPr>
        <w:t>一般學校高中職普通班聽覺障礙學生生活品質調查研究</w:t>
      </w:r>
      <w:proofErr w:type="spellEnd"/>
      <w:r>
        <w:rPr>
          <w:rFonts w:ascii="Arial Unicode MS" w:eastAsia="Arial Unicode MS" w:hAnsi="Arial Unicode MS" w:cs="Arial Unicode MS"/>
        </w:rPr>
        <w:t xml:space="preserve"> [A survey study of quality of life for senior high school who were deaf and hard of hearing at general education classrooms],</w:t>
      </w:r>
      <w:r>
        <w:rPr>
          <w:rFonts w:ascii="Arial Unicode MS" w:eastAsia="Arial Unicode MS" w:hAnsi="Arial Unicode MS" w:cs="Arial Unicode MS"/>
          <w:i/>
          <w:iCs/>
        </w:rPr>
        <w:t xml:space="preserve"> </w:t>
      </w:r>
      <w:proofErr w:type="spellStart"/>
      <w:r>
        <w:rPr>
          <w:rFonts w:ascii="Arial Unicode MS" w:eastAsia="Arial Unicode MS" w:hAnsi="Arial Unicode MS" w:cs="Arial Unicode MS"/>
          <w:i/>
          <w:iCs/>
        </w:rPr>
        <w:t>特殊教育發展期刊</w:t>
      </w:r>
      <w:proofErr w:type="spellEnd"/>
      <w:r>
        <w:t xml:space="preserve"> [</w:t>
      </w:r>
      <w:r>
        <w:rPr>
          <w:i/>
          <w:iCs/>
        </w:rPr>
        <w:t>The Development of Special Education</w:t>
      </w:r>
      <w:r>
        <w:t xml:space="preserve">], </w:t>
      </w:r>
      <w:r>
        <w:rPr>
          <w:i/>
          <w:iCs/>
        </w:rPr>
        <w:t>70</w:t>
      </w:r>
      <w:r>
        <w:t xml:space="preserve">, 1-16. </w:t>
      </w:r>
      <w:hyperlink r:id="rId52">
        <w:r w:rsidR="009E4375">
          <w:rPr>
            <w:u w:val="single"/>
          </w:rPr>
          <w:t>https://doi.org/10.7034/DSE.202012_(70).0001</w:t>
        </w:r>
      </w:hyperlink>
    </w:p>
    <w:p w14:paraId="10CF6FC2" w14:textId="77777777" w:rsidR="009E4375" w:rsidRDefault="00000000" w:rsidP="00266915">
      <w:pPr>
        <w:spacing w:after="0"/>
        <w:ind w:left="540" w:hanging="540"/>
      </w:pPr>
      <w:r>
        <w:t xml:space="preserve">Cheng, S., &amp; Zhang, L. (2017). Thinking Styles and Quality of University Life Among Deaf or Hard of Hearing and Hearing Students. </w:t>
      </w:r>
      <w:r>
        <w:rPr>
          <w:i/>
          <w:iCs/>
        </w:rPr>
        <w:t>American Annals of the Deaf</w:t>
      </w:r>
      <w:r>
        <w:t xml:space="preserve"> </w:t>
      </w:r>
      <w:r>
        <w:rPr>
          <w:i/>
          <w:iCs/>
        </w:rPr>
        <w:t>162</w:t>
      </w:r>
      <w:r>
        <w:t xml:space="preserve">(1), 8–23. </w:t>
      </w:r>
      <w:hyperlink r:id="rId53">
        <w:r w:rsidR="009E4375">
          <w:rPr>
            <w:u w:val="single"/>
          </w:rPr>
          <w:t>https://doi.org/10.1353/aad.2017.0011</w:t>
        </w:r>
      </w:hyperlink>
    </w:p>
    <w:p w14:paraId="10CF6FC3" w14:textId="77777777" w:rsidR="009E4375" w:rsidRDefault="00000000" w:rsidP="00266915">
      <w:pPr>
        <w:spacing w:after="0"/>
        <w:ind w:left="540" w:hanging="540"/>
      </w:pPr>
      <w:r>
        <w:lastRenderedPageBreak/>
        <w:t>Chong, V.Y. (2014).</w:t>
      </w:r>
      <w:r>
        <w:rPr>
          <w:i/>
          <w:iCs/>
        </w:rPr>
        <w:t xml:space="preserve"> Attitudes of Deaf Malaysians toward Malaysians Toward Malaysian Sign Language within Deaf Education (1954-2000)</w:t>
      </w:r>
      <w:r>
        <w:t xml:space="preserve"> (Unpublished Master’s thesis, Gallaudet University). </w:t>
      </w:r>
    </w:p>
    <w:p w14:paraId="10CF6FC4" w14:textId="77777777" w:rsidR="009E4375" w:rsidRDefault="00000000" w:rsidP="00266915">
      <w:pPr>
        <w:spacing w:after="160"/>
        <w:ind w:left="540" w:hanging="540"/>
        <w:rPr>
          <w:u w:val="single"/>
        </w:rPr>
      </w:pPr>
      <w:r>
        <w:t>Chong, V. Y., &amp; Foster</w:t>
      </w:r>
      <w:proofErr w:type="gramStart"/>
      <w:r>
        <w:t>, .</w:t>
      </w:r>
      <w:proofErr w:type="gramEnd"/>
      <w:r>
        <w:t xml:space="preserve"> E. (2022). Teaching Poetry to the Deaf for Language and Identity Development in Malaysia: A Case Study. </w:t>
      </w:r>
      <w:r>
        <w:rPr>
          <w:i/>
          <w:iCs/>
        </w:rPr>
        <w:t>Journal of Special Needs Education</w:t>
      </w:r>
      <w:r>
        <w:t xml:space="preserve">, </w:t>
      </w:r>
      <w:r>
        <w:rPr>
          <w:i/>
          <w:iCs/>
        </w:rPr>
        <w:t>12</w:t>
      </w:r>
      <w:r>
        <w:t>, 1–13.</w:t>
      </w:r>
      <w:hyperlink r:id="rId54">
        <w:r w:rsidR="009E4375">
          <w:t xml:space="preserve"> </w:t>
        </w:r>
      </w:hyperlink>
      <w:hyperlink r:id="rId55">
        <w:r w:rsidR="009E4375">
          <w:rPr>
            <w:u w:val="single"/>
          </w:rPr>
          <w:t>https://journal.nase.org.my/index.php/jsne/article/view/78</w:t>
        </w:r>
      </w:hyperlink>
    </w:p>
    <w:p w14:paraId="10CF6FC5" w14:textId="77777777" w:rsidR="009E4375" w:rsidRDefault="00000000" w:rsidP="00266915">
      <w:pPr>
        <w:spacing w:after="160"/>
        <w:ind w:left="540" w:hanging="540"/>
        <w:rPr>
          <w:u w:val="single"/>
        </w:rPr>
      </w:pPr>
      <w:r>
        <w:t>Chong, V. Y., &amp; Mohd Hussain, R. B. M. H. (2021). Language Barriers in Deaf-</w:t>
      </w:r>
      <w:proofErr w:type="spellStart"/>
      <w:r>
        <w:t>Centred</w:t>
      </w:r>
      <w:proofErr w:type="spellEnd"/>
      <w:r>
        <w:t xml:space="preserve"> Classroom: Perspectives from Malaysian Deaf Adults. </w:t>
      </w:r>
      <w:r>
        <w:rPr>
          <w:i/>
          <w:iCs/>
        </w:rPr>
        <w:t>Journal of Special Needs Education</w:t>
      </w:r>
      <w:r>
        <w:t xml:space="preserve">, 11, 1–16. </w:t>
      </w:r>
      <w:hyperlink r:id="rId56">
        <w:r w:rsidR="009E4375">
          <w:rPr>
            <w:u w:val="single"/>
          </w:rPr>
          <w:t>https://www.journal.nase.org.my/index.php/jsne/article/view/72</w:t>
        </w:r>
      </w:hyperlink>
      <w:r>
        <w:rPr>
          <w:u w:val="single"/>
        </w:rPr>
        <w:t xml:space="preserve"> </w:t>
      </w:r>
    </w:p>
    <w:p w14:paraId="10CF6FC6" w14:textId="77777777" w:rsidR="009E4375" w:rsidRDefault="00000000" w:rsidP="00266915">
      <w:pPr>
        <w:spacing w:after="160"/>
        <w:ind w:left="540" w:hanging="540"/>
      </w:pPr>
      <w:r>
        <w:t xml:space="preserve">Chua, T. T. (1991). Methods of teaching deaf children in Singapore and Malaysia. </w:t>
      </w:r>
      <w:r>
        <w:rPr>
          <w:i/>
          <w:iCs/>
        </w:rPr>
        <w:t xml:space="preserve">Teaching and Learning. 11(2), 12–20. </w:t>
      </w:r>
      <w:hyperlink r:id="rId57">
        <w:r w:rsidR="009E4375">
          <w:rPr>
            <w:u w:val="single"/>
          </w:rPr>
          <w:t>https://repository.nie.edu.sg/server/api/core/bitstreams/7e79f0ed-0f9c-4390-9c9b-c7cabb20a8ba/content</w:t>
        </w:r>
      </w:hyperlink>
    </w:p>
    <w:p w14:paraId="10CF6FC7" w14:textId="77777777" w:rsidR="009E4375" w:rsidRDefault="00000000" w:rsidP="00266915">
      <w:pPr>
        <w:spacing w:after="0"/>
        <w:ind w:left="540" w:hanging="540"/>
      </w:pPr>
      <w:r>
        <w:t xml:space="preserve">Clark, M., Brown, R., &amp; </w:t>
      </w:r>
      <w:proofErr w:type="spellStart"/>
      <w:r>
        <w:t>Karrapaya</w:t>
      </w:r>
      <w:proofErr w:type="spellEnd"/>
      <w:r>
        <w:t xml:space="preserve">, R. (2012). An initial look at the quality of life of Malaysian families that include children with disabilities. </w:t>
      </w:r>
      <w:r>
        <w:rPr>
          <w:i/>
          <w:iCs/>
        </w:rPr>
        <w:t>Journal of Intellectual Disability Research</w:t>
      </w:r>
      <w:r>
        <w:t xml:space="preserve">, </w:t>
      </w:r>
      <w:r>
        <w:rPr>
          <w:i/>
          <w:iCs/>
        </w:rPr>
        <w:t>56</w:t>
      </w:r>
      <w:r>
        <w:t xml:space="preserve">(1), 45–60. </w:t>
      </w:r>
      <w:hyperlink r:id="rId58">
        <w:r w:rsidR="009E4375">
          <w:rPr>
            <w:u w:val="single"/>
          </w:rPr>
          <w:t>https://doi.org/10.1111/j.1365-2788.2011.01408.x</w:t>
        </w:r>
      </w:hyperlink>
    </w:p>
    <w:p w14:paraId="10CF6FC8" w14:textId="77777777" w:rsidR="009E4375" w:rsidRDefault="00000000" w:rsidP="00266915">
      <w:pPr>
        <w:spacing w:after="0"/>
        <w:ind w:left="540" w:hanging="540"/>
      </w:pPr>
      <w:r>
        <w:t xml:space="preserve">Close, D. W. &amp; Halpern, A. S., (1988) Transitions to supported living. In M.P. Janicki, M.W. Krauss, M.M. Seltzer (Eds.), </w:t>
      </w:r>
      <w:r>
        <w:rPr>
          <w:i/>
          <w:iCs/>
        </w:rPr>
        <w:t xml:space="preserve">Community residences for </w:t>
      </w:r>
      <w:proofErr w:type="gramStart"/>
      <w:r>
        <w:rPr>
          <w:i/>
          <w:iCs/>
        </w:rPr>
        <w:t>persons</w:t>
      </w:r>
      <w:proofErr w:type="gramEnd"/>
      <w:r>
        <w:rPr>
          <w:i/>
          <w:iCs/>
        </w:rPr>
        <w:t xml:space="preserve"> with developmental disabilities: Here to stay,</w:t>
      </w:r>
      <w:r>
        <w:t xml:space="preserve"> (pp. 159-171).  Paul H. Brookes Publishing Co. </w:t>
      </w:r>
    </w:p>
    <w:p w14:paraId="10CF6FC9" w14:textId="77777777" w:rsidR="009E4375" w:rsidRDefault="00000000" w:rsidP="00266915">
      <w:pPr>
        <w:spacing w:after="160"/>
        <w:ind w:left="540" w:hanging="540"/>
      </w:pPr>
      <w:r>
        <w:t xml:space="preserve">Colorado </w:t>
      </w:r>
      <w:proofErr w:type="spellStart"/>
      <w:r>
        <w:t>Depertment</w:t>
      </w:r>
      <w:proofErr w:type="spellEnd"/>
      <w:r>
        <w:t xml:space="preserve"> of Education. (2002). Colorado Individual Performance Profile (CIPP) for DHH students. </w:t>
      </w:r>
      <w:hyperlink r:id="rId59">
        <w:r w:rsidR="009E4375">
          <w:rPr>
            <w:u w:val="single"/>
          </w:rPr>
          <w:t>https://web.archive.org/web/20030314033028/http://www.cde.state.co.us/cdesped/download/pdf/dhh-CIPP2002a.pdf</w:t>
        </w:r>
      </w:hyperlink>
      <w:r>
        <w:t>.</w:t>
      </w:r>
    </w:p>
    <w:p w14:paraId="10CF6FCA" w14:textId="77777777" w:rsidR="009E4375" w:rsidRDefault="00000000" w:rsidP="00266915">
      <w:pPr>
        <w:spacing w:after="160"/>
        <w:ind w:left="540" w:hanging="540"/>
      </w:pPr>
      <w:r>
        <w:lastRenderedPageBreak/>
        <w:t xml:space="preserve">Cornes, A. J., &amp; Brown, P. M. (2012). Mental Health of Australian Deaf Adolescents: An Investigation using an </w:t>
      </w:r>
      <w:proofErr w:type="spellStart"/>
      <w:r>
        <w:t>Auslan</w:t>
      </w:r>
      <w:proofErr w:type="spellEnd"/>
      <w:r>
        <w:t xml:space="preserve"> Version of the Strengths and Difficulties Questionnaire.</w:t>
      </w:r>
      <w:r>
        <w:rPr>
          <w:i/>
          <w:iCs/>
        </w:rPr>
        <w:t xml:space="preserve"> Deafness &amp; Education International</w:t>
      </w:r>
      <w:r>
        <w:t xml:space="preserve">, </w:t>
      </w:r>
      <w:r>
        <w:rPr>
          <w:i/>
          <w:iCs/>
        </w:rPr>
        <w:t>14</w:t>
      </w:r>
      <w:r>
        <w:t xml:space="preserve">(3), 161–175. </w:t>
      </w:r>
      <w:hyperlink r:id="rId60">
        <w:r w:rsidR="009E4375">
          <w:rPr>
            <w:u w:val="single"/>
          </w:rPr>
          <w:t>https://doi.org/10.1179/1557069X12Y.0000000009</w:t>
        </w:r>
      </w:hyperlink>
    </w:p>
    <w:p w14:paraId="10CF6FCB" w14:textId="77777777" w:rsidR="009E4375" w:rsidRDefault="00000000" w:rsidP="00266915">
      <w:pPr>
        <w:spacing w:after="160"/>
        <w:ind w:left="540" w:hanging="540"/>
        <w:rPr>
          <w:highlight w:val="white"/>
        </w:rPr>
      </w:pPr>
      <w:r>
        <w:rPr>
          <w:highlight w:val="white"/>
        </w:rPr>
        <w:t xml:space="preserve">Costa, J., </w:t>
      </w:r>
      <w:proofErr w:type="spellStart"/>
      <w:r>
        <w:rPr>
          <w:highlight w:val="white"/>
        </w:rPr>
        <w:t>Zonderman</w:t>
      </w:r>
      <w:proofErr w:type="spellEnd"/>
      <w:r>
        <w:rPr>
          <w:highlight w:val="white"/>
        </w:rPr>
        <w:t xml:space="preserve">, A. B., McCrae, R. R., Cornoni-Huntley, J., Locke, B. Z., &amp; Barbano, H. E. (1987). Longitudinal analyses of psychological well-being in a national sample: stability of mean levels. </w:t>
      </w:r>
      <w:r>
        <w:rPr>
          <w:i/>
          <w:iCs/>
          <w:highlight w:val="white"/>
        </w:rPr>
        <w:t>Journal of Gerontology</w:t>
      </w:r>
      <w:r>
        <w:rPr>
          <w:highlight w:val="white"/>
        </w:rPr>
        <w:t xml:space="preserve">, </w:t>
      </w:r>
      <w:r>
        <w:rPr>
          <w:i/>
          <w:iCs/>
          <w:highlight w:val="white"/>
        </w:rPr>
        <w:t>42</w:t>
      </w:r>
      <w:r>
        <w:rPr>
          <w:highlight w:val="white"/>
        </w:rPr>
        <w:t xml:space="preserve">(1), 50–55. </w:t>
      </w:r>
      <w:hyperlink r:id="rId61">
        <w:r w:rsidR="009E4375">
          <w:rPr>
            <w:highlight w:val="white"/>
            <w:u w:val="single"/>
          </w:rPr>
          <w:t>https://doi.org/10.1093/geronj/42.1.50</w:t>
        </w:r>
      </w:hyperlink>
    </w:p>
    <w:p w14:paraId="10CF6FCC" w14:textId="77777777" w:rsidR="009E4375" w:rsidRDefault="00000000" w:rsidP="00266915">
      <w:pPr>
        <w:spacing w:after="160"/>
        <w:ind w:left="540" w:hanging="540"/>
      </w:pPr>
      <w:r>
        <w:t xml:space="preserve">Couture, M., Desrosiers, J., Leclerc, G. (2007). Self-actualization and Poststroke Rehabilitation. </w:t>
      </w:r>
      <w:r>
        <w:rPr>
          <w:i/>
          <w:iCs/>
        </w:rPr>
        <w:t>International Journal of Rehabilitation Research, 30</w:t>
      </w:r>
      <w:r>
        <w:t xml:space="preserve">(2), 111-117. </w:t>
      </w:r>
      <w:hyperlink r:id="rId62">
        <w:r w:rsidR="009E4375">
          <w:rPr>
            <w:u w:val="single"/>
          </w:rPr>
          <w:t>https://doi.org/10.1097/MRR.0b013e32813a2ea</w:t>
        </w:r>
      </w:hyperlink>
    </w:p>
    <w:p w14:paraId="10CF6FCD" w14:textId="77777777" w:rsidR="009E4375" w:rsidRPr="00D43BCC" w:rsidRDefault="00000000" w:rsidP="00266915">
      <w:pPr>
        <w:spacing w:after="0"/>
        <w:ind w:left="540" w:hanging="540"/>
        <w:rPr>
          <w:lang w:val="fr-FR"/>
        </w:rPr>
      </w:pPr>
      <w:r>
        <w:t xml:space="preserve">Creswell, J. W., &amp; Creswell, J. D. (2022). </w:t>
      </w:r>
      <w:r>
        <w:rPr>
          <w:i/>
          <w:iCs/>
        </w:rPr>
        <w:t xml:space="preserve">Research design: Qualitative, quantitative, and mixed methods </w:t>
      </w:r>
      <w:proofErr w:type="gramStart"/>
      <w:r>
        <w:rPr>
          <w:i/>
          <w:iCs/>
        </w:rPr>
        <w:t>approaches</w:t>
      </w:r>
      <w:proofErr w:type="gramEnd"/>
      <w:r>
        <w:t xml:space="preserve"> (6th ed.). </w:t>
      </w:r>
      <w:r w:rsidRPr="00D43BCC">
        <w:rPr>
          <w:lang w:val="fr-FR"/>
        </w:rPr>
        <w:t>SAGE Publications.</w:t>
      </w:r>
    </w:p>
    <w:p w14:paraId="10CF6FCE" w14:textId="77777777" w:rsidR="009E4375" w:rsidRDefault="00000000" w:rsidP="00266915">
      <w:pPr>
        <w:spacing w:after="0"/>
        <w:ind w:left="540" w:hanging="540"/>
      </w:pPr>
      <w:proofErr w:type="spellStart"/>
      <w:r w:rsidRPr="00D43BCC">
        <w:rPr>
          <w:lang w:val="fr-FR"/>
        </w:rPr>
        <w:t>Crowson</w:t>
      </w:r>
      <w:proofErr w:type="spellEnd"/>
      <w:r w:rsidRPr="00D43BCC">
        <w:rPr>
          <w:lang w:val="fr-FR"/>
        </w:rPr>
        <w:t xml:space="preserve">, M. G., Semenov, Y. R., </w:t>
      </w:r>
      <w:proofErr w:type="spellStart"/>
      <w:r w:rsidRPr="00D43BCC">
        <w:rPr>
          <w:lang w:val="fr-FR"/>
        </w:rPr>
        <w:t>Tucci</w:t>
      </w:r>
      <w:proofErr w:type="spellEnd"/>
      <w:r w:rsidRPr="00D43BCC">
        <w:rPr>
          <w:lang w:val="fr-FR"/>
        </w:rPr>
        <w:t xml:space="preserve">, D. L., &amp; </w:t>
      </w:r>
      <w:proofErr w:type="spellStart"/>
      <w:r w:rsidRPr="00D43BCC">
        <w:rPr>
          <w:lang w:val="fr-FR"/>
        </w:rPr>
        <w:t>Niparko</w:t>
      </w:r>
      <w:proofErr w:type="spellEnd"/>
      <w:r w:rsidRPr="00D43BCC">
        <w:rPr>
          <w:lang w:val="fr-FR"/>
        </w:rPr>
        <w:t xml:space="preserve">, J. K. (2017). </w:t>
      </w:r>
      <w:r>
        <w:t xml:space="preserve">Quality of life and cost-effectiveness of cochlear implants: A narrative review. </w:t>
      </w:r>
      <w:r>
        <w:rPr>
          <w:i/>
          <w:iCs/>
        </w:rPr>
        <w:t>Audiology &amp; Neurotology</w:t>
      </w:r>
      <w:r>
        <w:t xml:space="preserve">, </w:t>
      </w:r>
      <w:r>
        <w:rPr>
          <w:i/>
          <w:iCs/>
        </w:rPr>
        <w:t>22</w:t>
      </w:r>
      <w:r>
        <w:t xml:space="preserve">(4–5), 236–258. </w:t>
      </w:r>
      <w:hyperlink r:id="rId63">
        <w:r w:rsidR="009E4375">
          <w:rPr>
            <w:u w:val="single"/>
          </w:rPr>
          <w:t>https://doi.org/10.1159/000481767</w:t>
        </w:r>
      </w:hyperlink>
    </w:p>
    <w:p w14:paraId="10CF6FCF" w14:textId="77777777" w:rsidR="009E4375" w:rsidRDefault="00000000" w:rsidP="00266915">
      <w:pPr>
        <w:spacing w:after="0"/>
        <w:ind w:left="540" w:hanging="540"/>
        <w:rPr>
          <w:u w:val="single"/>
        </w:rPr>
      </w:pPr>
      <w:r>
        <w:t xml:space="preserve">Cummins, R. A. (1995). On the trail of the gold standard for subjective well-being. </w:t>
      </w:r>
      <w:r>
        <w:rPr>
          <w:i/>
          <w:iCs/>
        </w:rPr>
        <w:t>Social Indicators Research,</w:t>
      </w:r>
      <w:r>
        <w:t xml:space="preserve"> </w:t>
      </w:r>
      <w:r>
        <w:rPr>
          <w:i/>
          <w:iCs/>
        </w:rPr>
        <w:t>35</w:t>
      </w:r>
      <w:r>
        <w:t>, 179–200.</w:t>
      </w:r>
      <w:hyperlink r:id="rId64">
        <w:r w:rsidR="009E4375">
          <w:t xml:space="preserve"> </w:t>
        </w:r>
      </w:hyperlink>
      <w:hyperlink r:id="rId65">
        <w:r w:rsidR="009E4375">
          <w:rPr>
            <w:u w:val="single"/>
          </w:rPr>
          <w:t>https://doi.org/10.1007/BF01079026</w:t>
        </w:r>
      </w:hyperlink>
    </w:p>
    <w:p w14:paraId="10CF6FD0" w14:textId="77777777" w:rsidR="009E4375" w:rsidRDefault="00000000" w:rsidP="00266915">
      <w:pPr>
        <w:spacing w:after="0"/>
        <w:ind w:left="540" w:hanging="540"/>
        <w:rPr>
          <w:u w:val="single"/>
        </w:rPr>
      </w:pPr>
      <w:r>
        <w:t xml:space="preserve">Cummins, R. A. (1997). </w:t>
      </w:r>
      <w:r>
        <w:rPr>
          <w:i/>
          <w:iCs/>
        </w:rPr>
        <w:t>The comprehensive quality of life scale - intellectual/cognitive disability</w:t>
      </w:r>
      <w:r>
        <w:t xml:space="preserve"> (5th ed.). School of Psychology, Deakin University. </w:t>
      </w:r>
      <w:hyperlink r:id="rId66">
        <w:r w:rsidR="009E4375">
          <w:rPr>
            <w:u w:val="single"/>
          </w:rPr>
          <w:t>http://sid.usal.es/idocs/F5/EVA66/ComQol_I5.pdf</w:t>
        </w:r>
      </w:hyperlink>
    </w:p>
    <w:p w14:paraId="10CF6FD1" w14:textId="77777777" w:rsidR="009E4375" w:rsidRDefault="00000000" w:rsidP="00266915">
      <w:pPr>
        <w:spacing w:after="0"/>
        <w:ind w:left="540" w:hanging="540"/>
        <w:rPr>
          <w:highlight w:val="white"/>
        </w:rPr>
      </w:pPr>
      <w:r>
        <w:rPr>
          <w:highlight w:val="white"/>
        </w:rPr>
        <w:t xml:space="preserve">Cummins, R. A. (2000). Objective and subjective quality of life: An interactive model. </w:t>
      </w:r>
      <w:r>
        <w:rPr>
          <w:i/>
          <w:iCs/>
          <w:highlight w:val="white"/>
        </w:rPr>
        <w:t>Social indicators research</w:t>
      </w:r>
      <w:r>
        <w:rPr>
          <w:highlight w:val="white"/>
        </w:rPr>
        <w:t xml:space="preserve">, </w:t>
      </w:r>
      <w:r>
        <w:rPr>
          <w:i/>
          <w:iCs/>
          <w:highlight w:val="white"/>
        </w:rPr>
        <w:t>52</w:t>
      </w:r>
      <w:r>
        <w:rPr>
          <w:highlight w:val="white"/>
        </w:rPr>
        <w:t xml:space="preserve">, 55-72.  </w:t>
      </w:r>
      <w:hyperlink r:id="rId67">
        <w:r w:rsidR="009E4375">
          <w:rPr>
            <w:highlight w:val="white"/>
            <w:u w:val="single"/>
          </w:rPr>
          <w:t>https://doi.org/10.1023/A:1007027822521</w:t>
        </w:r>
      </w:hyperlink>
    </w:p>
    <w:p w14:paraId="10CF6FD2" w14:textId="77777777" w:rsidR="009E4375" w:rsidRDefault="00000000" w:rsidP="00266915">
      <w:pPr>
        <w:spacing w:after="0"/>
        <w:ind w:left="540" w:hanging="540"/>
        <w:rPr>
          <w:u w:val="single"/>
        </w:rPr>
      </w:pPr>
      <w:r>
        <w:t xml:space="preserve">Cummins, R. A. (2005). Moving from the </w:t>
      </w:r>
      <w:proofErr w:type="gramStart"/>
      <w:r>
        <w:t>quality of life</w:t>
      </w:r>
      <w:proofErr w:type="gramEnd"/>
      <w:r>
        <w:t xml:space="preserve"> concept to a theory. </w:t>
      </w:r>
      <w:r>
        <w:rPr>
          <w:i/>
          <w:iCs/>
        </w:rPr>
        <w:t>Journal of Intellectual disability research,</w:t>
      </w:r>
      <w:r>
        <w:t xml:space="preserve"> </w:t>
      </w:r>
      <w:r>
        <w:rPr>
          <w:i/>
          <w:iCs/>
        </w:rPr>
        <w:t>49</w:t>
      </w:r>
      <w:r>
        <w:t>(10), 699-706.</w:t>
      </w:r>
      <w:hyperlink r:id="rId68">
        <w:r w:rsidR="009E4375">
          <w:t xml:space="preserve"> </w:t>
        </w:r>
      </w:hyperlink>
      <w:hyperlink r:id="rId69">
        <w:r w:rsidR="009E4375">
          <w:rPr>
            <w:u w:val="single"/>
          </w:rPr>
          <w:t>https://doi.org/10.1111/j.1365-2788.2005.00738.x</w:t>
        </w:r>
      </w:hyperlink>
    </w:p>
    <w:p w14:paraId="10CF6FD3" w14:textId="77777777" w:rsidR="009E4375" w:rsidRDefault="00000000" w:rsidP="00266915">
      <w:pPr>
        <w:spacing w:after="0"/>
        <w:ind w:left="540" w:hanging="540"/>
        <w:rPr>
          <w:highlight w:val="white"/>
        </w:rPr>
      </w:pPr>
      <w:r w:rsidRPr="001F367A">
        <w:rPr>
          <w:highlight w:val="white"/>
          <w:lang w:val="en-US"/>
        </w:rPr>
        <w:lastRenderedPageBreak/>
        <w:t xml:space="preserve">Cummins, R. A., &amp; Lau, A. L. (2005). </w:t>
      </w:r>
      <w:r>
        <w:rPr>
          <w:highlight w:val="white"/>
        </w:rPr>
        <w:t xml:space="preserve">Quality of life measurement. In R. W. Norman, &amp; D. C. </w:t>
      </w:r>
      <w:proofErr w:type="spellStart"/>
      <w:r>
        <w:rPr>
          <w:highlight w:val="white"/>
        </w:rPr>
        <w:t>Currow</w:t>
      </w:r>
      <w:proofErr w:type="spellEnd"/>
      <w:r>
        <w:rPr>
          <w:highlight w:val="white"/>
        </w:rPr>
        <w:t xml:space="preserve"> (Eds.), </w:t>
      </w:r>
      <w:r>
        <w:rPr>
          <w:i/>
          <w:iCs/>
          <w:highlight w:val="white"/>
        </w:rPr>
        <w:t>Supportive care of the urology patient</w:t>
      </w:r>
      <w:r>
        <w:rPr>
          <w:highlight w:val="white"/>
        </w:rPr>
        <w:t xml:space="preserve">, (pp. 5-23). </w:t>
      </w:r>
      <w:hyperlink r:id="rId70">
        <w:r w:rsidR="009E4375">
          <w:rPr>
            <w:highlight w:val="white"/>
          </w:rPr>
          <w:t>https://doi.org/10.1093/acprof:oso/9780198529415.003.0002</w:t>
        </w:r>
      </w:hyperlink>
    </w:p>
    <w:p w14:paraId="10CF6FD4" w14:textId="77777777" w:rsidR="009E4375" w:rsidRDefault="00000000" w:rsidP="00266915">
      <w:pPr>
        <w:spacing w:after="0"/>
        <w:ind w:left="540" w:hanging="540"/>
        <w:rPr>
          <w:u w:val="single"/>
        </w:rPr>
      </w:pPr>
      <w:r>
        <w:rPr>
          <w:highlight w:val="white"/>
        </w:rPr>
        <w:t xml:space="preserve">Cummins, R. A., Lau, A. L., &amp; Stokes, M. (2004). HRQOL and subjective well-being: noncomplementary forms of outcome measurement. </w:t>
      </w:r>
      <w:r>
        <w:rPr>
          <w:i/>
          <w:iCs/>
          <w:highlight w:val="white"/>
        </w:rPr>
        <w:t>Expert Review of Pharmacoeconomics &amp; Outcomes Research</w:t>
      </w:r>
      <w:r>
        <w:rPr>
          <w:highlight w:val="white"/>
        </w:rPr>
        <w:t xml:space="preserve">, </w:t>
      </w:r>
      <w:r>
        <w:rPr>
          <w:i/>
          <w:iCs/>
          <w:highlight w:val="white"/>
        </w:rPr>
        <w:t>4</w:t>
      </w:r>
      <w:r>
        <w:rPr>
          <w:highlight w:val="white"/>
        </w:rPr>
        <w:t xml:space="preserve">(4), 413–420. </w:t>
      </w:r>
      <w:hyperlink r:id="rId71">
        <w:r w:rsidR="009E4375">
          <w:rPr>
            <w:highlight w:val="white"/>
            <w:u w:val="single"/>
          </w:rPr>
          <w:t>https://doi.org/10.1586/14737167.4.4.413</w:t>
        </w:r>
      </w:hyperlink>
    </w:p>
    <w:p w14:paraId="10CF6FD5" w14:textId="77777777" w:rsidR="009E4375" w:rsidRDefault="00000000" w:rsidP="00266915">
      <w:pPr>
        <w:spacing w:after="160"/>
        <w:ind w:left="540" w:hanging="540"/>
      </w:pPr>
      <w:r>
        <w:t xml:space="preserve">Cyrus, B., Katz, E., Cheyney, C., &amp; Parsons, F. M. (2005). Deaf Women’s Lives: Three Self-Portraits. Gallaudet University Press. </w:t>
      </w:r>
      <w:hyperlink r:id="rId72">
        <w:r w:rsidR="009E4375">
          <w:rPr>
            <w:u w:val="single"/>
          </w:rPr>
          <w:t>https://doi.org/10.2307/j.ctv2rr3dc6</w:t>
        </w:r>
      </w:hyperlink>
    </w:p>
    <w:p w14:paraId="10CF6FD6" w14:textId="77777777" w:rsidR="009E4375" w:rsidRDefault="00000000" w:rsidP="00266915">
      <w:pPr>
        <w:spacing w:after="160"/>
        <w:ind w:left="540" w:hanging="540"/>
      </w:pPr>
      <w:proofErr w:type="spellStart"/>
      <w:r>
        <w:t>Daszykowska</w:t>
      </w:r>
      <w:proofErr w:type="spellEnd"/>
      <w:r>
        <w:t xml:space="preserve">, J. (2010). </w:t>
      </w:r>
      <w:proofErr w:type="spellStart"/>
      <w:r>
        <w:t>Jakość</w:t>
      </w:r>
      <w:proofErr w:type="spellEnd"/>
      <w:r>
        <w:t xml:space="preserve"> </w:t>
      </w:r>
      <w:proofErr w:type="spellStart"/>
      <w:r>
        <w:t>życia</w:t>
      </w:r>
      <w:proofErr w:type="spellEnd"/>
      <w:r>
        <w:t xml:space="preserve"> </w:t>
      </w:r>
      <w:proofErr w:type="spellStart"/>
      <w:r>
        <w:t>dziecka</w:t>
      </w:r>
      <w:proofErr w:type="spellEnd"/>
      <w:r>
        <w:t xml:space="preserve"> w </w:t>
      </w:r>
      <w:proofErr w:type="spellStart"/>
      <w:r>
        <w:t>perspektywie</w:t>
      </w:r>
      <w:proofErr w:type="spellEnd"/>
      <w:r>
        <w:t xml:space="preserve"> </w:t>
      </w:r>
      <w:proofErr w:type="spellStart"/>
      <w:r>
        <w:t>pedagogicznej</w:t>
      </w:r>
      <w:proofErr w:type="spellEnd"/>
      <w:r>
        <w:t xml:space="preserve"> [Quality of life from a pedagogical perspective]. In I. Nowosad, I. </w:t>
      </w:r>
      <w:proofErr w:type="spellStart"/>
      <w:r>
        <w:t>Mortag</w:t>
      </w:r>
      <w:proofErr w:type="spellEnd"/>
      <w:r>
        <w:t xml:space="preserve">, J. </w:t>
      </w:r>
      <w:proofErr w:type="spellStart"/>
      <w:r>
        <w:t>Ondrakow</w:t>
      </w:r>
      <w:proofErr w:type="spellEnd"/>
      <w:r>
        <w:t xml:space="preserve"> (Eds.),</w:t>
      </w:r>
      <w:r>
        <w:rPr>
          <w:i/>
          <w:iCs/>
        </w:rPr>
        <w:t xml:space="preserve"> </w:t>
      </w:r>
      <w:proofErr w:type="spellStart"/>
      <w:r>
        <w:rPr>
          <w:i/>
          <w:iCs/>
        </w:rPr>
        <w:t>Jakość</w:t>
      </w:r>
      <w:proofErr w:type="spellEnd"/>
      <w:r>
        <w:rPr>
          <w:i/>
          <w:iCs/>
        </w:rPr>
        <w:t xml:space="preserve"> </w:t>
      </w:r>
      <w:proofErr w:type="spellStart"/>
      <w:r>
        <w:rPr>
          <w:i/>
          <w:iCs/>
        </w:rPr>
        <w:t>życia</w:t>
      </w:r>
      <w:proofErr w:type="spellEnd"/>
      <w:r>
        <w:rPr>
          <w:i/>
          <w:iCs/>
        </w:rPr>
        <w:t xml:space="preserve"> </w:t>
      </w:r>
      <w:proofErr w:type="spellStart"/>
      <w:r>
        <w:rPr>
          <w:i/>
          <w:iCs/>
        </w:rPr>
        <w:t>i</w:t>
      </w:r>
      <w:proofErr w:type="spellEnd"/>
      <w:r>
        <w:rPr>
          <w:i/>
          <w:iCs/>
        </w:rPr>
        <w:t xml:space="preserve"> </w:t>
      </w:r>
      <w:proofErr w:type="spellStart"/>
      <w:r>
        <w:rPr>
          <w:i/>
          <w:iCs/>
        </w:rPr>
        <w:t>jakość</w:t>
      </w:r>
      <w:proofErr w:type="spellEnd"/>
      <w:r>
        <w:rPr>
          <w:i/>
          <w:iCs/>
        </w:rPr>
        <w:t xml:space="preserve"> </w:t>
      </w:r>
      <w:proofErr w:type="spellStart"/>
      <w:r>
        <w:rPr>
          <w:i/>
          <w:iCs/>
        </w:rPr>
        <w:t>szkoły</w:t>
      </w:r>
      <w:proofErr w:type="spellEnd"/>
      <w:r>
        <w:rPr>
          <w:i/>
          <w:iCs/>
        </w:rPr>
        <w:t xml:space="preserve"> [Quality of life and Quality of School]</w:t>
      </w:r>
      <w:r>
        <w:t xml:space="preserve"> (pp. 15–35). </w:t>
      </w:r>
      <w:proofErr w:type="spellStart"/>
      <w:r>
        <w:t>Oficyna</w:t>
      </w:r>
      <w:proofErr w:type="spellEnd"/>
      <w:r>
        <w:t xml:space="preserve"> </w:t>
      </w:r>
      <w:proofErr w:type="spellStart"/>
      <w:r>
        <w:t>Wydawnicza</w:t>
      </w:r>
      <w:proofErr w:type="spellEnd"/>
      <w:r>
        <w:t xml:space="preserve"> </w:t>
      </w:r>
      <w:proofErr w:type="spellStart"/>
      <w:r>
        <w:t>Uniwersytetu</w:t>
      </w:r>
      <w:proofErr w:type="spellEnd"/>
      <w:r>
        <w:t xml:space="preserve"> </w:t>
      </w:r>
      <w:proofErr w:type="spellStart"/>
      <w:r>
        <w:t>Zielonogórskiego</w:t>
      </w:r>
      <w:proofErr w:type="spellEnd"/>
      <w:r>
        <w:t xml:space="preserve"> [Faculty of Biological Science, University </w:t>
      </w:r>
      <w:proofErr w:type="spellStart"/>
      <w:r>
        <w:t>Zelono</w:t>
      </w:r>
      <w:proofErr w:type="spellEnd"/>
      <w:r>
        <w:t xml:space="preserve"> Góra, Poland].</w:t>
      </w:r>
    </w:p>
    <w:p w14:paraId="10CF6FD7" w14:textId="77777777" w:rsidR="009E4375" w:rsidRDefault="00000000" w:rsidP="00266915">
      <w:pPr>
        <w:spacing w:after="0"/>
        <w:ind w:left="540" w:hanging="540"/>
      </w:pPr>
      <w:r w:rsidRPr="00D43BCC">
        <w:rPr>
          <w:lang w:val="es-ES"/>
        </w:rPr>
        <w:t xml:space="preserve">Duarte, S. B. R., </w:t>
      </w:r>
      <w:proofErr w:type="spellStart"/>
      <w:r w:rsidRPr="00D43BCC">
        <w:rPr>
          <w:lang w:val="es-ES"/>
        </w:rPr>
        <w:t>Chaveiro</w:t>
      </w:r>
      <w:proofErr w:type="spellEnd"/>
      <w:r w:rsidRPr="00D43BCC">
        <w:rPr>
          <w:lang w:val="es-ES"/>
        </w:rPr>
        <w:t xml:space="preserve">, N., de Freitas, A. R., Barbosa, M. A., Camey, S., </w:t>
      </w:r>
      <w:proofErr w:type="spellStart"/>
      <w:r w:rsidRPr="00D43BCC">
        <w:rPr>
          <w:lang w:val="es-ES"/>
        </w:rPr>
        <w:t>Fleck</w:t>
      </w:r>
      <w:proofErr w:type="spellEnd"/>
      <w:r w:rsidRPr="00D43BCC">
        <w:rPr>
          <w:lang w:val="es-ES"/>
        </w:rPr>
        <w:t xml:space="preserve">, M. P., Porto, C. C., </w:t>
      </w:r>
      <w:proofErr w:type="spellStart"/>
      <w:r w:rsidRPr="00D43BCC">
        <w:rPr>
          <w:lang w:val="es-ES"/>
        </w:rPr>
        <w:t>Rodrigues</w:t>
      </w:r>
      <w:proofErr w:type="spellEnd"/>
      <w:r w:rsidRPr="00D43BCC">
        <w:rPr>
          <w:lang w:val="es-ES"/>
        </w:rPr>
        <w:t xml:space="preserve">, C. L., &amp; Rodríguez-Martín, D. (2021). </w:t>
      </w:r>
      <w:r>
        <w:t>Validation of the WHOQOL-</w:t>
      </w:r>
      <w:proofErr w:type="spellStart"/>
      <w:r>
        <w:t>Bref</w:t>
      </w:r>
      <w:proofErr w:type="spellEnd"/>
      <w:r>
        <w:t xml:space="preserve"> instrument in Brazilian sign language (Libras). </w:t>
      </w:r>
      <w:r>
        <w:rPr>
          <w:i/>
          <w:iCs/>
        </w:rPr>
        <w:t>Quality of Life Research</w:t>
      </w:r>
      <w:r>
        <w:t xml:space="preserve">, </w:t>
      </w:r>
      <w:r>
        <w:rPr>
          <w:i/>
          <w:iCs/>
        </w:rPr>
        <w:t>30</w:t>
      </w:r>
      <w:r>
        <w:t xml:space="preserve">(1), 303–313. </w:t>
      </w:r>
      <w:hyperlink r:id="rId73">
        <w:r w:rsidR="009E4375">
          <w:rPr>
            <w:u w:val="single"/>
          </w:rPr>
          <w:t>https://doi.org/10.1007/s11136-020-02611-5</w:t>
        </w:r>
      </w:hyperlink>
    </w:p>
    <w:p w14:paraId="10CF6FD8" w14:textId="77777777" w:rsidR="009E4375" w:rsidRDefault="00000000" w:rsidP="00266915">
      <w:pPr>
        <w:spacing w:after="0"/>
        <w:ind w:left="540" w:hanging="540"/>
      </w:pPr>
      <w:r>
        <w:t xml:space="preserve">Edgerton, R. B. (1990). Quality of life from a longitudinal research perspective. In: Schalock, R. L. (Eds.), </w:t>
      </w:r>
      <w:r>
        <w:rPr>
          <w:i/>
          <w:iCs/>
        </w:rPr>
        <w:t>Quality of life: Perspectives and issues</w:t>
      </w:r>
      <w:r>
        <w:t>, 149-160.</w:t>
      </w:r>
    </w:p>
    <w:p w14:paraId="10CF6FD9" w14:textId="77777777" w:rsidR="009E4375" w:rsidRDefault="00000000" w:rsidP="00266915">
      <w:pPr>
        <w:spacing w:after="0"/>
        <w:ind w:left="540" w:hanging="540"/>
      </w:pPr>
      <w:r>
        <w:t xml:space="preserve">Edgerton, R. B., Bollinger, </w:t>
      </w:r>
      <w:proofErr w:type="gramStart"/>
      <w:r>
        <w:t>M ,</w:t>
      </w:r>
      <w:proofErr w:type="gramEnd"/>
      <w:r>
        <w:t xml:space="preserve"> &amp; Herr, B (1984) The cloak of competence: After two decades American. </w:t>
      </w:r>
      <w:r>
        <w:rPr>
          <w:i/>
          <w:iCs/>
        </w:rPr>
        <w:t>Journal of Mental Deficiency, 88</w:t>
      </w:r>
      <w:r>
        <w:t xml:space="preserve">(4), 345-351. </w:t>
      </w:r>
    </w:p>
    <w:p w14:paraId="10CF6FDA" w14:textId="77777777" w:rsidR="009E4375" w:rsidRDefault="00000000" w:rsidP="00266915">
      <w:pPr>
        <w:spacing w:after="0"/>
        <w:ind w:left="540" w:hanging="540"/>
        <w:rPr>
          <w:u w:val="single"/>
        </w:rPr>
      </w:pPr>
      <w:r>
        <w:t xml:space="preserve">Felce, D. (1997). Defining and applying the concept of quality of life. </w:t>
      </w:r>
      <w:r>
        <w:rPr>
          <w:i/>
          <w:iCs/>
        </w:rPr>
        <w:t>Journal of Intellectual Disability Research</w:t>
      </w:r>
      <w:r>
        <w:t xml:space="preserve">, </w:t>
      </w:r>
      <w:r>
        <w:rPr>
          <w:i/>
          <w:iCs/>
        </w:rPr>
        <w:t>41</w:t>
      </w:r>
      <w:r>
        <w:t>(2), 126-135.</w:t>
      </w:r>
      <w:hyperlink r:id="rId74">
        <w:r w:rsidR="009E4375">
          <w:t xml:space="preserve"> </w:t>
        </w:r>
      </w:hyperlink>
      <w:hyperlink r:id="rId75">
        <w:r w:rsidR="009E4375">
          <w:rPr>
            <w:u w:val="single"/>
          </w:rPr>
          <w:t>https://doi.org/10.1111/j.1365-2788.1997.tb00689.x</w:t>
        </w:r>
      </w:hyperlink>
    </w:p>
    <w:p w14:paraId="10CF6FDB" w14:textId="77777777" w:rsidR="009E4375" w:rsidRDefault="00000000" w:rsidP="00266915">
      <w:pPr>
        <w:spacing w:after="0"/>
        <w:ind w:left="540" w:hanging="540"/>
        <w:rPr>
          <w:u w:val="single"/>
        </w:rPr>
      </w:pPr>
      <w:r>
        <w:lastRenderedPageBreak/>
        <w:t xml:space="preserve">Felce, D., &amp; Perry, J. (1995). Quality of life: Its definition and measurement. </w:t>
      </w:r>
      <w:r>
        <w:rPr>
          <w:i/>
          <w:iCs/>
        </w:rPr>
        <w:t>Research in developmental disabilities</w:t>
      </w:r>
      <w:r>
        <w:t xml:space="preserve">, </w:t>
      </w:r>
      <w:r>
        <w:rPr>
          <w:i/>
          <w:iCs/>
        </w:rPr>
        <w:t>16</w:t>
      </w:r>
      <w:r>
        <w:t>(1), 51-74.</w:t>
      </w:r>
      <w:hyperlink r:id="rId76">
        <w:r w:rsidR="009E4375">
          <w:t xml:space="preserve"> </w:t>
        </w:r>
      </w:hyperlink>
      <w:hyperlink r:id="rId77">
        <w:r w:rsidR="009E4375">
          <w:rPr>
            <w:u w:val="single"/>
          </w:rPr>
          <w:t>https://doi.org/10.1016/0891-4222(94)00028-8</w:t>
        </w:r>
      </w:hyperlink>
    </w:p>
    <w:p w14:paraId="10CF6FDC" w14:textId="77777777" w:rsidR="009E4375" w:rsidRDefault="00000000" w:rsidP="00266915">
      <w:pPr>
        <w:spacing w:after="0"/>
        <w:ind w:left="540" w:hanging="540"/>
        <w:rPr>
          <w:highlight w:val="white"/>
        </w:rPr>
      </w:pPr>
      <w:r>
        <w:t xml:space="preserve">Fellinger, J., Holzinger, D., Dobner, U., Gerich, J., Lehner, R., Lenz, G., &amp; Goldberg, D. (2005a). Mental distress and quality of life in a deaf population. </w:t>
      </w:r>
      <w:r>
        <w:rPr>
          <w:i/>
          <w:iCs/>
        </w:rPr>
        <w:t>Social Psychiatry and Psychiatric Epidemiology</w:t>
      </w:r>
      <w:r>
        <w:t>,</w:t>
      </w:r>
      <w:r>
        <w:rPr>
          <w:i/>
          <w:iCs/>
        </w:rPr>
        <w:t xml:space="preserve"> 40</w:t>
      </w:r>
      <w:r>
        <w:t xml:space="preserve">, 737-742. </w:t>
      </w:r>
      <w:hyperlink r:id="rId78">
        <w:r w:rsidR="009E4375">
          <w:rPr>
            <w:highlight w:val="white"/>
            <w:u w:val="single"/>
          </w:rPr>
          <w:t>https://doi.org/10.1007/s00127-005-0936-8</w:t>
        </w:r>
      </w:hyperlink>
    </w:p>
    <w:p w14:paraId="10CF6FDD" w14:textId="77777777" w:rsidR="009E4375" w:rsidRDefault="00000000" w:rsidP="00266915">
      <w:pPr>
        <w:spacing w:after="0"/>
        <w:ind w:left="540" w:hanging="540"/>
        <w:rPr>
          <w:highlight w:val="white"/>
        </w:rPr>
      </w:pPr>
      <w:r>
        <w:t xml:space="preserve">Fellinger, J., Holzinger, D., Dobner, U., Gerich, J., Lehner, R., Lenz, G., &amp; Goldberg, D. (2005b). An innovative and reliable way of measuring health-related quality of life and mental distress in the deaf community. </w:t>
      </w:r>
      <w:r>
        <w:rPr>
          <w:i/>
          <w:iCs/>
        </w:rPr>
        <w:t>Social Psychiatry and Psychiatric Epidemiology</w:t>
      </w:r>
      <w:r>
        <w:t xml:space="preserve">, </w:t>
      </w:r>
      <w:r>
        <w:rPr>
          <w:i/>
          <w:iCs/>
        </w:rPr>
        <w:t>40</w:t>
      </w:r>
      <w:r>
        <w:t xml:space="preserve">, 245-250. </w:t>
      </w:r>
      <w:hyperlink r:id="rId79">
        <w:r w:rsidR="009E4375">
          <w:rPr>
            <w:highlight w:val="white"/>
            <w:u w:val="single"/>
          </w:rPr>
          <w:t>https://doi.org/10.1007/s00127-005-0862-9</w:t>
        </w:r>
      </w:hyperlink>
    </w:p>
    <w:p w14:paraId="10CF6FDE" w14:textId="77777777" w:rsidR="009E4375" w:rsidRDefault="00000000" w:rsidP="00266915">
      <w:pPr>
        <w:spacing w:after="0"/>
        <w:ind w:left="540" w:hanging="540"/>
        <w:rPr>
          <w:highlight w:val="white"/>
        </w:rPr>
      </w:pPr>
      <w:r w:rsidRPr="001F367A">
        <w:rPr>
          <w:highlight w:val="white"/>
          <w:lang w:val="sv-SE"/>
        </w:rPr>
        <w:t xml:space="preserve">Fellinger, J., Holzinger, D., Gerich, J., &amp; Goldberg, D. (2007). </w:t>
      </w:r>
      <w:r>
        <w:rPr>
          <w:highlight w:val="white"/>
        </w:rPr>
        <w:t xml:space="preserve">Mental distress and quality of life in the </w:t>
      </w:r>
      <w:proofErr w:type="gramStart"/>
      <w:r>
        <w:rPr>
          <w:highlight w:val="white"/>
        </w:rPr>
        <w:t>hard</w:t>
      </w:r>
      <w:proofErr w:type="gramEnd"/>
      <w:r>
        <w:rPr>
          <w:highlight w:val="white"/>
        </w:rPr>
        <w:t xml:space="preserve"> of hearing. </w:t>
      </w:r>
      <w:r>
        <w:rPr>
          <w:i/>
          <w:iCs/>
          <w:highlight w:val="white"/>
        </w:rPr>
        <w:t xml:space="preserve">Acta </w:t>
      </w:r>
      <w:proofErr w:type="spellStart"/>
      <w:r>
        <w:rPr>
          <w:i/>
          <w:iCs/>
          <w:highlight w:val="white"/>
        </w:rPr>
        <w:t>Psychiatrica</w:t>
      </w:r>
      <w:proofErr w:type="spellEnd"/>
      <w:r>
        <w:rPr>
          <w:i/>
          <w:iCs/>
          <w:highlight w:val="white"/>
        </w:rPr>
        <w:t xml:space="preserve"> Scandinavica</w:t>
      </w:r>
      <w:r>
        <w:rPr>
          <w:highlight w:val="white"/>
        </w:rPr>
        <w:t xml:space="preserve">, </w:t>
      </w:r>
      <w:r>
        <w:rPr>
          <w:i/>
          <w:iCs/>
          <w:highlight w:val="white"/>
        </w:rPr>
        <w:t>115</w:t>
      </w:r>
      <w:r>
        <w:rPr>
          <w:highlight w:val="white"/>
        </w:rPr>
        <w:t xml:space="preserve">(3), 243-245. </w:t>
      </w:r>
      <w:hyperlink r:id="rId80">
        <w:r w:rsidR="009E4375">
          <w:rPr>
            <w:highlight w:val="white"/>
            <w:u w:val="single"/>
          </w:rPr>
          <w:t>https://doi.org/10.1111/j.1600-0447.2006.00976.x</w:t>
        </w:r>
      </w:hyperlink>
    </w:p>
    <w:p w14:paraId="10CF6FDF" w14:textId="77777777" w:rsidR="009E4375" w:rsidRDefault="00000000" w:rsidP="00266915">
      <w:pPr>
        <w:spacing w:after="0"/>
        <w:ind w:left="540" w:hanging="540"/>
        <w:rPr>
          <w:highlight w:val="white"/>
        </w:rPr>
      </w:pPr>
      <w:r>
        <w:rPr>
          <w:highlight w:val="white"/>
        </w:rPr>
        <w:t xml:space="preserve">Fellinger, J., Holzinger, D., Gerich, J., &amp; Goldberg, D. (2010). Quality of life measures in the deaf. In V. R. </w:t>
      </w:r>
      <w:proofErr w:type="spellStart"/>
      <w:r>
        <w:rPr>
          <w:highlight w:val="white"/>
        </w:rPr>
        <w:t>Preedy</w:t>
      </w:r>
      <w:proofErr w:type="spellEnd"/>
      <w:r>
        <w:rPr>
          <w:highlight w:val="white"/>
        </w:rPr>
        <w:t xml:space="preserve">, &amp; R. R. Watson, (Eds.). </w:t>
      </w:r>
      <w:r>
        <w:rPr>
          <w:i/>
          <w:iCs/>
          <w:highlight w:val="white"/>
        </w:rPr>
        <w:t>Handbook of disease burdens and quality of life measures</w:t>
      </w:r>
      <w:r>
        <w:rPr>
          <w:highlight w:val="white"/>
        </w:rPr>
        <w:t xml:space="preserve">. (pp. 3853-3870). Springer New York. </w:t>
      </w:r>
      <w:hyperlink r:id="rId81">
        <w:r w:rsidR="009E4375">
          <w:rPr>
            <w:highlight w:val="white"/>
            <w:u w:val="single"/>
          </w:rPr>
          <w:t xml:space="preserve">https://doi.org/10.1007/978-0-387-78665-0_224 </w:t>
        </w:r>
      </w:hyperlink>
    </w:p>
    <w:p w14:paraId="10CF6FE0" w14:textId="77777777" w:rsidR="009E4375" w:rsidRDefault="00000000" w:rsidP="00266915">
      <w:pPr>
        <w:spacing w:after="0"/>
        <w:ind w:left="540" w:hanging="540"/>
      </w:pPr>
      <w:r>
        <w:t xml:space="preserve">Ferrans, C. E. (1990). Quality of life: Conceptual issues. </w:t>
      </w:r>
      <w:r>
        <w:rPr>
          <w:i/>
          <w:iCs/>
        </w:rPr>
        <w:t>Seminars in Oncology Nursing, 6</w:t>
      </w:r>
      <w:r>
        <w:t xml:space="preserve">(4), 248–254. </w:t>
      </w:r>
      <w:hyperlink r:id="rId82">
        <w:r w:rsidR="009E4375">
          <w:rPr>
            <w:u w:val="single"/>
          </w:rPr>
          <w:t>https://doi.org/10.1016/0749-2081(90)90026-2</w:t>
        </w:r>
      </w:hyperlink>
    </w:p>
    <w:p w14:paraId="10CF6FE1" w14:textId="77777777" w:rsidR="009E4375" w:rsidRDefault="00000000" w:rsidP="00266915">
      <w:pPr>
        <w:spacing w:after="0"/>
        <w:ind w:left="540" w:hanging="540"/>
        <w:rPr>
          <w:highlight w:val="white"/>
        </w:rPr>
      </w:pPr>
      <w:r>
        <w:t xml:space="preserve">Flanagan, J. C. (1978). A research approach to improving our quality of life. </w:t>
      </w:r>
      <w:r>
        <w:rPr>
          <w:i/>
          <w:iCs/>
        </w:rPr>
        <w:t>American Psychologist, 33</w:t>
      </w:r>
      <w:r>
        <w:t xml:space="preserve">(2), 138–147. </w:t>
      </w:r>
      <w:hyperlink r:id="rId83">
        <w:r w:rsidR="009E4375">
          <w:rPr>
            <w:u w:val="single"/>
          </w:rPr>
          <w:t>https://doi.org/10.1037/0003-066X.33.2.138</w:t>
        </w:r>
      </w:hyperlink>
      <w:r>
        <w:rPr>
          <w:u w:val="single"/>
        </w:rPr>
        <w:t xml:space="preserve"> </w:t>
      </w:r>
      <w:r>
        <w:rPr>
          <w:highlight w:val="white"/>
        </w:rPr>
        <w:t xml:space="preserve"> </w:t>
      </w:r>
    </w:p>
    <w:p w14:paraId="10CF6FE2" w14:textId="77777777" w:rsidR="009E4375" w:rsidRDefault="00000000" w:rsidP="00266915">
      <w:pPr>
        <w:spacing w:after="0"/>
        <w:ind w:left="540" w:hanging="540"/>
      </w:pPr>
      <w:r>
        <w:rPr>
          <w:highlight w:val="white"/>
        </w:rPr>
        <w:t xml:space="preserve">Fleischer, R. J., &amp; </w:t>
      </w:r>
      <w:proofErr w:type="spellStart"/>
      <w:r>
        <w:rPr>
          <w:highlight w:val="white"/>
        </w:rPr>
        <w:t>Zamas</w:t>
      </w:r>
      <w:proofErr w:type="spellEnd"/>
      <w:r>
        <w:rPr>
          <w:highlight w:val="white"/>
        </w:rPr>
        <w:t xml:space="preserve">, F. (2011). </w:t>
      </w:r>
      <w:r>
        <w:rPr>
          <w:i/>
          <w:iCs/>
          <w:highlight w:val="white"/>
        </w:rPr>
        <w:t>The disability rights movement: From charity to confrontation</w:t>
      </w:r>
      <w:r>
        <w:rPr>
          <w:highlight w:val="white"/>
        </w:rPr>
        <w:t xml:space="preserve"> (Updated ed.). Temple University Press.</w:t>
      </w:r>
    </w:p>
    <w:p w14:paraId="10CF6FE3" w14:textId="77777777" w:rsidR="009E4375" w:rsidRDefault="00000000" w:rsidP="00266915">
      <w:pPr>
        <w:spacing w:after="0"/>
        <w:ind w:left="540" w:hanging="540"/>
      </w:pPr>
      <w:r>
        <w:t xml:space="preserve">Franklin, J. L., Simmons, J., </w:t>
      </w:r>
      <w:proofErr w:type="spellStart"/>
      <w:r>
        <w:t>Solovitz</w:t>
      </w:r>
      <w:proofErr w:type="spellEnd"/>
      <w:r>
        <w:t xml:space="preserve">, B., Clemens, J. R., &amp; Miller, G. E (1986). Assessing quality of life of the mentally ill: A three-dimensional model. Evaluation </w:t>
      </w:r>
      <w:r>
        <w:lastRenderedPageBreak/>
        <w:t xml:space="preserve">and the Health Professions, 9(3), 376-388. </w:t>
      </w:r>
      <w:hyperlink r:id="rId84">
        <w:r w:rsidR="009E4375">
          <w:t>https://doi.org/10.1177/016327878600900308</w:t>
        </w:r>
      </w:hyperlink>
    </w:p>
    <w:p w14:paraId="10CF6FE4" w14:textId="77777777" w:rsidR="009E4375" w:rsidRDefault="00000000" w:rsidP="00266915">
      <w:pPr>
        <w:spacing w:after="0"/>
        <w:ind w:left="540" w:hanging="540"/>
      </w:pPr>
      <w:r w:rsidRPr="001F367A">
        <w:rPr>
          <w:highlight w:val="white"/>
          <w:lang w:val="sv-SE"/>
        </w:rPr>
        <w:t xml:space="preserve">Frisch, M. B., Cornell, J., Villanueva, M., &amp; Retzlaff, P. J. (1992). </w:t>
      </w:r>
      <w:r>
        <w:rPr>
          <w:highlight w:val="white"/>
        </w:rPr>
        <w:t xml:space="preserve">Clinical validation of the </w:t>
      </w:r>
      <w:proofErr w:type="gramStart"/>
      <w:r>
        <w:rPr>
          <w:highlight w:val="white"/>
        </w:rPr>
        <w:t>quality of Life</w:t>
      </w:r>
      <w:proofErr w:type="gramEnd"/>
      <w:r>
        <w:rPr>
          <w:highlight w:val="white"/>
        </w:rPr>
        <w:t xml:space="preserve"> Inventory: A measure of life satisfaction for use in treatment planning and </w:t>
      </w:r>
      <w:r>
        <w:t xml:space="preserve">outcome assessment. </w:t>
      </w:r>
      <w:r>
        <w:rPr>
          <w:i/>
          <w:iCs/>
        </w:rPr>
        <w:t>Psychological assessment</w:t>
      </w:r>
      <w:r>
        <w:t xml:space="preserve">, </w:t>
      </w:r>
      <w:r>
        <w:rPr>
          <w:i/>
          <w:iCs/>
        </w:rPr>
        <w:t>4</w:t>
      </w:r>
      <w:r>
        <w:t xml:space="preserve">(1), 92-101.  </w:t>
      </w:r>
      <w:hyperlink r:id="rId85">
        <w:r w:rsidR="009E4375">
          <w:rPr>
            <w:u w:val="single"/>
          </w:rPr>
          <w:t xml:space="preserve">https://doi.org/10.1037/1040-3590.4.1.92 </w:t>
        </w:r>
      </w:hyperlink>
      <w:r>
        <w:fldChar w:fldCharType="begin"/>
      </w:r>
      <w:r>
        <w:instrText xml:space="preserve"> HYPERLINK "https://doi.org/10.1037/1040-3590.4.1.92" </w:instrText>
      </w:r>
      <w:r>
        <w:fldChar w:fldCharType="separate"/>
      </w:r>
    </w:p>
    <w:p w14:paraId="10CF6FE5" w14:textId="77777777" w:rsidR="009E4375" w:rsidRDefault="00000000" w:rsidP="00266915">
      <w:pPr>
        <w:spacing w:after="0"/>
        <w:ind w:left="540" w:hanging="540"/>
      </w:pPr>
      <w:r>
        <w:fldChar w:fldCharType="end"/>
      </w:r>
      <w:r>
        <w:t xml:space="preserve">Fox, K. A., (1974). </w:t>
      </w:r>
      <w:r>
        <w:rPr>
          <w:i/>
          <w:iCs/>
        </w:rPr>
        <w:t xml:space="preserve">Social Indicators and Social Theory. </w:t>
      </w:r>
      <w:r>
        <w:t xml:space="preserve">Elements of an operational system. Wiley </w:t>
      </w:r>
      <w:proofErr w:type="spellStart"/>
      <w:r>
        <w:t>Interscience</w:t>
      </w:r>
      <w:proofErr w:type="spellEnd"/>
      <w:r>
        <w:t>, New York.</w:t>
      </w:r>
    </w:p>
    <w:p w14:paraId="10CF6FE6" w14:textId="77777777" w:rsidR="009E4375" w:rsidRDefault="00000000" w:rsidP="00266915">
      <w:pPr>
        <w:spacing w:after="160"/>
        <w:ind w:left="540" w:hanging="540"/>
      </w:pPr>
      <w:r>
        <w:t xml:space="preserve">Gall, M., Gall, J., &amp; Borg, R. (2007). </w:t>
      </w:r>
      <w:r>
        <w:rPr>
          <w:i/>
          <w:iCs/>
        </w:rPr>
        <w:t>Educational research: An introduction (8th ed.).</w:t>
      </w:r>
      <w:r>
        <w:t xml:space="preserve"> Pearson Education</w:t>
      </w:r>
      <w:r>
        <w:rPr>
          <w:rFonts w:ascii="Verdana" w:eastAsia="Verdana" w:hAnsi="Verdana" w:cs="Verdana"/>
          <w:sz w:val="21"/>
          <w:szCs w:val="21"/>
          <w:highlight w:val="white"/>
        </w:rPr>
        <w:t>.</w:t>
      </w:r>
    </w:p>
    <w:p w14:paraId="10CF6FE7" w14:textId="77777777" w:rsidR="009E4375" w:rsidRDefault="00000000" w:rsidP="00266915">
      <w:pPr>
        <w:spacing w:after="160"/>
        <w:ind w:left="540" w:hanging="540"/>
      </w:pPr>
      <w:r>
        <w:t xml:space="preserve">García, A. A. (2011). Cognitive interviews to test and refine questionnaires. </w:t>
      </w:r>
      <w:r>
        <w:rPr>
          <w:i/>
          <w:iCs/>
        </w:rPr>
        <w:t>Public Health Nursing</w:t>
      </w:r>
      <w:r>
        <w:t xml:space="preserve">, </w:t>
      </w:r>
      <w:r>
        <w:rPr>
          <w:i/>
          <w:iCs/>
        </w:rPr>
        <w:t>28</w:t>
      </w:r>
      <w:r>
        <w:t>(5), 444-450.</w:t>
      </w:r>
      <w:hyperlink r:id="rId86">
        <w:r w:rsidR="009E4375">
          <w:t xml:space="preserve"> </w:t>
        </w:r>
      </w:hyperlink>
      <w:hyperlink r:id="rId87">
        <w:r w:rsidR="009E4375">
          <w:rPr>
            <w:u w:val="single"/>
          </w:rPr>
          <w:t>https://doi.org/10.1111/j.1525-1446.2010.00938.x</w:t>
        </w:r>
      </w:hyperlink>
    </w:p>
    <w:p w14:paraId="10CF6FE8" w14:textId="77777777" w:rsidR="009E4375" w:rsidRDefault="00000000" w:rsidP="00266915">
      <w:pPr>
        <w:spacing w:after="160"/>
        <w:ind w:left="540" w:hanging="540"/>
      </w:pPr>
      <w:r>
        <w:t xml:space="preserve">Gertz, G., &amp; Boudreault, P. (Eds.), (2016). </w:t>
      </w:r>
      <w:r>
        <w:rPr>
          <w:i/>
          <w:iCs/>
        </w:rPr>
        <w:t>The SAGE deaf studies encyclopedia</w:t>
      </w:r>
      <w:r>
        <w:t>. Sage Publications.</w:t>
      </w:r>
    </w:p>
    <w:p w14:paraId="10CF6FE9" w14:textId="77777777" w:rsidR="009E4375" w:rsidRDefault="00000000" w:rsidP="00266915">
      <w:pPr>
        <w:spacing w:after="0"/>
        <w:ind w:left="540" w:hanging="540"/>
      </w:pPr>
      <w:r>
        <w:t>Gilman, R., Easterbrooks, S. R., &amp; Frey, M. (2004). A preliminary study of multidimensional life satisfaction among deaf/hard of hearing youth across environmental settings.</w:t>
      </w:r>
      <w:r>
        <w:rPr>
          <w:i/>
          <w:iCs/>
        </w:rPr>
        <w:t xml:space="preserve"> Social Indicators Research</w:t>
      </w:r>
      <w:r>
        <w:t xml:space="preserve">, </w:t>
      </w:r>
      <w:r>
        <w:rPr>
          <w:i/>
          <w:iCs/>
        </w:rPr>
        <w:t>66</w:t>
      </w:r>
      <w:r>
        <w:t xml:space="preserve">, 143-164. </w:t>
      </w:r>
      <w:hyperlink r:id="rId88">
        <w:r w:rsidR="009E4375">
          <w:rPr>
            <w:highlight w:val="white"/>
            <w:u w:val="single"/>
          </w:rPr>
          <w:t>https://doi.org/10.1023/B:SOCI.0000007495.40790.85</w:t>
        </w:r>
      </w:hyperlink>
    </w:p>
    <w:p w14:paraId="10CF6FEA" w14:textId="77777777" w:rsidR="009E4375" w:rsidRDefault="00000000" w:rsidP="00266915">
      <w:pPr>
        <w:spacing w:after="0"/>
        <w:ind w:left="540" w:hanging="540"/>
      </w:pPr>
      <w:r>
        <w:t xml:space="preserve">Goodley, D., &amp; </w:t>
      </w:r>
      <w:proofErr w:type="spellStart"/>
      <w:r>
        <w:t>Lawthom</w:t>
      </w:r>
      <w:proofErr w:type="spellEnd"/>
      <w:r>
        <w:t xml:space="preserve">, R. (2011). Disability, community and empire: indigenous psychologies and social psychoanalytic possibilities. </w:t>
      </w:r>
      <w:r>
        <w:rPr>
          <w:i/>
          <w:iCs/>
        </w:rPr>
        <w:t>International Journal of Inclusive Education</w:t>
      </w:r>
      <w:r>
        <w:t xml:space="preserve">, </w:t>
      </w:r>
      <w:r>
        <w:rPr>
          <w:i/>
          <w:iCs/>
        </w:rPr>
        <w:t>15</w:t>
      </w:r>
      <w:r>
        <w:t xml:space="preserve">(1), 101–115. </w:t>
      </w:r>
      <w:hyperlink r:id="rId89">
        <w:r w:rsidR="009E4375">
          <w:rPr>
            <w:u w:val="single"/>
          </w:rPr>
          <w:t>https://doi.org/10.1080/13603116.2010.496200</w:t>
        </w:r>
      </w:hyperlink>
    </w:p>
    <w:p w14:paraId="10CF6FEB" w14:textId="77777777" w:rsidR="009E4375" w:rsidRDefault="00000000" w:rsidP="00266915">
      <w:pPr>
        <w:spacing w:after="0"/>
        <w:ind w:left="540" w:hanging="540"/>
      </w:pPr>
      <w:proofErr w:type="spellStart"/>
      <w:r>
        <w:t>Gragnaniello</w:t>
      </w:r>
      <w:proofErr w:type="spellEnd"/>
      <w:r>
        <w:t xml:space="preserve">, M., Celletti, C., </w:t>
      </w:r>
      <w:proofErr w:type="spellStart"/>
      <w:r>
        <w:t>Resca</w:t>
      </w:r>
      <w:proofErr w:type="spellEnd"/>
      <w:r>
        <w:t xml:space="preserve">, A., Galeoto, G., &amp; Camerota, F. (2021). Italian version of the YQOL-DHH questionnaire: Translation and cross-cultural adaptation. </w:t>
      </w:r>
      <w:r>
        <w:rPr>
          <w:i/>
          <w:iCs/>
        </w:rPr>
        <w:t>OTO Open: American Academy of Otolaryngology - Head and Neck Surgery Foundation American</w:t>
      </w:r>
      <w:r>
        <w:t xml:space="preserve">, </w:t>
      </w:r>
      <w:r>
        <w:rPr>
          <w:i/>
          <w:iCs/>
        </w:rPr>
        <w:t>5</w:t>
      </w:r>
      <w:r>
        <w:t xml:space="preserve">(4), 1-7. </w:t>
      </w:r>
      <w:hyperlink r:id="rId90">
        <w:r w:rsidR="009E4375">
          <w:rPr>
            <w:u w:val="single"/>
          </w:rPr>
          <w:t>https://doi.org/10.1177/2473974X211065433</w:t>
        </w:r>
      </w:hyperlink>
    </w:p>
    <w:p w14:paraId="10CF6FEC" w14:textId="77777777" w:rsidR="009E4375" w:rsidRDefault="00000000" w:rsidP="00266915">
      <w:pPr>
        <w:spacing w:after="0"/>
        <w:ind w:left="540" w:hanging="540"/>
      </w:pPr>
      <w:r>
        <w:lastRenderedPageBreak/>
        <w:t xml:space="preserve">Grasso, M., &amp; Canova, L. (2008). An Assessment of the Quality of Life in the European Union Based on the Social Indicators Approach. </w:t>
      </w:r>
      <w:r>
        <w:rPr>
          <w:i/>
          <w:iCs/>
        </w:rPr>
        <w:t>Social Indicators Research</w:t>
      </w:r>
      <w:r>
        <w:t xml:space="preserve">, </w:t>
      </w:r>
      <w:r>
        <w:rPr>
          <w:i/>
          <w:iCs/>
        </w:rPr>
        <w:t>87</w:t>
      </w:r>
      <w:r>
        <w:t xml:space="preserve">(1), 1–25. </w:t>
      </w:r>
      <w:hyperlink r:id="rId91">
        <w:r w:rsidR="009E4375">
          <w:rPr>
            <w:u w:val="single"/>
          </w:rPr>
          <w:t>https://doi.org/10.1007/s11205-007-9158-7</w:t>
        </w:r>
      </w:hyperlink>
    </w:p>
    <w:p w14:paraId="10CF6FED" w14:textId="77777777" w:rsidR="009E4375" w:rsidRDefault="00000000" w:rsidP="00266915">
      <w:pPr>
        <w:spacing w:after="0"/>
        <w:ind w:left="540" w:hanging="540"/>
      </w:pPr>
      <w:r>
        <w:t xml:space="preserve">Gregory, D., Johnston, R., Pratt, G., Watts, M., &amp; Whatmore, S. (2011). Quality of Life. In D. Gregory, R. Johnston, G. Pratt, M. Watts, &amp; S. Whatmore (Eds.), </w:t>
      </w:r>
      <w:r>
        <w:rPr>
          <w:i/>
          <w:iCs/>
        </w:rPr>
        <w:t>Dictionary of Human Geography</w:t>
      </w:r>
      <w:r>
        <w:t xml:space="preserve"> (5th ed., pp. 606-607). Wiley-Blackwell.</w:t>
      </w:r>
    </w:p>
    <w:p w14:paraId="10CF6FEE" w14:textId="77777777" w:rsidR="009E4375" w:rsidRDefault="00000000" w:rsidP="00266915">
      <w:pPr>
        <w:spacing w:after="160"/>
        <w:ind w:left="540" w:hanging="540"/>
        <w:rPr>
          <w:highlight w:val="white"/>
        </w:rPr>
      </w:pPr>
      <w:r>
        <w:rPr>
          <w:highlight w:val="white"/>
        </w:rPr>
        <w:t>Griffin, D. J. (2018). American Sign Language and English biling</w:t>
      </w:r>
      <w:r>
        <w:t>ualism: Edu</w:t>
      </w:r>
      <w:r>
        <w:rPr>
          <w:highlight w:val="white"/>
        </w:rPr>
        <w:t xml:space="preserve">cators’ perspectives on a bicultural education. </w:t>
      </w:r>
      <w:r>
        <w:rPr>
          <w:i/>
          <w:iCs/>
          <w:highlight w:val="white"/>
        </w:rPr>
        <w:t>International Journal of Bilingual Education and Bilingualism</w:t>
      </w:r>
      <w:r>
        <w:rPr>
          <w:highlight w:val="white"/>
        </w:rPr>
        <w:t xml:space="preserve">, </w:t>
      </w:r>
      <w:r>
        <w:rPr>
          <w:i/>
          <w:iCs/>
          <w:highlight w:val="white"/>
        </w:rPr>
        <w:t>24</w:t>
      </w:r>
      <w:r>
        <w:rPr>
          <w:highlight w:val="white"/>
        </w:rPr>
        <w:t xml:space="preserve">(6), 757–770. </w:t>
      </w:r>
      <w:hyperlink r:id="rId92">
        <w:r w:rsidR="009E4375">
          <w:rPr>
            <w:highlight w:val="white"/>
            <w:u w:val="single"/>
          </w:rPr>
          <w:t>https://doi.org/10.1080/13670050.2018.1512552</w:t>
        </w:r>
      </w:hyperlink>
    </w:p>
    <w:p w14:paraId="10CF6FEF" w14:textId="77777777" w:rsidR="009E4375" w:rsidRDefault="00000000" w:rsidP="00266915">
      <w:pPr>
        <w:spacing w:after="160"/>
        <w:ind w:left="540" w:hanging="540"/>
        <w:rPr>
          <w:u w:val="single"/>
        </w:rPr>
      </w:pPr>
      <w:proofErr w:type="spellStart"/>
      <w:r w:rsidRPr="00D43BCC">
        <w:rPr>
          <w:lang w:val="es-ES"/>
        </w:rPr>
        <w:t>Gullone</w:t>
      </w:r>
      <w:proofErr w:type="spellEnd"/>
      <w:r w:rsidRPr="00D43BCC">
        <w:rPr>
          <w:lang w:val="es-ES"/>
        </w:rPr>
        <w:t xml:space="preserve">, E., &amp; </w:t>
      </w:r>
      <w:proofErr w:type="spellStart"/>
      <w:r w:rsidRPr="00D43BCC">
        <w:rPr>
          <w:lang w:val="es-ES"/>
        </w:rPr>
        <w:t>Cummins</w:t>
      </w:r>
      <w:proofErr w:type="spellEnd"/>
      <w:r w:rsidRPr="00D43BCC">
        <w:rPr>
          <w:lang w:val="es-ES"/>
        </w:rPr>
        <w:t xml:space="preserve">, R. A. (1999). </w:t>
      </w:r>
      <w:r>
        <w:t xml:space="preserve">The Comprehensive Quality of Life Scale: A psychometric evaluation with an adolescent sample. </w:t>
      </w:r>
      <w:proofErr w:type="spellStart"/>
      <w:r>
        <w:rPr>
          <w:i/>
          <w:iCs/>
        </w:rPr>
        <w:t>Behaviour</w:t>
      </w:r>
      <w:proofErr w:type="spellEnd"/>
      <w:r>
        <w:rPr>
          <w:i/>
          <w:iCs/>
        </w:rPr>
        <w:t xml:space="preserve"> Change</w:t>
      </w:r>
      <w:r>
        <w:t xml:space="preserve">, </w:t>
      </w:r>
      <w:r>
        <w:rPr>
          <w:i/>
          <w:iCs/>
        </w:rPr>
        <w:t>16</w:t>
      </w:r>
      <w:r>
        <w:t>(2), 127-139.</w:t>
      </w:r>
      <w:hyperlink r:id="rId93">
        <w:r w:rsidR="009E4375">
          <w:t xml:space="preserve"> </w:t>
        </w:r>
      </w:hyperlink>
      <w:hyperlink r:id="rId94">
        <w:r w:rsidR="009E4375">
          <w:rPr>
            <w:u w:val="single"/>
          </w:rPr>
          <w:t>https://doi.org/10.1375/bech.16.2.127</w:t>
        </w:r>
      </w:hyperlink>
    </w:p>
    <w:p w14:paraId="10CF6FF0" w14:textId="77777777" w:rsidR="009E4375" w:rsidRDefault="00000000" w:rsidP="00266915">
      <w:pPr>
        <w:spacing w:after="160"/>
        <w:ind w:left="540" w:hanging="540"/>
      </w:pPr>
      <w:proofErr w:type="spellStart"/>
      <w:r>
        <w:t>Gurková</w:t>
      </w:r>
      <w:proofErr w:type="spellEnd"/>
      <w:r>
        <w:t xml:space="preserve">, E. (2011). Issues in the definitions of </w:t>
      </w:r>
      <w:proofErr w:type="spellStart"/>
      <w:r>
        <w:t>HRQoL</w:t>
      </w:r>
      <w:proofErr w:type="spellEnd"/>
      <w:r>
        <w:t xml:space="preserve">. </w:t>
      </w:r>
      <w:r>
        <w:rPr>
          <w:i/>
          <w:iCs/>
        </w:rPr>
        <w:t>Journal of Nursing, Social Studies, Public Health and Rehabilitation</w:t>
      </w:r>
      <w:r>
        <w:t>,</w:t>
      </w:r>
      <w:r>
        <w:rPr>
          <w:i/>
          <w:iCs/>
        </w:rPr>
        <w:t xml:space="preserve"> 3</w:t>
      </w:r>
      <w:r>
        <w:t xml:space="preserve">(4), 190-197. </w:t>
      </w:r>
    </w:p>
    <w:p w14:paraId="10CF6FF1" w14:textId="77777777" w:rsidR="009E4375" w:rsidRDefault="00000000" w:rsidP="00266915">
      <w:pPr>
        <w:spacing w:after="160"/>
        <w:ind w:left="540" w:hanging="540"/>
      </w:pPr>
      <w:r w:rsidRPr="00D43BCC">
        <w:rPr>
          <w:lang w:val="fr-FR"/>
        </w:rPr>
        <w:t xml:space="preserve">Guillemin, F., Bombardier, C., &amp; Beaton, D. (1993). </w:t>
      </w:r>
      <w:r>
        <w:t xml:space="preserve">Cross-cultural adaptation of health-related quality of life measures: Literature review and proposed guidelines. </w:t>
      </w:r>
      <w:r>
        <w:rPr>
          <w:i/>
          <w:iCs/>
        </w:rPr>
        <w:t xml:space="preserve">Journal of Clinical Epidemiology, 46(12), 1417–1432. </w:t>
      </w:r>
      <w:hyperlink r:id="rId95">
        <w:r w:rsidR="009E4375">
          <w:rPr>
            <w:u w:val="single"/>
          </w:rPr>
          <w:t>https://doi.org/10.1016/0895-4356(93)90142-N</w:t>
        </w:r>
      </w:hyperlink>
    </w:p>
    <w:p w14:paraId="10CF6FF2" w14:textId="77777777" w:rsidR="009E4375" w:rsidRDefault="00000000" w:rsidP="00266915">
      <w:pPr>
        <w:spacing w:after="160"/>
        <w:ind w:left="540" w:hanging="540"/>
        <w:rPr>
          <w:highlight w:val="white"/>
        </w:rPr>
      </w:pPr>
      <w:r>
        <w:rPr>
          <w:highlight w:val="white"/>
        </w:rPr>
        <w:t xml:space="preserve">Harris, M., </w:t>
      </w:r>
      <w:proofErr w:type="spellStart"/>
      <w:r>
        <w:rPr>
          <w:highlight w:val="white"/>
        </w:rPr>
        <w:t>Terlektsi</w:t>
      </w:r>
      <w:proofErr w:type="spellEnd"/>
      <w:r>
        <w:rPr>
          <w:highlight w:val="white"/>
        </w:rPr>
        <w:t xml:space="preserve">, E., &amp; Kyle, F. E. (2017). Literacy outcomes for primary school children who are deaf and hard of hearing: A cohort comparison study. </w:t>
      </w:r>
      <w:r>
        <w:rPr>
          <w:i/>
          <w:iCs/>
          <w:highlight w:val="white"/>
        </w:rPr>
        <w:t>Journal of Speech, Language, and Hearing Research</w:t>
      </w:r>
      <w:r>
        <w:rPr>
          <w:highlight w:val="white"/>
        </w:rPr>
        <w:t xml:space="preserve">, </w:t>
      </w:r>
      <w:r>
        <w:rPr>
          <w:i/>
          <w:iCs/>
          <w:highlight w:val="white"/>
        </w:rPr>
        <w:t>60</w:t>
      </w:r>
      <w:r>
        <w:rPr>
          <w:highlight w:val="white"/>
        </w:rPr>
        <w:t>(3), 701-711.</w:t>
      </w:r>
      <w:r>
        <w:rPr>
          <w:sz w:val="23"/>
          <w:szCs w:val="23"/>
          <w:highlight w:val="white"/>
        </w:rPr>
        <w:t xml:space="preserve"> </w:t>
      </w:r>
      <w:hyperlink r:id="rId96">
        <w:r w:rsidR="009E4375">
          <w:rPr>
            <w:highlight w:val="white"/>
            <w:u w:val="single"/>
          </w:rPr>
          <w:t>https://doi.org/10.1044/2016_JSLHR-H-15-0403</w:t>
        </w:r>
      </w:hyperlink>
    </w:p>
    <w:p w14:paraId="10CF6FF3" w14:textId="77777777" w:rsidR="009E4375" w:rsidRDefault="00000000" w:rsidP="00266915">
      <w:pPr>
        <w:spacing w:after="160"/>
        <w:ind w:left="540" w:hanging="540"/>
        <w:rPr>
          <w:highlight w:val="white"/>
        </w:rPr>
      </w:pPr>
      <w:r>
        <w:rPr>
          <w:highlight w:val="white"/>
        </w:rPr>
        <w:t xml:space="preserve">Hawthorne, G., Hogan, A., Giles, E., Stewart, M., Kethel, L., White, K., </w:t>
      </w:r>
      <w:proofErr w:type="spellStart"/>
      <w:proofErr w:type="gramStart"/>
      <w:r>
        <w:rPr>
          <w:highlight w:val="white"/>
        </w:rPr>
        <w:t>Plaith</w:t>
      </w:r>
      <w:proofErr w:type="spellEnd"/>
      <w:r>
        <w:rPr>
          <w:highlight w:val="white"/>
        </w:rPr>
        <w:t>, B.</w:t>
      </w:r>
      <w:proofErr w:type="gramEnd"/>
      <w:r>
        <w:rPr>
          <w:highlight w:val="white"/>
        </w:rPr>
        <w:t xml:space="preserve">, Pedley, K., Rushbrooke, E., &amp; Taylor, A. (2004). Evaluating the health-related quality of life effects of cochlear implants: A prospective study of an adult cochlear implant program. </w:t>
      </w:r>
      <w:r>
        <w:rPr>
          <w:i/>
          <w:iCs/>
          <w:highlight w:val="white"/>
        </w:rPr>
        <w:t>International Journal of Audiology</w:t>
      </w:r>
      <w:r>
        <w:rPr>
          <w:highlight w:val="white"/>
        </w:rPr>
        <w:t xml:space="preserve">, </w:t>
      </w:r>
      <w:r>
        <w:rPr>
          <w:i/>
          <w:iCs/>
          <w:highlight w:val="white"/>
        </w:rPr>
        <w:t>43</w:t>
      </w:r>
      <w:r>
        <w:rPr>
          <w:highlight w:val="white"/>
        </w:rPr>
        <w:t xml:space="preserve">(4), 183-192. </w:t>
      </w:r>
      <w:hyperlink r:id="rId97">
        <w:r w:rsidR="009E4375">
          <w:rPr>
            <w:highlight w:val="white"/>
            <w:u w:val="single"/>
          </w:rPr>
          <w:t>https://doi-org.utk.idm.oclc.org/10.1080/14992020400050026</w:t>
        </w:r>
      </w:hyperlink>
    </w:p>
    <w:p w14:paraId="10CF6FF4" w14:textId="77777777" w:rsidR="009E4375" w:rsidRDefault="00000000" w:rsidP="00266915">
      <w:pPr>
        <w:spacing w:after="160"/>
        <w:ind w:left="540" w:hanging="540"/>
        <w:rPr>
          <w:highlight w:val="white"/>
        </w:rPr>
      </w:pPr>
      <w:r>
        <w:rPr>
          <w:highlight w:val="white"/>
        </w:rPr>
        <w:lastRenderedPageBreak/>
        <w:t>Heal, L. W., &amp; Chadsey-Rusch, J. (1985). The Lifestyle Satisfaction Scale (LSS): Assessing individuals' satisfaction with residence, community setting and associated services.</w:t>
      </w:r>
      <w:r>
        <w:rPr>
          <w:i/>
          <w:iCs/>
          <w:highlight w:val="white"/>
        </w:rPr>
        <w:t xml:space="preserve"> Applied Research in Mental Retardation, 6</w:t>
      </w:r>
      <w:r>
        <w:rPr>
          <w:highlight w:val="white"/>
        </w:rPr>
        <w:t xml:space="preserve">(4), 475-490. </w:t>
      </w:r>
      <w:hyperlink r:id="rId98">
        <w:r w:rsidR="009E4375">
          <w:rPr>
            <w:highlight w:val="white"/>
            <w:u w:val="single"/>
          </w:rPr>
          <w:t>https://doi.org/10.1016/0270-3092(85)90022-0</w:t>
        </w:r>
      </w:hyperlink>
    </w:p>
    <w:p w14:paraId="10CF6FF5" w14:textId="77777777" w:rsidR="009E4375" w:rsidRDefault="00000000" w:rsidP="00266915">
      <w:pPr>
        <w:spacing w:after="160"/>
        <w:ind w:left="540" w:hanging="540"/>
        <w:rPr>
          <w:highlight w:val="white"/>
        </w:rPr>
      </w:pPr>
      <w:r>
        <w:rPr>
          <w:highlight w:val="white"/>
        </w:rPr>
        <w:t xml:space="preserve">Hinds, J. (2011). Exploring the psychological rewards of a wilderness experience: An interpretive phenomenological analysis. </w:t>
      </w:r>
      <w:r>
        <w:rPr>
          <w:i/>
          <w:iCs/>
          <w:highlight w:val="white"/>
        </w:rPr>
        <w:t>The Humanistic Psychologist</w:t>
      </w:r>
      <w:r>
        <w:rPr>
          <w:highlight w:val="white"/>
        </w:rPr>
        <w:t xml:space="preserve">, </w:t>
      </w:r>
      <w:r>
        <w:rPr>
          <w:i/>
          <w:iCs/>
          <w:highlight w:val="white"/>
        </w:rPr>
        <w:t>39</w:t>
      </w:r>
      <w:r>
        <w:rPr>
          <w:highlight w:val="white"/>
        </w:rPr>
        <w:t xml:space="preserve">(3), 189-205. </w:t>
      </w:r>
      <w:hyperlink r:id="rId99">
        <w:r w:rsidR="009E4375">
          <w:rPr>
            <w:highlight w:val="white"/>
            <w:u w:val="single"/>
          </w:rPr>
          <w:t>https://doi.org/10.1080/08873267.2011.567132</w:t>
        </w:r>
      </w:hyperlink>
    </w:p>
    <w:p w14:paraId="10CF6FF6" w14:textId="77777777" w:rsidR="009E4375" w:rsidRDefault="00000000" w:rsidP="00266915">
      <w:pPr>
        <w:spacing w:after="160"/>
        <w:ind w:left="540" w:hanging="540"/>
        <w:rPr>
          <w:highlight w:val="white"/>
        </w:rPr>
      </w:pPr>
      <w:proofErr w:type="spellStart"/>
      <w:r>
        <w:t>Hintermair</w:t>
      </w:r>
      <w:proofErr w:type="spellEnd"/>
      <w:r>
        <w:rPr>
          <w:highlight w:val="white"/>
        </w:rPr>
        <w:t xml:space="preserve">, </w:t>
      </w:r>
      <w:r>
        <w:t>M.</w:t>
      </w:r>
      <w:r>
        <w:rPr>
          <w:highlight w:val="white"/>
        </w:rPr>
        <w:t xml:space="preserve"> (</w:t>
      </w:r>
      <w:r>
        <w:t>2008</w:t>
      </w:r>
      <w:r>
        <w:rPr>
          <w:highlight w:val="white"/>
        </w:rPr>
        <w:t xml:space="preserve">). </w:t>
      </w:r>
      <w:r>
        <w:t>Self-esteem and satisfaction with life of deaf and hard-of-hearing people—A resource-oriented approach to identity work</w:t>
      </w:r>
      <w:r>
        <w:rPr>
          <w:highlight w:val="white"/>
        </w:rPr>
        <w:t xml:space="preserve">. </w:t>
      </w:r>
      <w:r>
        <w:rPr>
          <w:i/>
          <w:iCs/>
        </w:rPr>
        <w:t>Journal of Deaf Studies and Deaf Education</w:t>
      </w:r>
      <w:r>
        <w:rPr>
          <w:i/>
          <w:iCs/>
          <w:highlight w:val="white"/>
        </w:rPr>
        <w:t xml:space="preserve">, </w:t>
      </w:r>
      <w:r>
        <w:rPr>
          <w:i/>
          <w:iCs/>
        </w:rPr>
        <w:t>13</w:t>
      </w:r>
      <w:r>
        <w:t>(2)</w:t>
      </w:r>
      <w:r>
        <w:rPr>
          <w:highlight w:val="white"/>
        </w:rPr>
        <w:t xml:space="preserve">, </w:t>
      </w:r>
      <w:r>
        <w:t>278</w:t>
      </w:r>
      <w:r>
        <w:rPr>
          <w:highlight w:val="white"/>
        </w:rPr>
        <w:t>–</w:t>
      </w:r>
      <w:r>
        <w:t>300</w:t>
      </w:r>
      <w:r>
        <w:rPr>
          <w:highlight w:val="white"/>
        </w:rPr>
        <w:t xml:space="preserve">. </w:t>
      </w:r>
      <w:hyperlink r:id="rId100">
        <w:r w:rsidR="009E4375">
          <w:rPr>
            <w:highlight w:val="white"/>
            <w:u w:val="single"/>
          </w:rPr>
          <w:t>https://doi.org/10.1093/deafed/enm054</w:t>
        </w:r>
      </w:hyperlink>
    </w:p>
    <w:p w14:paraId="10CF6FF7" w14:textId="77777777" w:rsidR="009E4375" w:rsidRDefault="00000000" w:rsidP="00266915">
      <w:pPr>
        <w:spacing w:after="160"/>
        <w:ind w:left="540" w:hanging="540"/>
        <w:rPr>
          <w:highlight w:val="white"/>
        </w:rPr>
      </w:pPr>
      <w:proofErr w:type="spellStart"/>
      <w:r>
        <w:t>Hintermair</w:t>
      </w:r>
      <w:proofErr w:type="spellEnd"/>
      <w:r>
        <w:rPr>
          <w:highlight w:val="white"/>
        </w:rPr>
        <w:t xml:space="preserve">, </w:t>
      </w:r>
      <w:r>
        <w:t>M.</w:t>
      </w:r>
      <w:r>
        <w:rPr>
          <w:highlight w:val="white"/>
        </w:rPr>
        <w:t xml:space="preserve"> (</w:t>
      </w:r>
      <w:r>
        <w:t>2011</w:t>
      </w:r>
      <w:r>
        <w:rPr>
          <w:highlight w:val="white"/>
        </w:rPr>
        <w:t xml:space="preserve">). </w:t>
      </w:r>
      <w:r>
        <w:t>Health-related quality of life and classroom participation of deaf and hard-of-hearing students in general schools</w:t>
      </w:r>
      <w:r>
        <w:rPr>
          <w:highlight w:val="white"/>
        </w:rPr>
        <w:t xml:space="preserve">. </w:t>
      </w:r>
      <w:r>
        <w:rPr>
          <w:i/>
          <w:iCs/>
        </w:rPr>
        <w:t>Journal of Deaf Studies and Deaf Education</w:t>
      </w:r>
      <w:r>
        <w:rPr>
          <w:i/>
          <w:iCs/>
          <w:highlight w:val="white"/>
        </w:rPr>
        <w:t xml:space="preserve">, </w:t>
      </w:r>
      <w:r>
        <w:rPr>
          <w:i/>
          <w:iCs/>
        </w:rPr>
        <w:t>16</w:t>
      </w:r>
      <w:r>
        <w:t>(2)</w:t>
      </w:r>
      <w:r>
        <w:rPr>
          <w:highlight w:val="white"/>
        </w:rPr>
        <w:t xml:space="preserve">, </w:t>
      </w:r>
      <w:r>
        <w:t>254</w:t>
      </w:r>
      <w:r>
        <w:rPr>
          <w:highlight w:val="white"/>
        </w:rPr>
        <w:t>–</w:t>
      </w:r>
      <w:r>
        <w:t>271</w:t>
      </w:r>
      <w:r>
        <w:rPr>
          <w:highlight w:val="white"/>
        </w:rPr>
        <w:t xml:space="preserve">. </w:t>
      </w:r>
      <w:hyperlink r:id="rId101">
        <w:r w:rsidR="009E4375">
          <w:rPr>
            <w:highlight w:val="white"/>
            <w:u w:val="single"/>
          </w:rPr>
          <w:t>https://doi.org/10.1093/deafed/enq045</w:t>
        </w:r>
      </w:hyperlink>
    </w:p>
    <w:p w14:paraId="10CF6FF8" w14:textId="77777777" w:rsidR="009E4375" w:rsidRDefault="00000000" w:rsidP="00266915">
      <w:pPr>
        <w:spacing w:after="160"/>
        <w:ind w:left="540" w:hanging="540"/>
      </w:pPr>
      <w:r>
        <w:t xml:space="preserve">Hofmann, M., Meloche, M., &amp; </w:t>
      </w:r>
      <w:proofErr w:type="spellStart"/>
      <w:r>
        <w:t>Zwolan</w:t>
      </w:r>
      <w:proofErr w:type="spellEnd"/>
      <w:r>
        <w:t xml:space="preserve">, T. A. (2020). Health related quality of life in adolescent cochlear implant users. </w:t>
      </w:r>
      <w:r>
        <w:rPr>
          <w:i/>
          <w:iCs/>
        </w:rPr>
        <w:t>Cochlear Implants International</w:t>
      </w:r>
      <w:r>
        <w:t xml:space="preserve">, </w:t>
      </w:r>
      <w:r>
        <w:rPr>
          <w:i/>
          <w:iCs/>
        </w:rPr>
        <w:t>21</w:t>
      </w:r>
      <w:r>
        <w:t xml:space="preserve">(4), 198–205. </w:t>
      </w:r>
      <w:hyperlink r:id="rId102">
        <w:r w:rsidR="009E4375">
          <w:rPr>
            <w:u w:val="single"/>
          </w:rPr>
          <w:t>https://doi.org/10.1080/14670100.2020.1724676</w:t>
        </w:r>
      </w:hyperlink>
    </w:p>
    <w:p w14:paraId="10CF6FF9" w14:textId="77777777" w:rsidR="009E4375" w:rsidRDefault="00000000" w:rsidP="00266915">
      <w:pPr>
        <w:spacing w:after="160"/>
        <w:ind w:left="540" w:hanging="540"/>
      </w:pPr>
      <w:r>
        <w:t xml:space="preserve">Holcomb, R. (1971). Three years of the Total Approach: 1968–1971. </w:t>
      </w:r>
      <w:r>
        <w:rPr>
          <w:i/>
          <w:iCs/>
        </w:rPr>
        <w:t>Report of the Proceedings of the Forty-Fifth Meeting of the Convention of American Instructors of the Deaf</w:t>
      </w:r>
      <w:r>
        <w:t xml:space="preserve"> (pp. 522-530).</w:t>
      </w:r>
    </w:p>
    <w:p w14:paraId="10CF6FFA" w14:textId="77777777" w:rsidR="009E4375" w:rsidRDefault="00000000" w:rsidP="00266915">
      <w:pPr>
        <w:spacing w:after="0"/>
        <w:ind w:left="540" w:hanging="540"/>
      </w:pPr>
      <w:r>
        <w:t xml:space="preserve">Holland A. (1990). </w:t>
      </w:r>
      <w:r>
        <w:rPr>
          <w:i/>
          <w:iCs/>
        </w:rPr>
        <w:t>People with mental retardation living in community homes: Their views and the quality of the service.</w:t>
      </w:r>
      <w:r>
        <w:t xml:space="preserve"> [Unpublished </w:t>
      </w:r>
      <w:proofErr w:type="spellStart"/>
      <w:r>
        <w:t>doctaral</w:t>
      </w:r>
      <w:proofErr w:type="spellEnd"/>
      <w:r>
        <w:t xml:space="preserve"> thesis]. University of Loughborough.</w:t>
      </w:r>
    </w:p>
    <w:p w14:paraId="10CF6FFB" w14:textId="77777777" w:rsidR="009E4375" w:rsidRDefault="00000000" w:rsidP="00266915">
      <w:pPr>
        <w:spacing w:after="0"/>
        <w:ind w:left="540" w:hanging="540"/>
        <w:rPr>
          <w:shd w:val="clear" w:color="auto" w:fill="FCFCFC"/>
        </w:rPr>
      </w:pPr>
      <w:r>
        <w:t xml:space="preserve">Holmes, T. H., &amp; Rahe, R. H. (1967). The social readjustment rating scale. </w:t>
      </w:r>
      <w:r>
        <w:rPr>
          <w:i/>
          <w:iCs/>
        </w:rPr>
        <w:t>Journal of Psychosomatic Research, 11</w:t>
      </w:r>
      <w:r>
        <w:t xml:space="preserve">(2), 213–218. </w:t>
      </w:r>
      <w:hyperlink r:id="rId103">
        <w:r w:rsidR="009E4375">
          <w:rPr>
            <w:u w:val="single"/>
          </w:rPr>
          <w:t>https://doi.org/10.1016/0022-3999(67)90010-4</w:t>
        </w:r>
      </w:hyperlink>
    </w:p>
    <w:p w14:paraId="10CF6FFC" w14:textId="77777777" w:rsidR="009E4375" w:rsidRDefault="00000000" w:rsidP="00266915">
      <w:pPr>
        <w:spacing w:after="0"/>
        <w:ind w:left="540" w:hanging="540"/>
      </w:pPr>
      <w:r>
        <w:lastRenderedPageBreak/>
        <w:t xml:space="preserve">Holmström, I. (2022). Communication, information, and support for Swedish parents with deaf or hard-of-hearing children. </w:t>
      </w:r>
      <w:r>
        <w:rPr>
          <w:i/>
          <w:iCs/>
        </w:rPr>
        <w:t xml:space="preserve">Scandinavian Journal of Disability </w:t>
      </w:r>
      <w:proofErr w:type="gramStart"/>
      <w:r>
        <w:rPr>
          <w:i/>
          <w:iCs/>
        </w:rPr>
        <w:t>Research :</w:t>
      </w:r>
      <w:proofErr w:type="gramEnd"/>
      <w:r>
        <w:rPr>
          <w:i/>
          <w:iCs/>
        </w:rPr>
        <w:t xml:space="preserve"> SJDR</w:t>
      </w:r>
      <w:r>
        <w:t xml:space="preserve">, </w:t>
      </w:r>
      <w:r>
        <w:rPr>
          <w:i/>
          <w:iCs/>
        </w:rPr>
        <w:t>24</w:t>
      </w:r>
      <w:r>
        <w:t xml:space="preserve">(1), 165–180. </w:t>
      </w:r>
      <w:hyperlink r:id="rId104">
        <w:r w:rsidR="009E4375">
          <w:rPr>
            <w:u w:val="single"/>
          </w:rPr>
          <w:t>https://doi.org/10.16993/sjdr.876</w:t>
        </w:r>
      </w:hyperlink>
    </w:p>
    <w:p w14:paraId="10CF6FFD" w14:textId="77777777" w:rsidR="009E4375" w:rsidRDefault="00000000" w:rsidP="00266915">
      <w:pPr>
        <w:spacing w:after="0"/>
        <w:ind w:left="540" w:hanging="540"/>
      </w:pPr>
      <w:r>
        <w:t xml:space="preserve">Holt, J. A. (1994). Classroom Attributes and Achievement Test Scores for Deaf and Hard of Hearing Students. </w:t>
      </w:r>
      <w:r>
        <w:rPr>
          <w:i/>
          <w:iCs/>
        </w:rPr>
        <w:t>American Annals of the Deaf</w:t>
      </w:r>
      <w:r>
        <w:t xml:space="preserve">, </w:t>
      </w:r>
      <w:r>
        <w:rPr>
          <w:i/>
          <w:iCs/>
        </w:rPr>
        <w:t>139</w:t>
      </w:r>
      <w:r>
        <w:t xml:space="preserve">(4), 430–437. </w:t>
      </w:r>
      <w:hyperlink r:id="rId105">
        <w:r w:rsidR="009E4375">
          <w:rPr>
            <w:u w:val="single"/>
          </w:rPr>
          <w:t>https://doi.org/10.1353/aad.2012.0274</w:t>
        </w:r>
      </w:hyperlink>
    </w:p>
    <w:p w14:paraId="10CF6FFE" w14:textId="77777777" w:rsidR="009E4375" w:rsidRDefault="00000000" w:rsidP="00266915">
      <w:pPr>
        <w:spacing w:after="0"/>
        <w:ind w:left="540" w:hanging="540"/>
      </w:pPr>
      <w:r>
        <w:t xml:space="preserve">Huber, M. (2005). Health-related quality of life of Austrian children and adolescents with cochlear implants. </w:t>
      </w:r>
      <w:r>
        <w:rPr>
          <w:i/>
          <w:iCs/>
        </w:rPr>
        <w:t>International Journal of Pediatric Otorhinolaryngology</w:t>
      </w:r>
      <w:r>
        <w:t xml:space="preserve">, </w:t>
      </w:r>
      <w:r>
        <w:rPr>
          <w:i/>
          <w:iCs/>
        </w:rPr>
        <w:t>69</w:t>
      </w:r>
      <w:r>
        <w:t xml:space="preserve">(8), 1089–1101. </w:t>
      </w:r>
      <w:hyperlink r:id="rId106">
        <w:r w:rsidR="009E4375">
          <w:rPr>
            <w:u w:val="single"/>
          </w:rPr>
          <w:t>https://doi.org/10.1016/j.ijporl.2005.02.018</w:t>
        </w:r>
      </w:hyperlink>
    </w:p>
    <w:p w14:paraId="10CF6FFF" w14:textId="77777777" w:rsidR="009E4375" w:rsidRDefault="00000000" w:rsidP="00266915">
      <w:pPr>
        <w:spacing w:after="0"/>
        <w:ind w:left="540" w:hanging="540"/>
        <w:rPr>
          <w:shd w:val="clear" w:color="auto" w:fill="FCFCFC"/>
        </w:rPr>
      </w:pPr>
      <w:r>
        <w:t>International Wellbeing Group</w:t>
      </w:r>
      <w:r>
        <w:rPr>
          <w:shd w:val="clear" w:color="auto" w:fill="FCFCFC"/>
        </w:rPr>
        <w:t>. (2024).</w:t>
      </w:r>
      <w:r>
        <w:rPr>
          <w:i/>
          <w:iCs/>
          <w:shd w:val="clear" w:color="auto" w:fill="FCFCFC"/>
        </w:rPr>
        <w:t xml:space="preserve"> Personal Wellbeing Index - Adult (6th ed.).</w:t>
      </w:r>
      <w:r>
        <w:rPr>
          <w:shd w:val="clear" w:color="auto" w:fill="FCFCFC"/>
        </w:rPr>
        <w:t xml:space="preserve"> Australian Centre on Quality of Life, Deakin University.  </w:t>
      </w:r>
      <w:hyperlink r:id="rId107">
        <w:r w:rsidR="009E4375">
          <w:rPr>
            <w:u w:val="single"/>
            <w:shd w:val="clear" w:color="auto" w:fill="FCFCFC"/>
          </w:rPr>
          <w:t>https://www.acqol.com.au/uploads/pwi-a/pwi-a-english.pdf</w:t>
        </w:r>
      </w:hyperlink>
    </w:p>
    <w:p w14:paraId="10CF7000" w14:textId="77777777" w:rsidR="009E4375" w:rsidRDefault="00000000" w:rsidP="00266915">
      <w:pPr>
        <w:spacing w:after="0"/>
        <w:ind w:left="540" w:hanging="540"/>
        <w:rPr>
          <w:shd w:val="clear" w:color="auto" w:fill="FCFCFC"/>
        </w:rPr>
      </w:pPr>
      <w:r>
        <w:rPr>
          <w:shd w:val="clear" w:color="auto" w:fill="FCFCFC"/>
        </w:rPr>
        <w:t xml:space="preserve">Jani, R., Alias, A. A., Awang, H., &amp; </w:t>
      </w:r>
      <w:proofErr w:type="spellStart"/>
      <w:r>
        <w:rPr>
          <w:shd w:val="clear" w:color="auto" w:fill="FCFCFC"/>
        </w:rPr>
        <w:t>Arunasalam</w:t>
      </w:r>
      <w:proofErr w:type="spellEnd"/>
      <w:r>
        <w:rPr>
          <w:shd w:val="clear" w:color="auto" w:fill="FCFCFC"/>
        </w:rPr>
        <w:t xml:space="preserve">, R. S. (2020a). Psychometric properties of the WHO quality of life disability (WHOQOL-DIS) among persons with disabilities in Malaysia. </w:t>
      </w:r>
      <w:proofErr w:type="spellStart"/>
      <w:r>
        <w:rPr>
          <w:i/>
          <w:iCs/>
          <w:shd w:val="clear" w:color="auto" w:fill="FCFCFC"/>
        </w:rPr>
        <w:t>Pertanika</w:t>
      </w:r>
      <w:proofErr w:type="spellEnd"/>
      <w:r>
        <w:rPr>
          <w:i/>
          <w:iCs/>
          <w:shd w:val="clear" w:color="auto" w:fill="FCFCFC"/>
        </w:rPr>
        <w:t xml:space="preserve"> Journal of Social Science &amp; Humanities</w:t>
      </w:r>
      <w:r>
        <w:rPr>
          <w:shd w:val="clear" w:color="auto" w:fill="FCFCFC"/>
        </w:rPr>
        <w:t xml:space="preserve">, </w:t>
      </w:r>
      <w:r>
        <w:rPr>
          <w:i/>
          <w:iCs/>
          <w:shd w:val="clear" w:color="auto" w:fill="FCFCFC"/>
        </w:rPr>
        <w:t>28</w:t>
      </w:r>
      <w:r>
        <w:rPr>
          <w:shd w:val="clear" w:color="auto" w:fill="FCFCFC"/>
        </w:rPr>
        <w:t>(3), 2113–2127.</w:t>
      </w:r>
    </w:p>
    <w:p w14:paraId="10CF7001" w14:textId="77777777" w:rsidR="009E4375" w:rsidRDefault="00000000" w:rsidP="00266915">
      <w:pPr>
        <w:spacing w:after="0"/>
        <w:ind w:left="540" w:hanging="540"/>
      </w:pPr>
      <w:r>
        <w:rPr>
          <w:shd w:val="clear" w:color="auto" w:fill="FCFCFC"/>
        </w:rPr>
        <w:t xml:space="preserve">Jani, R., Alias, A. A., Bandar, N. F. A., &amp; </w:t>
      </w:r>
      <w:proofErr w:type="spellStart"/>
      <w:r>
        <w:rPr>
          <w:shd w:val="clear" w:color="auto" w:fill="FCFCFC"/>
        </w:rPr>
        <w:t>Arunasalam</w:t>
      </w:r>
      <w:proofErr w:type="spellEnd"/>
      <w:r>
        <w:rPr>
          <w:shd w:val="clear" w:color="auto" w:fill="FCFCFC"/>
        </w:rPr>
        <w:t>, R. S. (2018</w:t>
      </w:r>
      <w:r>
        <w:t xml:space="preserve">). A comparative study on quality of life among youths with and without disabilities. </w:t>
      </w:r>
      <w:proofErr w:type="spellStart"/>
      <w:r>
        <w:rPr>
          <w:i/>
          <w:iCs/>
        </w:rPr>
        <w:t>Pertanika</w:t>
      </w:r>
      <w:proofErr w:type="spellEnd"/>
      <w:r>
        <w:rPr>
          <w:i/>
          <w:iCs/>
        </w:rPr>
        <w:t xml:space="preserve"> Journal of Social Sciences &amp; Humanities, 26</w:t>
      </w:r>
      <w:r>
        <w:t xml:space="preserve">(2), 689-703. </w:t>
      </w:r>
    </w:p>
    <w:p w14:paraId="10CF7002" w14:textId="77777777" w:rsidR="009E4375" w:rsidRDefault="00000000" w:rsidP="00266915">
      <w:pPr>
        <w:spacing w:after="0"/>
        <w:ind w:left="540" w:hanging="540"/>
      </w:pPr>
      <w:r>
        <w:t xml:space="preserve">Jani, R., Alias, A. A., &amp; Tumin, M. (2020b). Persons with disabilities’ education and quality of life: Evidence from Malaysia. </w:t>
      </w:r>
      <w:r>
        <w:rPr>
          <w:i/>
          <w:iCs/>
        </w:rPr>
        <w:t>International Journal of Inclusive Education</w:t>
      </w:r>
      <w:r>
        <w:t xml:space="preserve">, 26(8), 753-765. </w:t>
      </w:r>
      <w:hyperlink r:id="rId108">
        <w:r w:rsidR="009E4375">
          <w:rPr>
            <w:u w:val="single"/>
          </w:rPr>
          <w:t>https://doi.org/10.1080/13603116.2020.1726511</w:t>
        </w:r>
      </w:hyperlink>
    </w:p>
    <w:p w14:paraId="10CF7003" w14:textId="77777777" w:rsidR="009E4375" w:rsidRDefault="00000000" w:rsidP="00266915">
      <w:pPr>
        <w:spacing w:after="0"/>
        <w:ind w:left="540" w:hanging="540"/>
      </w:pPr>
      <w:r>
        <w:rPr>
          <w:highlight w:val="white"/>
        </w:rPr>
        <w:t xml:space="preserve">Jayasooria, D., Krishnan, B., &amp; Ooi, G. (1997). Disabled people in a newly </w:t>
      </w:r>
      <w:proofErr w:type="spellStart"/>
      <w:r>
        <w:rPr>
          <w:highlight w:val="white"/>
        </w:rPr>
        <w:t>industrialising</w:t>
      </w:r>
      <w:proofErr w:type="spellEnd"/>
      <w:r>
        <w:rPr>
          <w:highlight w:val="white"/>
        </w:rPr>
        <w:t xml:space="preserve"> economy: Opportunities and challenges in Malaysia. </w:t>
      </w:r>
      <w:r>
        <w:rPr>
          <w:i/>
          <w:iCs/>
          <w:highlight w:val="white"/>
        </w:rPr>
        <w:t>Disability &amp; Society</w:t>
      </w:r>
      <w:r>
        <w:rPr>
          <w:highlight w:val="white"/>
        </w:rPr>
        <w:t xml:space="preserve">, </w:t>
      </w:r>
      <w:r>
        <w:rPr>
          <w:i/>
          <w:iCs/>
          <w:highlight w:val="white"/>
        </w:rPr>
        <w:t>12</w:t>
      </w:r>
      <w:r>
        <w:rPr>
          <w:highlight w:val="white"/>
        </w:rPr>
        <w:t>(3), 455-463.</w:t>
      </w:r>
      <w:r>
        <w:t xml:space="preserve"> </w:t>
      </w:r>
      <w:hyperlink r:id="rId109">
        <w:r w:rsidR="009E4375">
          <w:rPr>
            <w:u w:val="single"/>
          </w:rPr>
          <w:t>https://doi.org/10.1080/09687599727281</w:t>
        </w:r>
      </w:hyperlink>
    </w:p>
    <w:p w14:paraId="10CF7004" w14:textId="77777777" w:rsidR="009E4375" w:rsidRDefault="00000000" w:rsidP="00266915">
      <w:pPr>
        <w:spacing w:after="0"/>
        <w:ind w:left="540" w:hanging="540"/>
      </w:pPr>
      <w:r>
        <w:t>Jepsen, J. B., De Clerck, G., Lutalo-</w:t>
      </w:r>
      <w:proofErr w:type="spellStart"/>
      <w:r>
        <w:t>Kiingi</w:t>
      </w:r>
      <w:proofErr w:type="spellEnd"/>
      <w:r>
        <w:t xml:space="preserve">, S., &amp; McGregor, W. B. (Eds.), (2015). </w:t>
      </w:r>
      <w:r>
        <w:rPr>
          <w:i/>
          <w:iCs/>
        </w:rPr>
        <w:t>Sign languages of the world: A comparative handbook.</w:t>
      </w:r>
      <w:r>
        <w:t xml:space="preserve"> De Gruyter Mouton.</w:t>
      </w:r>
    </w:p>
    <w:p w14:paraId="10CF7005" w14:textId="77777777" w:rsidR="009E4375" w:rsidRDefault="00000000" w:rsidP="00266915">
      <w:pPr>
        <w:spacing w:after="0"/>
        <w:ind w:left="540" w:hanging="540"/>
      </w:pPr>
      <w:r>
        <w:lastRenderedPageBreak/>
        <w:t xml:space="preserve">Johnston, T. A. (1989). </w:t>
      </w:r>
      <w:proofErr w:type="spellStart"/>
      <w:r>
        <w:rPr>
          <w:i/>
          <w:iCs/>
        </w:rPr>
        <w:t>Auslan</w:t>
      </w:r>
      <w:proofErr w:type="spellEnd"/>
      <w:r>
        <w:rPr>
          <w:i/>
          <w:iCs/>
        </w:rPr>
        <w:t xml:space="preserve">: The sign language of the Australian deaf community. </w:t>
      </w:r>
      <w:r>
        <w:t xml:space="preserve">[Unpublished doctoral dissertation] Sydney: University of Sydney. </w:t>
      </w:r>
      <w:hyperlink r:id="rId110">
        <w:r w:rsidR="009E4375">
          <w:rPr>
            <w:u w:val="single"/>
          </w:rPr>
          <w:t>https://www.academia.edu/download/5264124/Johnston_PhD_Dissertation.pdf</w:t>
        </w:r>
      </w:hyperlink>
    </w:p>
    <w:p w14:paraId="10CF7006" w14:textId="77777777" w:rsidR="009E4375" w:rsidRDefault="00000000" w:rsidP="00266915">
      <w:pPr>
        <w:spacing w:after="0"/>
        <w:ind w:left="540" w:hanging="540"/>
      </w:pPr>
      <w:r>
        <w:t xml:space="preserve">Jozefiak, T., Larsson, B., </w:t>
      </w:r>
      <w:proofErr w:type="spellStart"/>
      <w:r>
        <w:t>Wichstrøm</w:t>
      </w:r>
      <w:proofErr w:type="spellEnd"/>
      <w:r>
        <w:t xml:space="preserve">, L., </w:t>
      </w:r>
      <w:proofErr w:type="spellStart"/>
      <w:r>
        <w:t>Mattejat</w:t>
      </w:r>
      <w:proofErr w:type="spellEnd"/>
      <w:r>
        <w:t>, F., &amp; Ravens-</w:t>
      </w:r>
      <w:proofErr w:type="spellStart"/>
      <w:r>
        <w:t>Sieberer</w:t>
      </w:r>
      <w:proofErr w:type="spellEnd"/>
      <w:r>
        <w:t>, U. (2008). Quality of Life as reported by school children and their parents: A cross-sectional survey.</w:t>
      </w:r>
      <w:r>
        <w:rPr>
          <w:i/>
          <w:iCs/>
        </w:rPr>
        <w:t xml:space="preserve"> Health and Quality of Life Outcomes, 6</w:t>
      </w:r>
      <w:r>
        <w:t xml:space="preserve">(1), 34–34. </w:t>
      </w:r>
      <w:hyperlink r:id="rId111">
        <w:r w:rsidR="009E4375">
          <w:rPr>
            <w:u w:val="single"/>
          </w:rPr>
          <w:t>https://doi.org/10.1186/1477-7525-6-34</w:t>
        </w:r>
      </w:hyperlink>
    </w:p>
    <w:p w14:paraId="10CF7007" w14:textId="77777777" w:rsidR="009E4375" w:rsidRDefault="00000000" w:rsidP="00266915">
      <w:pPr>
        <w:spacing w:after="0"/>
        <w:ind w:left="540" w:hanging="540"/>
      </w:pPr>
      <w:r>
        <w:rPr>
          <w:highlight w:val="white"/>
        </w:rPr>
        <w:t xml:space="preserve">Jozefiak, T., Larsson, B., </w:t>
      </w:r>
      <w:proofErr w:type="spellStart"/>
      <w:r>
        <w:rPr>
          <w:highlight w:val="white"/>
        </w:rPr>
        <w:t>Wichstrøm</w:t>
      </w:r>
      <w:proofErr w:type="spellEnd"/>
      <w:r>
        <w:rPr>
          <w:highlight w:val="white"/>
        </w:rPr>
        <w:t xml:space="preserve">, L., &amp; </w:t>
      </w:r>
      <w:proofErr w:type="spellStart"/>
      <w:r>
        <w:rPr>
          <w:highlight w:val="white"/>
        </w:rPr>
        <w:t>Rimehaug</w:t>
      </w:r>
      <w:proofErr w:type="spellEnd"/>
      <w:r>
        <w:rPr>
          <w:highlight w:val="white"/>
        </w:rPr>
        <w:t>, T. (2012). Competence and emotional/</w:t>
      </w:r>
      <w:proofErr w:type="spellStart"/>
      <w:r>
        <w:rPr>
          <w:highlight w:val="white"/>
        </w:rPr>
        <w:t>behavioural</w:t>
      </w:r>
      <w:proofErr w:type="spellEnd"/>
      <w:r>
        <w:rPr>
          <w:highlight w:val="white"/>
        </w:rPr>
        <w:t xml:space="preserve"> problems in 7–16-year-old Norwegian school children as reported by parents. </w:t>
      </w:r>
      <w:r>
        <w:rPr>
          <w:i/>
          <w:iCs/>
          <w:highlight w:val="white"/>
        </w:rPr>
        <w:t>Nordic Journal of Psychiatry</w:t>
      </w:r>
      <w:r>
        <w:rPr>
          <w:highlight w:val="white"/>
        </w:rPr>
        <w:t xml:space="preserve">, </w:t>
      </w:r>
      <w:r>
        <w:rPr>
          <w:i/>
          <w:iCs/>
          <w:highlight w:val="white"/>
        </w:rPr>
        <w:t>66</w:t>
      </w:r>
      <w:r>
        <w:rPr>
          <w:highlight w:val="white"/>
        </w:rPr>
        <w:t xml:space="preserve">(5), 311–319. </w:t>
      </w:r>
      <w:hyperlink r:id="rId112">
        <w:r w:rsidR="009E4375">
          <w:rPr>
            <w:highlight w:val="white"/>
            <w:u w:val="single"/>
          </w:rPr>
          <w:t>https://doi.org/10.3109/08039488.2011.638934</w:t>
        </w:r>
      </w:hyperlink>
    </w:p>
    <w:p w14:paraId="10CF7008" w14:textId="77777777" w:rsidR="009E4375" w:rsidRDefault="00000000" w:rsidP="00266915">
      <w:pPr>
        <w:spacing w:after="0"/>
        <w:ind w:left="540" w:hanging="540"/>
      </w:pPr>
      <w:r>
        <w:t xml:space="preserve">Karinen, P. J., </w:t>
      </w:r>
      <w:proofErr w:type="spellStart"/>
      <w:r>
        <w:t>Sorri</w:t>
      </w:r>
      <w:proofErr w:type="spellEnd"/>
      <w:r>
        <w:t xml:space="preserve">, M. J., Välimaa, T. T., Huttunen, K. H., &amp; </w:t>
      </w:r>
      <w:proofErr w:type="spellStart"/>
      <w:r>
        <w:t>Löppönen</w:t>
      </w:r>
      <w:proofErr w:type="spellEnd"/>
      <w:r>
        <w:t xml:space="preserve">, H. J. (2001). Cochlear implant patients and quality of life. </w:t>
      </w:r>
      <w:r>
        <w:rPr>
          <w:i/>
          <w:iCs/>
        </w:rPr>
        <w:t>Scandinavian Audiology</w:t>
      </w:r>
      <w:r>
        <w:t xml:space="preserve">, </w:t>
      </w:r>
      <w:r>
        <w:rPr>
          <w:i/>
          <w:iCs/>
        </w:rPr>
        <w:t>30</w:t>
      </w:r>
      <w:r>
        <w:t xml:space="preserve">(1), 48–50. </w:t>
      </w:r>
      <w:hyperlink r:id="rId113">
        <w:r w:rsidR="009E4375">
          <w:rPr>
            <w:u w:val="single"/>
          </w:rPr>
          <w:t>https://doi.org/10.1080/010503901300007047</w:t>
        </w:r>
      </w:hyperlink>
    </w:p>
    <w:p w14:paraId="10CF7009" w14:textId="77777777" w:rsidR="009E4375" w:rsidRDefault="00000000" w:rsidP="00266915">
      <w:pPr>
        <w:spacing w:after="0"/>
        <w:ind w:left="540" w:hanging="540"/>
      </w:pPr>
      <w:r>
        <w:t xml:space="preserve">Kelly-Campbell, R. J., &amp; Atcherson, S. R. (2012). Perception of quality of life for adults with hearing impairment in the LGBT community. </w:t>
      </w:r>
      <w:r>
        <w:rPr>
          <w:i/>
          <w:iCs/>
        </w:rPr>
        <w:t>Journal of Communication Disorders</w:t>
      </w:r>
      <w:r>
        <w:t xml:space="preserve">, </w:t>
      </w:r>
      <w:r>
        <w:rPr>
          <w:i/>
          <w:iCs/>
        </w:rPr>
        <w:t>45</w:t>
      </w:r>
      <w:r>
        <w:t xml:space="preserve">(5), 367–377. </w:t>
      </w:r>
      <w:hyperlink r:id="rId114">
        <w:r w:rsidR="009E4375">
          <w:rPr>
            <w:u w:val="single"/>
          </w:rPr>
          <w:t>https://doi.org/10.1016/j.jcomdis.2012.05.002</w:t>
        </w:r>
      </w:hyperlink>
    </w:p>
    <w:p w14:paraId="10CF700A" w14:textId="77777777" w:rsidR="009E4375" w:rsidRDefault="00000000" w:rsidP="00266915">
      <w:pPr>
        <w:spacing w:after="0"/>
        <w:ind w:left="540" w:hanging="540"/>
      </w:pPr>
      <w:r w:rsidRPr="001F367A">
        <w:rPr>
          <w:lang w:val="fi-FI"/>
        </w:rPr>
        <w:t xml:space="preserve">Keogh, B. K., &amp; Pullis, M. E. (1980). </w:t>
      </w:r>
      <w:r>
        <w:t xml:space="preserve">Temperament </w:t>
      </w:r>
      <w:proofErr w:type="gramStart"/>
      <w:r>
        <w:t>influences on</w:t>
      </w:r>
      <w:proofErr w:type="gramEnd"/>
      <w:r>
        <w:t xml:space="preserve"> the development of exceptional children. </w:t>
      </w:r>
      <w:r>
        <w:rPr>
          <w:i/>
          <w:iCs/>
        </w:rPr>
        <w:t>Advances in special education</w:t>
      </w:r>
      <w:r>
        <w:t xml:space="preserve">, </w:t>
      </w:r>
      <w:r>
        <w:rPr>
          <w:i/>
          <w:iCs/>
        </w:rPr>
        <w:t>1</w:t>
      </w:r>
      <w:r>
        <w:t>, 239-276.</w:t>
      </w:r>
    </w:p>
    <w:p w14:paraId="10CF700B" w14:textId="77777777" w:rsidR="009E4375" w:rsidRDefault="00000000" w:rsidP="00266915">
      <w:pPr>
        <w:spacing w:after="0"/>
        <w:ind w:left="540" w:hanging="540"/>
        <w:rPr>
          <w:u w:val="single"/>
        </w:rPr>
      </w:pPr>
      <w:r>
        <w:rPr>
          <w:highlight w:val="white"/>
        </w:rPr>
        <w:t xml:space="preserve">Kober, R., &amp; Eggleton, I. R. (2002). Factor stability of the </w:t>
      </w:r>
      <w:proofErr w:type="gramStart"/>
      <w:r>
        <w:rPr>
          <w:highlight w:val="white"/>
        </w:rPr>
        <w:t>quality of life</w:t>
      </w:r>
      <w:proofErr w:type="gramEnd"/>
      <w:r>
        <w:rPr>
          <w:highlight w:val="white"/>
        </w:rPr>
        <w:t xml:space="preserve"> questionnaire. </w:t>
      </w:r>
      <w:r>
        <w:rPr>
          <w:i/>
          <w:iCs/>
          <w:highlight w:val="white"/>
        </w:rPr>
        <w:t>Mental Retardation</w:t>
      </w:r>
      <w:r>
        <w:rPr>
          <w:highlight w:val="white"/>
        </w:rPr>
        <w:t xml:space="preserve">, </w:t>
      </w:r>
      <w:r>
        <w:rPr>
          <w:i/>
          <w:iCs/>
          <w:highlight w:val="white"/>
        </w:rPr>
        <w:t>40</w:t>
      </w:r>
      <w:r>
        <w:rPr>
          <w:highlight w:val="white"/>
        </w:rPr>
        <w:t xml:space="preserve">(2), 157-165. </w:t>
      </w:r>
      <w:r>
        <w:rPr>
          <w:highlight w:val="white"/>
          <w:u w:val="single"/>
        </w:rPr>
        <w:t>https://doi.org/10.1352/0047-6765(2002)040&lt;</w:t>
      </w:r>
      <w:proofErr w:type="gramStart"/>
      <w:r>
        <w:rPr>
          <w:highlight w:val="white"/>
          <w:u w:val="single"/>
        </w:rPr>
        <w:t>0157:FSOTSA</w:t>
      </w:r>
      <w:proofErr w:type="gramEnd"/>
      <w:r>
        <w:rPr>
          <w:highlight w:val="white"/>
          <w:u w:val="single"/>
        </w:rPr>
        <w:t>&gt;2.0.CO;2</w:t>
      </w:r>
    </w:p>
    <w:p w14:paraId="10CF700C" w14:textId="77777777" w:rsidR="009E4375" w:rsidRDefault="00000000" w:rsidP="00266915">
      <w:pPr>
        <w:spacing w:after="0"/>
        <w:ind w:left="540" w:hanging="540"/>
      </w:pPr>
      <w:proofErr w:type="spellStart"/>
      <w:r>
        <w:t>Kushalnagar</w:t>
      </w:r>
      <w:proofErr w:type="spellEnd"/>
      <w:r>
        <w:t xml:space="preserve">, P., Topolski, T. D., Schick, B., Edwards, T. C., Skalicky, A. M., &amp; Patrick, D. L. (2011). Mode of communication, perceived level of understanding, and perceived quality of life in youth who are deaf or hard of hearing. </w:t>
      </w:r>
      <w:r>
        <w:rPr>
          <w:i/>
          <w:iCs/>
        </w:rPr>
        <w:t>Journal of Deaf Studies and Deaf Education</w:t>
      </w:r>
      <w:r>
        <w:t xml:space="preserve">, </w:t>
      </w:r>
      <w:r>
        <w:rPr>
          <w:i/>
          <w:iCs/>
        </w:rPr>
        <w:t>16</w:t>
      </w:r>
      <w:r>
        <w:t xml:space="preserve">(4), 512–523. </w:t>
      </w:r>
      <w:hyperlink r:id="rId115">
        <w:r w:rsidR="009E4375">
          <w:rPr>
            <w:u w:val="single"/>
          </w:rPr>
          <w:t>https://doi.org/10.1093/deafed/enr015</w:t>
        </w:r>
      </w:hyperlink>
    </w:p>
    <w:p w14:paraId="10CF700D" w14:textId="77777777" w:rsidR="009E4375" w:rsidRDefault="00000000" w:rsidP="00266915">
      <w:pPr>
        <w:spacing w:after="0"/>
        <w:ind w:left="540" w:hanging="540"/>
      </w:pPr>
      <w:proofErr w:type="spellStart"/>
      <w:r>
        <w:lastRenderedPageBreak/>
        <w:t>Kushalnagar</w:t>
      </w:r>
      <w:proofErr w:type="spellEnd"/>
      <w:r>
        <w:t xml:space="preserve">, P., McKee, M., Smith, S. R., Hopper, M., Kavin, D., &amp; Atcherson, S. R. (2014). Conceptual model for quality of life among adults with congenital or early deafness. </w:t>
      </w:r>
      <w:r>
        <w:rPr>
          <w:i/>
          <w:iCs/>
        </w:rPr>
        <w:t>Disability and Health Journal</w:t>
      </w:r>
      <w:r>
        <w:t xml:space="preserve">, </w:t>
      </w:r>
      <w:r>
        <w:rPr>
          <w:i/>
          <w:iCs/>
        </w:rPr>
        <w:t>7</w:t>
      </w:r>
      <w:r>
        <w:t xml:space="preserve">(3), 350–355. </w:t>
      </w:r>
      <w:hyperlink r:id="rId116">
        <w:r w:rsidR="009E4375">
          <w:rPr>
            <w:u w:val="single"/>
          </w:rPr>
          <w:t>https://doi.org/10.1016/j.dhjo.2014.04.001</w:t>
        </w:r>
      </w:hyperlink>
    </w:p>
    <w:p w14:paraId="10CF700E" w14:textId="77777777" w:rsidR="009E4375" w:rsidRDefault="00000000" w:rsidP="00266915">
      <w:pPr>
        <w:spacing w:after="0"/>
        <w:ind w:left="540" w:hanging="540"/>
      </w:pPr>
      <w:r>
        <w:t xml:space="preserve">La </w:t>
      </w:r>
      <w:proofErr w:type="spellStart"/>
      <w:r>
        <w:t>Grutta</w:t>
      </w:r>
      <w:proofErr w:type="spellEnd"/>
      <w:r>
        <w:t xml:space="preserve">, S., Piombo, M. A., Spicuzza, V., Riolo, M., Fanara, I., </w:t>
      </w:r>
      <w:proofErr w:type="spellStart"/>
      <w:r>
        <w:t>Trombini</w:t>
      </w:r>
      <w:proofErr w:type="spellEnd"/>
      <w:r>
        <w:t xml:space="preserve">, E., Andrei, F., &amp; Epifanio, M. S. (2023). The relationship between knowing sign language and quality of life among Italian people who are deaf: A cross-sectional study. </w:t>
      </w:r>
      <w:r>
        <w:rPr>
          <w:i/>
          <w:iCs/>
        </w:rPr>
        <w:t>Healthcare (Basel)</w:t>
      </w:r>
      <w:r>
        <w:t xml:space="preserve">, </w:t>
      </w:r>
      <w:r>
        <w:rPr>
          <w:i/>
          <w:iCs/>
        </w:rPr>
        <w:t>11</w:t>
      </w:r>
      <w:r>
        <w:t xml:space="preserve">(7), 1021-. </w:t>
      </w:r>
      <w:hyperlink r:id="rId117">
        <w:r w:rsidR="009E4375">
          <w:rPr>
            <w:u w:val="single"/>
          </w:rPr>
          <w:t>https://doi.org/10.3390/healthcare11071021</w:t>
        </w:r>
      </w:hyperlink>
    </w:p>
    <w:p w14:paraId="10CF700F" w14:textId="77777777" w:rsidR="009E4375" w:rsidRDefault="00000000" w:rsidP="00266915">
      <w:pPr>
        <w:spacing w:after="0"/>
        <w:ind w:left="540" w:hanging="540"/>
        <w:rPr>
          <w:highlight w:val="white"/>
        </w:rPr>
      </w:pPr>
      <w:r>
        <w:rPr>
          <w:highlight w:val="white"/>
        </w:rPr>
        <w:t xml:space="preserve">Lane, H. (1992). </w:t>
      </w:r>
      <w:r>
        <w:rPr>
          <w:i/>
          <w:iCs/>
          <w:highlight w:val="white"/>
        </w:rPr>
        <w:t>The mask of benevolence: Disabling the Deaf community.</w:t>
      </w:r>
      <w:r>
        <w:rPr>
          <w:highlight w:val="white"/>
        </w:rPr>
        <w:t xml:space="preserve"> </w:t>
      </w:r>
      <w:proofErr w:type="spellStart"/>
      <w:r>
        <w:rPr>
          <w:highlight w:val="white"/>
        </w:rPr>
        <w:t>DawnSign</w:t>
      </w:r>
      <w:proofErr w:type="spellEnd"/>
      <w:r>
        <w:rPr>
          <w:highlight w:val="white"/>
        </w:rPr>
        <w:t xml:space="preserve"> Press. </w:t>
      </w:r>
    </w:p>
    <w:p w14:paraId="10CF7010" w14:textId="77777777" w:rsidR="009E4375" w:rsidRDefault="00000000" w:rsidP="00266915">
      <w:pPr>
        <w:spacing w:after="0"/>
        <w:ind w:left="540" w:hanging="540"/>
        <w:rPr>
          <w:highlight w:val="white"/>
        </w:rPr>
      </w:pPr>
      <w:r w:rsidRPr="001F367A">
        <w:rPr>
          <w:highlight w:val="white"/>
          <w:lang w:val="nb-NO"/>
        </w:rPr>
        <w:t xml:space="preserve">Lane, H., Hoffmeister, R., &amp; Bahan, B. (1996). </w:t>
      </w:r>
      <w:r>
        <w:rPr>
          <w:i/>
          <w:iCs/>
          <w:highlight w:val="white"/>
        </w:rPr>
        <w:t xml:space="preserve">A Journey into the </w:t>
      </w:r>
      <w:proofErr w:type="gramStart"/>
      <w:r>
        <w:rPr>
          <w:i/>
          <w:iCs/>
          <w:highlight w:val="white"/>
        </w:rPr>
        <w:t>Deaf-World</w:t>
      </w:r>
      <w:proofErr w:type="gramEnd"/>
      <w:r>
        <w:rPr>
          <w:i/>
          <w:iCs/>
          <w:highlight w:val="white"/>
        </w:rPr>
        <w:t>.</w:t>
      </w:r>
      <w:r>
        <w:rPr>
          <w:highlight w:val="white"/>
        </w:rPr>
        <w:t xml:space="preserve"> </w:t>
      </w:r>
      <w:proofErr w:type="spellStart"/>
      <w:r>
        <w:rPr>
          <w:highlight w:val="white"/>
        </w:rPr>
        <w:t>DawnSign</w:t>
      </w:r>
      <w:proofErr w:type="spellEnd"/>
      <w:r>
        <w:rPr>
          <w:highlight w:val="white"/>
        </w:rPr>
        <w:t xml:space="preserve"> Press.</w:t>
      </w:r>
    </w:p>
    <w:p w14:paraId="10CF7011" w14:textId="77777777" w:rsidR="009E4375" w:rsidRDefault="00000000" w:rsidP="00266915">
      <w:pPr>
        <w:spacing w:after="0"/>
        <w:ind w:left="540" w:hanging="540"/>
        <w:rPr>
          <w:highlight w:val="white"/>
        </w:rPr>
      </w:pPr>
      <w:r>
        <w:rPr>
          <w:highlight w:val="white"/>
        </w:rPr>
        <w:t>Lawrence, S. (1994). Interpreter discourse: English to ASL expansi</w:t>
      </w:r>
      <w:r>
        <w:t xml:space="preserve">on. In S. Livingston, B. Singer, &amp; T. Abramson, </w:t>
      </w:r>
      <w:r>
        <w:rPr>
          <w:i/>
          <w:iCs/>
        </w:rPr>
        <w:t>Mapping our course: A collaborativ</w:t>
      </w:r>
      <w:r>
        <w:rPr>
          <w:i/>
          <w:iCs/>
          <w:highlight w:val="white"/>
        </w:rPr>
        <w:t>e venture, Proceedings of the tenth national convention of the conference of interpreter trainers</w:t>
      </w:r>
      <w:r>
        <w:rPr>
          <w:highlight w:val="white"/>
        </w:rPr>
        <w:t xml:space="preserve"> (pp. 205-216). </w:t>
      </w:r>
    </w:p>
    <w:p w14:paraId="10CF7012" w14:textId="77777777" w:rsidR="009E4375" w:rsidRDefault="00000000" w:rsidP="00266915">
      <w:pPr>
        <w:spacing w:after="0"/>
        <w:ind w:left="540" w:hanging="540"/>
        <w:rPr>
          <w:highlight w:val="white"/>
        </w:rPr>
      </w:pPr>
      <w:r>
        <w:t>Lawrence, S. (2003). Int</w:t>
      </w:r>
      <w:r>
        <w:rPr>
          <w:highlight w:val="white"/>
        </w:rPr>
        <w:t xml:space="preserve">erpreter discourse: English to ASL expansion (Rev). [CD-ROM]. In L. Finton, R. Simith, K. Finton, P. Graybill, C. Lomeo, R. Peterson, J. Redman, L. A. Siple, National Technical Institute for the Deaf, </w:t>
      </w:r>
      <w:r>
        <w:rPr>
          <w:i/>
          <w:iCs/>
          <w:highlight w:val="white"/>
        </w:rPr>
        <w:t xml:space="preserve">Interpreter Discourse: English to ASL expansion/ASL to English Compression. </w:t>
      </w:r>
      <w:r>
        <w:rPr>
          <w:highlight w:val="white"/>
        </w:rPr>
        <w:t xml:space="preserve">National Technical Institute for the Deaf, Rochester Institute of Technology. </w:t>
      </w:r>
    </w:p>
    <w:p w14:paraId="10CF7013" w14:textId="77777777" w:rsidR="009E4375" w:rsidRDefault="00000000" w:rsidP="00266915">
      <w:pPr>
        <w:spacing w:after="0"/>
        <w:ind w:left="540" w:hanging="540"/>
      </w:pPr>
      <w:r w:rsidRPr="00D43BCC">
        <w:rPr>
          <w:lang w:val="fr-FR"/>
        </w:rPr>
        <w:t xml:space="preserve">Lazarus, R. S., &amp; </w:t>
      </w:r>
      <w:proofErr w:type="spellStart"/>
      <w:r w:rsidRPr="00D43BCC">
        <w:rPr>
          <w:lang w:val="fr-FR"/>
        </w:rPr>
        <w:t>Launier</w:t>
      </w:r>
      <w:proofErr w:type="spellEnd"/>
      <w:r w:rsidRPr="00D43BCC">
        <w:rPr>
          <w:lang w:val="fr-FR"/>
        </w:rPr>
        <w:t xml:space="preserve">, R. (1979). </w:t>
      </w:r>
      <w:r>
        <w:t xml:space="preserve">Stress-related transactions between person and environment. In L. Pervin &amp; M. Lewis (Eds.). </w:t>
      </w:r>
      <w:r>
        <w:rPr>
          <w:i/>
          <w:iCs/>
        </w:rPr>
        <w:t>Perspectives in Interactional Psychology</w:t>
      </w:r>
      <w:r>
        <w:t xml:space="preserve"> (pp. 142-</w:t>
      </w:r>
      <w:proofErr w:type="gramStart"/>
      <w:r>
        <w:t>156 )</w:t>
      </w:r>
      <w:proofErr w:type="gramEnd"/>
      <w:r>
        <w:t>. Plenum Press.</w:t>
      </w:r>
    </w:p>
    <w:p w14:paraId="10CF7014" w14:textId="77777777" w:rsidR="009E4375" w:rsidRDefault="00000000" w:rsidP="00266915">
      <w:pPr>
        <w:spacing w:after="0"/>
        <w:ind w:left="540" w:hanging="540"/>
        <w:rPr>
          <w:highlight w:val="white"/>
        </w:rPr>
      </w:pPr>
      <w:r>
        <w:rPr>
          <w:highlight w:val="white"/>
        </w:rPr>
        <w:t xml:space="preserve">Lee, W. Y., Tan, J. T. A., &amp; Kok, J. K. (2022). The struggle to fit in: A qualitative study on the sense of belonging and well-being of deaf people in Ipoh, Perak, Malaysia. </w:t>
      </w:r>
      <w:r>
        <w:rPr>
          <w:i/>
          <w:iCs/>
          <w:highlight w:val="white"/>
        </w:rPr>
        <w:lastRenderedPageBreak/>
        <w:t>Psychological Studies</w:t>
      </w:r>
      <w:r>
        <w:rPr>
          <w:highlight w:val="white"/>
        </w:rPr>
        <w:t xml:space="preserve">, </w:t>
      </w:r>
      <w:r>
        <w:rPr>
          <w:i/>
          <w:iCs/>
          <w:highlight w:val="white"/>
        </w:rPr>
        <w:t>67</w:t>
      </w:r>
      <w:r>
        <w:rPr>
          <w:highlight w:val="white"/>
        </w:rPr>
        <w:t xml:space="preserve">(3), 385–400. </w:t>
      </w:r>
      <w:hyperlink r:id="rId118">
        <w:r w:rsidR="009E4375">
          <w:rPr>
            <w:highlight w:val="white"/>
            <w:u w:val="single"/>
          </w:rPr>
          <w:t>https://doi.org/10.1007/s12646-022-00658-7</w:t>
        </w:r>
      </w:hyperlink>
    </w:p>
    <w:p w14:paraId="10CF7015" w14:textId="77777777" w:rsidR="009E4375" w:rsidRDefault="00000000" w:rsidP="00266915">
      <w:pPr>
        <w:spacing w:after="0"/>
        <w:ind w:left="540" w:hanging="540"/>
      </w:pPr>
      <w:r>
        <w:t xml:space="preserve">Lehman, A. F. (1988). A </w:t>
      </w:r>
      <w:proofErr w:type="gramStart"/>
      <w:r>
        <w:t>quality of life</w:t>
      </w:r>
      <w:proofErr w:type="gramEnd"/>
      <w:r>
        <w:t xml:space="preserve"> interview for the chronically mentally ill. </w:t>
      </w:r>
      <w:r>
        <w:rPr>
          <w:i/>
          <w:iCs/>
        </w:rPr>
        <w:t>Evaluation and Program Planning, 11</w:t>
      </w:r>
      <w:r>
        <w:t xml:space="preserve">(1), 51–62. </w:t>
      </w:r>
      <w:hyperlink r:id="rId119">
        <w:r w:rsidR="009E4375">
          <w:rPr>
            <w:u w:val="single"/>
          </w:rPr>
          <w:t>https://doi.org/10.1016/0149-7189(88)90033-X</w:t>
        </w:r>
      </w:hyperlink>
    </w:p>
    <w:p w14:paraId="10CF7016" w14:textId="77777777" w:rsidR="009E4375" w:rsidRDefault="00000000" w:rsidP="00266915">
      <w:pPr>
        <w:spacing w:after="0"/>
        <w:ind w:left="540" w:hanging="540"/>
      </w:pPr>
      <w:r>
        <w:t xml:space="preserve">Lin, F. R., &amp; </w:t>
      </w:r>
      <w:proofErr w:type="spellStart"/>
      <w:r>
        <w:t>Niparko</w:t>
      </w:r>
      <w:proofErr w:type="spellEnd"/>
      <w:r>
        <w:t xml:space="preserve">, J. K. (2006). Measuring health-related quality of life after pediatric cochlear implantation: A systematic review. </w:t>
      </w:r>
      <w:r>
        <w:rPr>
          <w:i/>
          <w:iCs/>
        </w:rPr>
        <w:t>International Journal of Pediatric Otorhinolaryngology</w:t>
      </w:r>
      <w:r>
        <w:t xml:space="preserve">, </w:t>
      </w:r>
      <w:r>
        <w:rPr>
          <w:i/>
          <w:iCs/>
        </w:rPr>
        <w:t>70</w:t>
      </w:r>
      <w:r>
        <w:t xml:space="preserve">(10), 1695–1706. </w:t>
      </w:r>
      <w:hyperlink r:id="rId120">
        <w:r w:rsidR="009E4375">
          <w:rPr>
            <w:u w:val="single"/>
          </w:rPr>
          <w:t>https://doi.org/10.1016/j.ijporl.2006.05.009</w:t>
        </w:r>
      </w:hyperlink>
    </w:p>
    <w:p w14:paraId="10CF7017" w14:textId="77777777" w:rsidR="009E4375" w:rsidRDefault="00000000" w:rsidP="00266915">
      <w:pPr>
        <w:spacing w:after="0"/>
        <w:ind w:left="540" w:hanging="540"/>
      </w:pPr>
      <w:r>
        <w:t xml:space="preserve">Lipton, D. S., Goldstein, M. F., Fahnbulleh, F. W., &amp; Gertz, E. N. (1996). The Interactive Video-Questionnaire: </w:t>
      </w:r>
      <w:proofErr w:type="gramStart"/>
      <w:r>
        <w:t>A New</w:t>
      </w:r>
      <w:proofErr w:type="gramEnd"/>
      <w:r>
        <w:t xml:space="preserve"> Technology for Interviewing Deaf Persons. </w:t>
      </w:r>
      <w:r>
        <w:rPr>
          <w:i/>
          <w:iCs/>
        </w:rPr>
        <w:t>American Annals of the Deaf</w:t>
      </w:r>
      <w:r>
        <w:t xml:space="preserve">, </w:t>
      </w:r>
      <w:r>
        <w:rPr>
          <w:i/>
          <w:iCs/>
        </w:rPr>
        <w:t>141</w:t>
      </w:r>
      <w:r>
        <w:t xml:space="preserve">(5), 370–378. </w:t>
      </w:r>
      <w:hyperlink r:id="rId121">
        <w:r w:rsidR="009E4375">
          <w:rPr>
            <w:u w:val="single"/>
          </w:rPr>
          <w:t>https://doi.org/10.1353/aad.2012.0228</w:t>
        </w:r>
      </w:hyperlink>
    </w:p>
    <w:p w14:paraId="10CF7018" w14:textId="77777777" w:rsidR="009E4375" w:rsidRDefault="00000000" w:rsidP="00266915">
      <w:pPr>
        <w:spacing w:after="0"/>
        <w:ind w:left="540" w:hanging="540"/>
      </w:pPr>
      <w:r>
        <w:t xml:space="preserve">Liu, H., Liu, H.-X., Kang, H.-Y., Gu, Z., &amp; Hong, S.-L. (2016). Evaluation on health-related quality of life in deaf children with cochlear implant in China. </w:t>
      </w:r>
      <w:r>
        <w:rPr>
          <w:i/>
          <w:iCs/>
        </w:rPr>
        <w:t>International Journal of Pediatric Otorhinolaryngology</w:t>
      </w:r>
      <w:r>
        <w:t xml:space="preserve">, </w:t>
      </w:r>
      <w:r>
        <w:rPr>
          <w:i/>
          <w:iCs/>
        </w:rPr>
        <w:t>88</w:t>
      </w:r>
      <w:r>
        <w:t xml:space="preserve">, 136–141. </w:t>
      </w:r>
      <w:hyperlink r:id="rId122">
        <w:r w:rsidR="009E4375">
          <w:rPr>
            <w:u w:val="single"/>
          </w:rPr>
          <w:t>https://doi.org/10.1016/j.ijporl.2016.06.027</w:t>
        </w:r>
      </w:hyperlink>
    </w:p>
    <w:p w14:paraId="10CF7019" w14:textId="77777777" w:rsidR="009E4375" w:rsidRDefault="00000000" w:rsidP="00266915">
      <w:pPr>
        <w:spacing w:after="0"/>
        <w:ind w:left="540" w:hanging="540"/>
      </w:pPr>
      <w:r w:rsidRPr="00D43BCC">
        <w:rPr>
          <w:lang w:val="fi-FI"/>
        </w:rPr>
        <w:t xml:space="preserve">Looi, V., Lee, Z. Z., &amp; Loo, J. H. Y. (2016). </w:t>
      </w:r>
      <w:r>
        <w:t xml:space="preserve">Quality of life outcomes for children with hearing impairment in Singapore. </w:t>
      </w:r>
      <w:r>
        <w:rPr>
          <w:i/>
          <w:iCs/>
        </w:rPr>
        <w:t>International Journal of Pediatric Otorhinolaryngology</w:t>
      </w:r>
      <w:r>
        <w:t xml:space="preserve">, </w:t>
      </w:r>
      <w:r>
        <w:rPr>
          <w:i/>
          <w:iCs/>
        </w:rPr>
        <w:t>80</w:t>
      </w:r>
      <w:r>
        <w:t xml:space="preserve">, 88–100. </w:t>
      </w:r>
      <w:hyperlink r:id="rId123">
        <w:r w:rsidR="009E4375">
          <w:rPr>
            <w:u w:val="single"/>
          </w:rPr>
          <w:t>https://doi.org/10.1016/j.ijporl.2015.11.011</w:t>
        </w:r>
      </w:hyperlink>
    </w:p>
    <w:p w14:paraId="10CF701A" w14:textId="77777777" w:rsidR="009E4375" w:rsidRDefault="00000000" w:rsidP="00266915">
      <w:pPr>
        <w:spacing w:after="0"/>
        <w:ind w:left="540" w:hanging="540"/>
      </w:pPr>
      <w:r>
        <w:t xml:space="preserve">Lotfy, N. A. (2020). Validity and reliability of the Arabic version of the "Personal Wellbeing Index-Adults" on adults with hearing impairment. </w:t>
      </w:r>
      <w:r>
        <w:rPr>
          <w:i/>
          <w:iCs/>
        </w:rPr>
        <w:t>Health Promotion Perspectives</w:t>
      </w:r>
      <w:r>
        <w:t xml:space="preserve">, </w:t>
      </w:r>
      <w:r>
        <w:rPr>
          <w:i/>
          <w:iCs/>
        </w:rPr>
        <w:t>10</w:t>
      </w:r>
      <w:r>
        <w:t xml:space="preserve">(3), 250. </w:t>
      </w:r>
      <w:hyperlink r:id="rId124">
        <w:r w:rsidR="009E4375">
          <w:rPr>
            <w:u w:val="single"/>
          </w:rPr>
          <w:t>https://doi.org/10.34172/hpp.2020.39</w:t>
        </w:r>
      </w:hyperlink>
    </w:p>
    <w:p w14:paraId="10CF701B" w14:textId="77777777" w:rsidR="009E4375" w:rsidRDefault="00000000" w:rsidP="00266915">
      <w:pPr>
        <w:spacing w:after="0"/>
        <w:ind w:left="540" w:hanging="540"/>
        <w:rPr>
          <w:highlight w:val="white"/>
        </w:rPr>
      </w:pPr>
      <w:r>
        <w:rPr>
          <w:highlight w:val="white"/>
        </w:rPr>
        <w:t xml:space="preserve">Loy, B., Warner-Czyz, A. D., Tong, L., Tobey, E. A., &amp; Roland, P. S. (2010). The children speak: An examination of the quality of life of pediatric cochlear implant users. </w:t>
      </w:r>
      <w:r>
        <w:rPr>
          <w:i/>
          <w:iCs/>
          <w:highlight w:val="white"/>
        </w:rPr>
        <w:t>Otolaryngology - Head and Neck Surgery</w:t>
      </w:r>
      <w:r>
        <w:rPr>
          <w:highlight w:val="white"/>
        </w:rPr>
        <w:t xml:space="preserve">, </w:t>
      </w:r>
      <w:r>
        <w:rPr>
          <w:i/>
          <w:iCs/>
          <w:highlight w:val="white"/>
        </w:rPr>
        <w:t>142</w:t>
      </w:r>
      <w:r>
        <w:rPr>
          <w:highlight w:val="white"/>
        </w:rPr>
        <w:t xml:space="preserve">(2), 247-253. </w:t>
      </w:r>
      <w:hyperlink r:id="rId125">
        <w:r w:rsidR="009E4375">
          <w:rPr>
            <w:highlight w:val="white"/>
            <w:u w:val="single"/>
          </w:rPr>
          <w:t>https://doi.org/10.1016/j.otohns.2009.10.045</w:t>
        </w:r>
      </w:hyperlink>
    </w:p>
    <w:p w14:paraId="10CF701C" w14:textId="77777777" w:rsidR="009E4375" w:rsidRDefault="00000000" w:rsidP="00266915">
      <w:pPr>
        <w:ind w:left="540" w:hanging="540"/>
      </w:pPr>
      <w:r>
        <w:lastRenderedPageBreak/>
        <w:t xml:space="preserve">Luckasson, R., Coulter, D., </w:t>
      </w:r>
      <w:proofErr w:type="spellStart"/>
      <w:r>
        <w:t>Polloway</w:t>
      </w:r>
      <w:proofErr w:type="spellEnd"/>
      <w:r>
        <w:t xml:space="preserve">, E., Reiss, S., Schalock, R. L., Snell, M. E., </w:t>
      </w:r>
      <w:proofErr w:type="spellStart"/>
      <w:r>
        <w:t>Spitalnik</w:t>
      </w:r>
      <w:proofErr w:type="spellEnd"/>
      <w:r>
        <w:t xml:space="preserve">, D. M., &amp; Stark, J. A. (1992). </w:t>
      </w:r>
      <w:r>
        <w:rPr>
          <w:i/>
          <w:iCs/>
        </w:rPr>
        <w:t xml:space="preserve">Mental retardation: Diagnosis, classification, and systems of </w:t>
      </w:r>
      <w:proofErr w:type="gramStart"/>
      <w:r>
        <w:rPr>
          <w:i/>
          <w:iCs/>
        </w:rPr>
        <w:t>supports</w:t>
      </w:r>
      <w:proofErr w:type="gramEnd"/>
      <w:r>
        <w:rPr>
          <w:i/>
          <w:iCs/>
        </w:rPr>
        <w:t xml:space="preserve">. </w:t>
      </w:r>
      <w:r>
        <w:t>American Association on Intellectual and Developmental Disabilities.</w:t>
      </w:r>
    </w:p>
    <w:p w14:paraId="10CF701D" w14:textId="77777777" w:rsidR="009E4375" w:rsidRDefault="00000000" w:rsidP="00266915">
      <w:pPr>
        <w:spacing w:after="0"/>
        <w:ind w:left="540" w:hanging="540"/>
        <w:rPr>
          <w:highlight w:val="white"/>
        </w:rPr>
      </w:pPr>
      <w:r>
        <w:t xml:space="preserve">Luckasson, R., Ford, M. E., McMillan, E. D., </w:t>
      </w:r>
      <w:proofErr w:type="spellStart"/>
      <w:r>
        <w:t>Misilo</w:t>
      </w:r>
      <w:proofErr w:type="spellEnd"/>
      <w:r>
        <w:t xml:space="preserve">, F. M., &amp; Nygren, M. A. (2017). Intellectual disability policy as developed, expressed, and evaluated in AAIDD/The Arc joint statements: The role of organization position statements. </w:t>
      </w:r>
      <w:r>
        <w:rPr>
          <w:i/>
          <w:iCs/>
        </w:rPr>
        <w:t>Intellectual and Developmental Disabilities, 55</w:t>
      </w:r>
      <w:r>
        <w:t xml:space="preserve">(4), 269–275. </w:t>
      </w:r>
      <w:hyperlink r:id="rId126">
        <w:r w:rsidR="009E4375">
          <w:rPr>
            <w:u w:val="single"/>
          </w:rPr>
          <w:t>https://doi.org/10.1352/1934-9556-55.4.269</w:t>
        </w:r>
      </w:hyperlink>
      <w:r>
        <w:rPr>
          <w:highlight w:val="white"/>
        </w:rPr>
        <w:t xml:space="preserve"> </w:t>
      </w:r>
    </w:p>
    <w:p w14:paraId="10CF701E" w14:textId="77777777" w:rsidR="009E4375" w:rsidRDefault="00000000" w:rsidP="00266915">
      <w:pPr>
        <w:spacing w:after="0"/>
        <w:ind w:left="540" w:hanging="540"/>
        <w:rPr>
          <w:highlight w:val="white"/>
        </w:rPr>
      </w:pPr>
      <w:r>
        <w:t>Marks, N., &amp; Shah, H. (2014).</w:t>
      </w:r>
      <w:r>
        <w:rPr>
          <w:i/>
          <w:iCs/>
        </w:rPr>
        <w:t xml:space="preserve"> A well-being manifesto for a flourishing society.</w:t>
      </w:r>
      <w:r>
        <w:t xml:space="preserve"> New Economics Foundation </w:t>
      </w:r>
      <w:hyperlink r:id="rId127">
        <w:r w:rsidR="009E4375">
          <w:rPr>
            <w:highlight w:val="white"/>
            <w:u w:val="single"/>
          </w:rPr>
          <w:t>https://neweconomics.org/2014/09/wellbeing-manifesto-flourishing-society</w:t>
        </w:r>
      </w:hyperlink>
    </w:p>
    <w:p w14:paraId="10CF701F" w14:textId="77777777" w:rsidR="009E4375" w:rsidRDefault="00000000" w:rsidP="00266915">
      <w:pPr>
        <w:spacing w:after="0"/>
        <w:ind w:left="540" w:hanging="540"/>
      </w:pPr>
      <w:proofErr w:type="spellStart"/>
      <w:r>
        <w:t>Marschark</w:t>
      </w:r>
      <w:proofErr w:type="spellEnd"/>
      <w:r>
        <w:t xml:space="preserve">, M., Machmer, E., Spencer, L. J., Borgna, G., Durkin, A., &amp; Convertino, C. (2018). Language and psychosocial functioning among deaf learners with and without cochlear implants. </w:t>
      </w:r>
      <w:r>
        <w:rPr>
          <w:i/>
          <w:iCs/>
        </w:rPr>
        <w:t>Journal of Deaf Studies and Deaf Education</w:t>
      </w:r>
      <w:r>
        <w:t xml:space="preserve">, </w:t>
      </w:r>
      <w:r>
        <w:rPr>
          <w:i/>
          <w:iCs/>
        </w:rPr>
        <w:t>23</w:t>
      </w:r>
      <w:r>
        <w:t xml:space="preserve">(2), 187–187. </w:t>
      </w:r>
      <w:hyperlink r:id="rId128">
        <w:r w:rsidR="009E4375">
          <w:rPr>
            <w:u w:val="single"/>
          </w:rPr>
          <w:t>https://doi.org/10.1093/deafed/eny004</w:t>
        </w:r>
      </w:hyperlink>
    </w:p>
    <w:p w14:paraId="10CF7020" w14:textId="77777777" w:rsidR="009E4375" w:rsidRDefault="00000000" w:rsidP="00266915">
      <w:pPr>
        <w:spacing w:after="0"/>
        <w:ind w:left="540" w:hanging="540"/>
      </w:pPr>
      <w:r w:rsidRPr="00D43BCC">
        <w:rPr>
          <w:lang w:val="sv-SE"/>
        </w:rPr>
        <w:t xml:space="preserve">Marschark, M., Rhoten, C., &amp; Fabich, M. (2007). </w:t>
      </w:r>
      <w:r>
        <w:t xml:space="preserve">Effects of cochlear implants on children’s reading and academic achievement. </w:t>
      </w:r>
      <w:r>
        <w:rPr>
          <w:i/>
          <w:iCs/>
        </w:rPr>
        <w:t>Journal of Deaf Studies and Deaf Education</w:t>
      </w:r>
      <w:r>
        <w:t xml:space="preserve">, </w:t>
      </w:r>
      <w:r>
        <w:rPr>
          <w:i/>
          <w:iCs/>
        </w:rPr>
        <w:t>12</w:t>
      </w:r>
      <w:r>
        <w:t xml:space="preserve">(3), 269–282. </w:t>
      </w:r>
      <w:hyperlink r:id="rId129">
        <w:r w:rsidR="009E4375">
          <w:rPr>
            <w:u w:val="single"/>
          </w:rPr>
          <w:t>https://doi.org/10.1093/deafed/enm013</w:t>
        </w:r>
      </w:hyperlink>
    </w:p>
    <w:p w14:paraId="10CF7021" w14:textId="77777777" w:rsidR="009E4375" w:rsidRDefault="00000000" w:rsidP="00266915">
      <w:pPr>
        <w:spacing w:after="0"/>
        <w:ind w:left="540" w:hanging="540"/>
      </w:pPr>
      <w:proofErr w:type="spellStart"/>
      <w:r>
        <w:t>Marschark</w:t>
      </w:r>
      <w:proofErr w:type="spellEnd"/>
      <w:r>
        <w:t xml:space="preserve">, M., Sapere, P., Convertino, C.M., Mayer, C., Wauters, L., &amp; Sarchet, T. (2009). Are Deaf students’ reading challenges </w:t>
      </w:r>
      <w:proofErr w:type="gramStart"/>
      <w:r>
        <w:t>really about</w:t>
      </w:r>
      <w:proofErr w:type="gramEnd"/>
      <w:r>
        <w:t xml:space="preserve"> reading? </w:t>
      </w:r>
      <w:r>
        <w:rPr>
          <w:i/>
          <w:iCs/>
        </w:rPr>
        <w:t>American Annals of the Deaf</w:t>
      </w:r>
      <w:r>
        <w:t xml:space="preserve"> </w:t>
      </w:r>
      <w:r>
        <w:rPr>
          <w:i/>
          <w:iCs/>
        </w:rPr>
        <w:t>154</w:t>
      </w:r>
      <w:r>
        <w:t xml:space="preserve">(4), 357-370. </w:t>
      </w:r>
      <w:hyperlink r:id="rId130">
        <w:r w:rsidR="009E4375">
          <w:t>https://dx.doi.org/10.1353/aad.0.0111</w:t>
        </w:r>
      </w:hyperlink>
    </w:p>
    <w:p w14:paraId="10CF7022" w14:textId="77777777" w:rsidR="009E4375" w:rsidRPr="00D43BCC" w:rsidRDefault="00000000" w:rsidP="00266915">
      <w:pPr>
        <w:spacing w:after="0"/>
        <w:ind w:left="540" w:hanging="540"/>
        <w:rPr>
          <w:highlight w:val="white"/>
          <w:lang w:val="fr-FR"/>
        </w:rPr>
      </w:pPr>
      <w:r>
        <w:rPr>
          <w:highlight w:val="white"/>
        </w:rPr>
        <w:t xml:space="preserve">Maslow, A. H. (1943). A theory of human motivation. </w:t>
      </w:r>
      <w:proofErr w:type="spellStart"/>
      <w:r w:rsidRPr="00D43BCC">
        <w:rPr>
          <w:i/>
          <w:iCs/>
          <w:highlight w:val="white"/>
          <w:lang w:val="fr-FR"/>
        </w:rPr>
        <w:t>Psychological</w:t>
      </w:r>
      <w:proofErr w:type="spellEnd"/>
      <w:r w:rsidRPr="00D43BCC">
        <w:rPr>
          <w:i/>
          <w:iCs/>
          <w:highlight w:val="white"/>
          <w:lang w:val="fr-FR"/>
        </w:rPr>
        <w:t xml:space="preserve"> </w:t>
      </w:r>
      <w:proofErr w:type="spellStart"/>
      <w:r w:rsidRPr="00D43BCC">
        <w:rPr>
          <w:i/>
          <w:iCs/>
          <w:highlight w:val="white"/>
          <w:lang w:val="fr-FR"/>
        </w:rPr>
        <w:t>Review</w:t>
      </w:r>
      <w:proofErr w:type="spellEnd"/>
      <w:r w:rsidRPr="00D43BCC">
        <w:rPr>
          <w:highlight w:val="white"/>
          <w:lang w:val="fr-FR"/>
        </w:rPr>
        <w:t xml:space="preserve">, </w:t>
      </w:r>
      <w:r w:rsidRPr="00D43BCC">
        <w:rPr>
          <w:i/>
          <w:iCs/>
          <w:highlight w:val="white"/>
          <w:lang w:val="fr-FR"/>
        </w:rPr>
        <w:t>50</w:t>
      </w:r>
      <w:r w:rsidRPr="00D43BCC">
        <w:rPr>
          <w:highlight w:val="white"/>
          <w:lang w:val="fr-FR"/>
        </w:rPr>
        <w:t xml:space="preserve">(4), 370–396. </w:t>
      </w:r>
      <w:hyperlink r:id="rId131">
        <w:r w:rsidR="009E4375" w:rsidRPr="00D43BCC">
          <w:rPr>
            <w:highlight w:val="white"/>
            <w:u w:val="single"/>
            <w:lang w:val="fr-FR"/>
          </w:rPr>
          <w:t>https://doi.org/10.1037/h0054346</w:t>
        </w:r>
      </w:hyperlink>
    </w:p>
    <w:p w14:paraId="10CF7023" w14:textId="77777777" w:rsidR="009E4375" w:rsidRDefault="00000000" w:rsidP="00266915">
      <w:pPr>
        <w:spacing w:after="0"/>
        <w:ind w:left="540" w:hanging="540"/>
      </w:pPr>
      <w:r>
        <w:t xml:space="preserve">Maslow, A. H. (1962a). Lessons from the peak experiences. </w:t>
      </w:r>
      <w:r>
        <w:rPr>
          <w:i/>
          <w:iCs/>
        </w:rPr>
        <w:t>Journal of Humanistic Psychology, 2</w:t>
      </w:r>
      <w:r>
        <w:t xml:space="preserve">(1), 9–18. </w:t>
      </w:r>
      <w:hyperlink r:id="rId132">
        <w:r w:rsidR="009E4375">
          <w:rPr>
            <w:u w:val="single"/>
          </w:rPr>
          <w:t>https://doi-org.utk.idm.oclc.org/10.1177/002216786200200102</w:t>
        </w:r>
      </w:hyperlink>
    </w:p>
    <w:p w14:paraId="10CF7024" w14:textId="77777777" w:rsidR="009E4375" w:rsidRDefault="00000000" w:rsidP="00266915">
      <w:pPr>
        <w:spacing w:after="0"/>
        <w:ind w:left="540" w:hanging="540"/>
      </w:pPr>
      <w:r>
        <w:lastRenderedPageBreak/>
        <w:t xml:space="preserve">Maslow, A. H. (1962b). Notes on being-psychology. </w:t>
      </w:r>
      <w:r>
        <w:rPr>
          <w:i/>
          <w:iCs/>
        </w:rPr>
        <w:t>Journal of Humanistic Psychology, 2</w:t>
      </w:r>
      <w:r>
        <w:t xml:space="preserve">(2), 47–71. </w:t>
      </w:r>
      <w:hyperlink r:id="rId133">
        <w:r w:rsidR="009E4375">
          <w:rPr>
            <w:u w:val="single"/>
          </w:rPr>
          <w:t>https://doi-org.utk.idm.oclc.org/10.1177/002216786200200205</w:t>
        </w:r>
      </w:hyperlink>
    </w:p>
    <w:p w14:paraId="10CF7025" w14:textId="77777777" w:rsidR="009E4375" w:rsidRDefault="00000000" w:rsidP="00266915">
      <w:pPr>
        <w:spacing w:after="0"/>
        <w:ind w:left="540" w:hanging="540"/>
      </w:pPr>
      <w:r>
        <w:t xml:space="preserve">Maslow, A. H. (1987). </w:t>
      </w:r>
      <w:r>
        <w:rPr>
          <w:i/>
          <w:iCs/>
        </w:rPr>
        <w:t>Motivation and personality</w:t>
      </w:r>
      <w:r>
        <w:t>. Harper &amp; Row Publishers.</w:t>
      </w:r>
    </w:p>
    <w:p w14:paraId="10CF7026" w14:textId="77777777" w:rsidR="009E4375" w:rsidRDefault="00000000" w:rsidP="00266915">
      <w:pPr>
        <w:spacing w:after="0"/>
        <w:ind w:left="540" w:hanging="540"/>
      </w:pPr>
      <w:r>
        <w:t xml:space="preserve">McAbee, E. R. (2015). </w:t>
      </w:r>
      <w:r>
        <w:rPr>
          <w:i/>
          <w:iCs/>
        </w:rPr>
        <w:t xml:space="preserve">How do deaf individuals define quality of life? </w:t>
      </w:r>
      <w:r>
        <w:t xml:space="preserve">(Publication No. </w:t>
      </w:r>
      <w:r>
        <w:rPr>
          <w:highlight w:val="white"/>
        </w:rPr>
        <w:t xml:space="preserve">3704369) </w:t>
      </w:r>
      <w:r>
        <w:t xml:space="preserve">[Doctoral dissertation, University of South Carolina]. ProQuest Dissertations Publishing. </w:t>
      </w:r>
    </w:p>
    <w:p w14:paraId="10CF7027" w14:textId="77777777" w:rsidR="009E4375" w:rsidRDefault="00000000" w:rsidP="00266915">
      <w:pPr>
        <w:spacing w:after="0"/>
        <w:ind w:left="540" w:hanging="540"/>
      </w:pPr>
      <w:r>
        <w:t xml:space="preserve">McAbee, E. R., </w:t>
      </w:r>
      <w:proofErr w:type="spellStart"/>
      <w:r>
        <w:t>Drasgow</w:t>
      </w:r>
      <w:proofErr w:type="spellEnd"/>
      <w:r>
        <w:t xml:space="preserve">, E., &amp; Lowrey, K. A. (2017). How do deaf adults define quality of </w:t>
      </w:r>
      <w:proofErr w:type="gramStart"/>
      <w:r>
        <w:t>life?.</w:t>
      </w:r>
      <w:proofErr w:type="gramEnd"/>
      <w:r>
        <w:rPr>
          <w:i/>
          <w:iCs/>
        </w:rPr>
        <w:t xml:space="preserve"> American Annals of the Deaf, 162</w:t>
      </w:r>
      <w:r>
        <w:t xml:space="preserve">(4), 333-349. </w:t>
      </w:r>
      <w:hyperlink r:id="rId134">
        <w:r w:rsidR="009E4375">
          <w:rPr>
            <w:u w:val="single"/>
          </w:rPr>
          <w:t>https://doi.org/10.1353/aad.2017.0031</w:t>
        </w:r>
      </w:hyperlink>
    </w:p>
    <w:p w14:paraId="10CF7028" w14:textId="77777777" w:rsidR="009E4375" w:rsidRDefault="00000000" w:rsidP="00266915">
      <w:pPr>
        <w:spacing w:after="0"/>
        <w:ind w:left="540" w:hanging="540"/>
        <w:rPr>
          <w:u w:val="single"/>
        </w:rPr>
      </w:pPr>
      <w:r>
        <w:t xml:space="preserve">McCall, S. (1975). Quality of Life. </w:t>
      </w:r>
      <w:r>
        <w:rPr>
          <w:i/>
          <w:iCs/>
        </w:rPr>
        <w:t>Social Indicators Research</w:t>
      </w:r>
      <w:r>
        <w:t xml:space="preserve">, </w:t>
      </w:r>
      <w:r>
        <w:rPr>
          <w:i/>
          <w:iCs/>
        </w:rPr>
        <w:t>2</w:t>
      </w:r>
      <w:r>
        <w:t>(2), 229–248.</w:t>
      </w:r>
      <w:hyperlink r:id="rId135">
        <w:r w:rsidR="009E4375">
          <w:t xml:space="preserve"> </w:t>
        </w:r>
      </w:hyperlink>
      <w:hyperlink r:id="rId136">
        <w:r w:rsidR="009E4375">
          <w:rPr>
            <w:u w:val="single"/>
          </w:rPr>
          <w:t>http://www.jstor.org/stable/27521753</w:t>
        </w:r>
      </w:hyperlink>
      <w:r>
        <w:t xml:space="preserve"> </w:t>
      </w:r>
    </w:p>
    <w:p w14:paraId="10CF7029" w14:textId="77777777" w:rsidR="009E4375" w:rsidRDefault="00000000" w:rsidP="00266915">
      <w:pPr>
        <w:spacing w:after="160"/>
        <w:ind w:left="540" w:hanging="540"/>
      </w:pPr>
      <w:r>
        <w:t xml:space="preserve">McLeod, S. (2024, January 24). Maslow’s hierarchy of needs. </w:t>
      </w:r>
      <w:r>
        <w:rPr>
          <w:i/>
          <w:iCs/>
        </w:rPr>
        <w:t>Simply Psychology</w:t>
      </w:r>
      <w:r>
        <w:t xml:space="preserve">, </w:t>
      </w:r>
      <w:r>
        <w:rPr>
          <w:i/>
          <w:iCs/>
        </w:rPr>
        <w:t>1</w:t>
      </w:r>
      <w:r>
        <w:t xml:space="preserve"> 1-18. </w:t>
      </w:r>
      <w:hyperlink r:id="rId137">
        <w:r w:rsidR="009E4375">
          <w:rPr>
            <w:u w:val="single"/>
          </w:rPr>
          <w:t>https://www.simplypsychology.org/maslow.html</w:t>
        </w:r>
      </w:hyperlink>
      <w:r>
        <w:t xml:space="preserve"> </w:t>
      </w:r>
    </w:p>
    <w:p w14:paraId="10CF702A" w14:textId="77777777" w:rsidR="009E4375" w:rsidRDefault="00000000" w:rsidP="00266915">
      <w:pPr>
        <w:spacing w:after="160"/>
        <w:ind w:left="540" w:hanging="540"/>
      </w:pPr>
      <w:r>
        <w:t xml:space="preserve">Meek, D. R. (2020). Dinner table syndrome: A phenomenological study of deaf individuals’ experiences with inaccessible communication. </w:t>
      </w:r>
      <w:r>
        <w:rPr>
          <w:i/>
          <w:iCs/>
        </w:rPr>
        <w:t>The Qualitative Report, 25</w:t>
      </w:r>
      <w:r>
        <w:t xml:space="preserve">(6), 1676-1694. </w:t>
      </w:r>
      <w:hyperlink r:id="rId138">
        <w:r w:rsidR="009E4375">
          <w:rPr>
            <w:u w:val="single"/>
          </w:rPr>
          <w:t>https://doi.org/10.46743/2160-3715/2020.4203</w:t>
        </w:r>
      </w:hyperlink>
    </w:p>
    <w:p w14:paraId="10CF702B" w14:textId="77777777" w:rsidR="009E4375" w:rsidRDefault="00000000" w:rsidP="00266915">
      <w:pPr>
        <w:spacing w:after="160"/>
        <w:ind w:left="540" w:hanging="540"/>
        <w:rPr>
          <w:u w:val="single"/>
        </w:rPr>
      </w:pPr>
      <w:r>
        <w:t xml:space="preserve">Meyer, A., Sie, K., Skalicky, A., Edwards, T. C., Schick, B., </w:t>
      </w:r>
      <w:proofErr w:type="spellStart"/>
      <w:r>
        <w:t>Niparko</w:t>
      </w:r>
      <w:proofErr w:type="spellEnd"/>
      <w:r>
        <w:t xml:space="preserve">, J., &amp; Patrick, D. L. (2013). Quality of life in youth with severe to profound sensorineural hearing loss. </w:t>
      </w:r>
      <w:r>
        <w:rPr>
          <w:i/>
          <w:iCs/>
        </w:rPr>
        <w:t>JAMA Otolaryngology- Head &amp; Neck Surgery</w:t>
      </w:r>
      <w:r>
        <w:t xml:space="preserve">, </w:t>
      </w:r>
      <w:r>
        <w:rPr>
          <w:i/>
          <w:iCs/>
        </w:rPr>
        <w:t>139</w:t>
      </w:r>
      <w:r>
        <w:t xml:space="preserve">(3), 294–300. </w:t>
      </w:r>
      <w:hyperlink r:id="rId139">
        <w:r w:rsidR="009E4375">
          <w:rPr>
            <w:u w:val="single"/>
          </w:rPr>
          <w:t>https://doi.org/10.1001/jamaoto.2013.35</w:t>
        </w:r>
      </w:hyperlink>
    </w:p>
    <w:p w14:paraId="10CF702C" w14:textId="77777777" w:rsidR="009E4375" w:rsidRDefault="00000000" w:rsidP="00266915">
      <w:pPr>
        <w:spacing w:after="160"/>
        <w:ind w:left="540" w:hanging="540"/>
        <w:rPr>
          <w:u w:val="single"/>
        </w:rPr>
      </w:pPr>
      <w:r>
        <w:t xml:space="preserve">Mitchell, R. E., &amp; Young, T. A. (2023). How many people use sign language? A national health survey-based estimate. </w:t>
      </w:r>
      <w:r>
        <w:rPr>
          <w:i/>
          <w:iCs/>
        </w:rPr>
        <w:t>Journal of Deaf Studies and Deaf Education, 28(1), 1-6.</w:t>
      </w:r>
      <w:r>
        <w:t xml:space="preserve"> </w:t>
      </w:r>
      <w:r>
        <w:rPr>
          <w:u w:val="single"/>
        </w:rPr>
        <w:t>https://doi.org/10.1093/deafed/enac031</w:t>
      </w:r>
    </w:p>
    <w:p w14:paraId="10CF702D" w14:textId="77777777" w:rsidR="009E4375" w:rsidRDefault="00000000" w:rsidP="00266915">
      <w:pPr>
        <w:spacing w:after="160"/>
        <w:ind w:left="540" w:hanging="540"/>
      </w:pPr>
      <w:proofErr w:type="spellStart"/>
      <w:r>
        <w:t>Moores</w:t>
      </w:r>
      <w:proofErr w:type="spellEnd"/>
      <w:r>
        <w:t xml:space="preserve">, D. F. (2010). The history of language and communication issues in deaf education. In M. </w:t>
      </w:r>
      <w:proofErr w:type="spellStart"/>
      <w:r>
        <w:t>Marschark</w:t>
      </w:r>
      <w:proofErr w:type="spellEnd"/>
      <w:r>
        <w:t xml:space="preserve">, &amp; P. E. Spencer (Eds.), </w:t>
      </w:r>
      <w:r>
        <w:rPr>
          <w:i/>
          <w:iCs/>
        </w:rPr>
        <w:t>The Oxford Handbook of Deaf Studies, Language, and Education</w:t>
      </w:r>
      <w:r>
        <w:t>,</w:t>
      </w:r>
      <w:r>
        <w:rPr>
          <w:i/>
          <w:iCs/>
        </w:rPr>
        <w:t xml:space="preserve"> 2</w:t>
      </w:r>
      <w:r>
        <w:t>, 17-30.</w:t>
      </w:r>
    </w:p>
    <w:p w14:paraId="10CF702E" w14:textId="77777777" w:rsidR="009E4375" w:rsidRDefault="00000000" w:rsidP="00266915">
      <w:pPr>
        <w:spacing w:after="160"/>
        <w:ind w:left="540" w:hanging="540"/>
      </w:pPr>
      <w:r w:rsidRPr="00D43BCC">
        <w:rPr>
          <w:lang w:val="fi-FI"/>
        </w:rPr>
        <w:lastRenderedPageBreak/>
        <w:t xml:space="preserve">Mukari, S. Z., Ling, L. N., &amp; Ghani, H. A. (2007). </w:t>
      </w:r>
      <w:r>
        <w:t xml:space="preserve">Educational performance of pediatric cochlear implant recipients in mainstream classes. </w:t>
      </w:r>
      <w:r>
        <w:rPr>
          <w:i/>
          <w:iCs/>
        </w:rPr>
        <w:t>International Journal of Pediatric Otorhinolaryngology</w:t>
      </w:r>
      <w:r>
        <w:t xml:space="preserve">, </w:t>
      </w:r>
      <w:r>
        <w:rPr>
          <w:i/>
          <w:iCs/>
        </w:rPr>
        <w:t>71</w:t>
      </w:r>
      <w:r>
        <w:t xml:space="preserve">(2), 231–240. </w:t>
      </w:r>
      <w:hyperlink r:id="rId140">
        <w:r w:rsidR="009E4375">
          <w:rPr>
            <w:u w:val="single"/>
          </w:rPr>
          <w:t>https://doi.org/10.1016/j.ijporl.2006.10.005</w:t>
        </w:r>
      </w:hyperlink>
    </w:p>
    <w:p w14:paraId="10CF702F" w14:textId="77777777" w:rsidR="009E4375" w:rsidRDefault="00000000" w:rsidP="00266915">
      <w:pPr>
        <w:spacing w:after="160"/>
        <w:ind w:left="540" w:hanging="540"/>
        <w:rPr>
          <w:highlight w:val="white"/>
        </w:rPr>
      </w:pPr>
      <w:r>
        <w:rPr>
          <w:highlight w:val="white"/>
        </w:rPr>
        <w:t xml:space="preserve">Mulrow, C. D., Aguilar, C., Endicott, J. E., Tuley, M. R., Velez, R., </w:t>
      </w:r>
      <w:proofErr w:type="spellStart"/>
      <w:r>
        <w:rPr>
          <w:highlight w:val="white"/>
        </w:rPr>
        <w:t>Charlip</w:t>
      </w:r>
      <w:proofErr w:type="spellEnd"/>
      <w:r>
        <w:rPr>
          <w:highlight w:val="white"/>
        </w:rPr>
        <w:t xml:space="preserve">, W. S., Rhodes, M. C., Hill, J. A., &amp; </w:t>
      </w:r>
      <w:proofErr w:type="spellStart"/>
      <w:r>
        <w:rPr>
          <w:highlight w:val="white"/>
        </w:rPr>
        <w:t>DeNino</w:t>
      </w:r>
      <w:proofErr w:type="spellEnd"/>
      <w:r>
        <w:rPr>
          <w:highlight w:val="white"/>
        </w:rPr>
        <w:t xml:space="preserve">, L. A. (1990). Quality-of-life changes and hearing impairment. A randomized trial. </w:t>
      </w:r>
      <w:r>
        <w:rPr>
          <w:i/>
          <w:iCs/>
          <w:highlight w:val="white"/>
        </w:rPr>
        <w:t>Annals of Internal Medicine</w:t>
      </w:r>
      <w:r>
        <w:rPr>
          <w:highlight w:val="white"/>
        </w:rPr>
        <w:t xml:space="preserve">, </w:t>
      </w:r>
      <w:r>
        <w:rPr>
          <w:i/>
          <w:iCs/>
          <w:highlight w:val="white"/>
        </w:rPr>
        <w:t>113</w:t>
      </w:r>
      <w:r>
        <w:rPr>
          <w:highlight w:val="white"/>
        </w:rPr>
        <w:t xml:space="preserve">(3), 188–194. </w:t>
      </w:r>
      <w:hyperlink r:id="rId141">
        <w:r w:rsidR="009E4375">
          <w:rPr>
            <w:highlight w:val="white"/>
            <w:u w:val="single"/>
          </w:rPr>
          <w:t>https://doi.org/10.7326/0003-4819-113-3-188</w:t>
        </w:r>
      </w:hyperlink>
    </w:p>
    <w:p w14:paraId="10CF7030" w14:textId="77777777" w:rsidR="009E4375" w:rsidRDefault="00000000" w:rsidP="00266915">
      <w:pPr>
        <w:spacing w:after="160"/>
        <w:ind w:left="540" w:hanging="540"/>
      </w:pPr>
      <w:r>
        <w:rPr>
          <w:highlight w:val="white"/>
        </w:rPr>
        <w:t xml:space="preserve">Nakaji, M. C. (2008). </w:t>
      </w:r>
      <w:r>
        <w:rPr>
          <w:i/>
          <w:iCs/>
          <w:highlight w:val="white"/>
        </w:rPr>
        <w:t>Colorado Division of Vocational Rehabilitation consumer satisfaction survey results for former deaf and hard-of-hearing clients.</w:t>
      </w:r>
      <w:r>
        <w:rPr>
          <w:highlight w:val="white"/>
        </w:rPr>
        <w:t xml:space="preserve"> Colorado Department of Human Services. </w:t>
      </w:r>
      <w:hyperlink r:id="rId142">
        <w:r w:rsidR="009E4375">
          <w:rPr>
            <w:highlight w:val="white"/>
            <w:u w:val="single"/>
          </w:rPr>
          <w:t>http://hermes.cde.state.co.us/drupal/islandora/object/co%3A9669</w:t>
        </w:r>
      </w:hyperlink>
    </w:p>
    <w:p w14:paraId="10CF7031" w14:textId="77777777" w:rsidR="009E4375" w:rsidRPr="001F367A" w:rsidRDefault="00000000" w:rsidP="00266915">
      <w:pPr>
        <w:spacing w:after="160"/>
        <w:ind w:left="540" w:hanging="540"/>
        <w:rPr>
          <w:u w:val="single"/>
          <w:lang w:val="fr-FR"/>
        </w:rPr>
      </w:pPr>
      <w:r>
        <w:t xml:space="preserve">Nakamura, K. (2002). Deafness, ethnicity, and minority politics in modern Malaysia. </w:t>
      </w:r>
      <w:proofErr w:type="spellStart"/>
      <w:r w:rsidRPr="001F367A">
        <w:rPr>
          <w:i/>
          <w:iCs/>
          <w:lang w:val="fr-FR"/>
        </w:rPr>
        <w:t>Macalester</w:t>
      </w:r>
      <w:proofErr w:type="spellEnd"/>
      <w:r w:rsidRPr="001F367A">
        <w:rPr>
          <w:i/>
          <w:iCs/>
          <w:lang w:val="fr-FR"/>
        </w:rPr>
        <w:t xml:space="preserve"> International, 12</w:t>
      </w:r>
      <w:r w:rsidRPr="001F367A">
        <w:rPr>
          <w:lang w:val="fr-FR"/>
        </w:rPr>
        <w:t>, 193-202.</w:t>
      </w:r>
      <w:hyperlink r:id="rId143">
        <w:r w:rsidR="009E4375" w:rsidRPr="001F367A">
          <w:rPr>
            <w:lang w:val="fr-FR"/>
          </w:rPr>
          <w:t xml:space="preserve"> </w:t>
        </w:r>
      </w:hyperlink>
      <w:hyperlink r:id="rId144">
        <w:r w:rsidR="009E4375" w:rsidRPr="001F367A">
          <w:rPr>
            <w:u w:val="single"/>
            <w:lang w:val="fr-FR"/>
          </w:rPr>
          <w:t>https://digitalcommons.macalester.edu/cgi/viewcontent.cgi?article=1278&amp;context=macintl</w:t>
        </w:r>
      </w:hyperlink>
    </w:p>
    <w:p w14:paraId="10CF7032" w14:textId="77777777" w:rsidR="009E4375" w:rsidRDefault="00000000" w:rsidP="00266915">
      <w:pPr>
        <w:spacing w:after="160"/>
        <w:ind w:left="540" w:hanging="540"/>
        <w:rPr>
          <w:highlight w:val="white"/>
        </w:rPr>
      </w:pPr>
      <w:r w:rsidRPr="00D43BCC">
        <w:rPr>
          <w:highlight w:val="white"/>
          <w:lang w:val="fr-FR"/>
        </w:rPr>
        <w:t xml:space="preserve">Nguyen, R., </w:t>
      </w:r>
      <w:proofErr w:type="spellStart"/>
      <w:r w:rsidRPr="00D43BCC">
        <w:rPr>
          <w:highlight w:val="white"/>
          <w:lang w:val="fr-FR"/>
        </w:rPr>
        <w:t>Brazzel</w:t>
      </w:r>
      <w:proofErr w:type="spellEnd"/>
      <w:r w:rsidRPr="00D43BCC">
        <w:rPr>
          <w:highlight w:val="white"/>
          <w:lang w:val="fr-FR"/>
        </w:rPr>
        <w:t xml:space="preserve">, R., &amp; </w:t>
      </w:r>
      <w:proofErr w:type="spellStart"/>
      <w:r w:rsidRPr="00D43BCC">
        <w:rPr>
          <w:highlight w:val="white"/>
          <w:lang w:val="fr-FR"/>
        </w:rPr>
        <w:t>Poucher</w:t>
      </w:r>
      <w:proofErr w:type="spellEnd"/>
      <w:r w:rsidRPr="00D43BCC">
        <w:rPr>
          <w:highlight w:val="white"/>
          <w:lang w:val="fr-FR"/>
        </w:rPr>
        <w:t xml:space="preserve">, C. (1983). </w:t>
      </w:r>
      <w:r>
        <w:rPr>
          <w:highlight w:val="white"/>
        </w:rPr>
        <w:t xml:space="preserve">Population density of the citrus blackfly, </w:t>
      </w:r>
      <w:proofErr w:type="spellStart"/>
      <w:r>
        <w:rPr>
          <w:highlight w:val="white"/>
        </w:rPr>
        <w:t>Aleurocanthus</w:t>
      </w:r>
      <w:proofErr w:type="spellEnd"/>
      <w:r>
        <w:rPr>
          <w:highlight w:val="white"/>
        </w:rPr>
        <w:t xml:space="preserve"> </w:t>
      </w:r>
      <w:proofErr w:type="spellStart"/>
      <w:r>
        <w:rPr>
          <w:highlight w:val="white"/>
        </w:rPr>
        <w:t>woglumi</w:t>
      </w:r>
      <w:proofErr w:type="spellEnd"/>
      <w:r>
        <w:rPr>
          <w:highlight w:val="white"/>
        </w:rPr>
        <w:t xml:space="preserve"> Ashby (</w:t>
      </w:r>
      <w:proofErr w:type="spellStart"/>
      <w:r>
        <w:rPr>
          <w:highlight w:val="white"/>
        </w:rPr>
        <w:t>Homoptera</w:t>
      </w:r>
      <w:proofErr w:type="spellEnd"/>
      <w:r>
        <w:rPr>
          <w:highlight w:val="white"/>
        </w:rPr>
        <w:t xml:space="preserve">: Aleyrodidae), and its parasites in urban Florida in 1979–1981. </w:t>
      </w:r>
      <w:r>
        <w:rPr>
          <w:i/>
          <w:iCs/>
          <w:highlight w:val="white"/>
        </w:rPr>
        <w:t>Environmental Entomology</w:t>
      </w:r>
      <w:r>
        <w:rPr>
          <w:highlight w:val="white"/>
        </w:rPr>
        <w:t xml:space="preserve">, </w:t>
      </w:r>
      <w:r>
        <w:rPr>
          <w:i/>
          <w:iCs/>
          <w:highlight w:val="white"/>
        </w:rPr>
        <w:t>12</w:t>
      </w:r>
      <w:r>
        <w:rPr>
          <w:highlight w:val="white"/>
        </w:rPr>
        <w:t xml:space="preserve">(3), 878-884. </w:t>
      </w:r>
      <w:hyperlink r:id="rId145">
        <w:r w:rsidR="009E4375">
          <w:rPr>
            <w:highlight w:val="white"/>
            <w:u w:val="single"/>
          </w:rPr>
          <w:t>https://doi.org/10.1093/ee/12.3.878</w:t>
        </w:r>
      </w:hyperlink>
      <w:r>
        <w:rPr>
          <w:highlight w:val="white"/>
        </w:rPr>
        <w:t xml:space="preserve"> </w:t>
      </w:r>
    </w:p>
    <w:p w14:paraId="10CF7033" w14:textId="77777777" w:rsidR="009E4375" w:rsidRDefault="00000000" w:rsidP="00266915">
      <w:pPr>
        <w:spacing w:after="160"/>
        <w:ind w:left="540" w:hanging="540"/>
        <w:rPr>
          <w:highlight w:val="white"/>
        </w:rPr>
      </w:pPr>
      <w:r>
        <w:rPr>
          <w:highlight w:val="white"/>
        </w:rPr>
        <w:t xml:space="preserve">Nygard, M. (1996). </w:t>
      </w:r>
      <w:r>
        <w:rPr>
          <w:i/>
          <w:iCs/>
          <w:highlight w:val="white"/>
        </w:rPr>
        <w:t>The Muslim concept of surrender to God. Word and World</w:t>
      </w:r>
      <w:r>
        <w:rPr>
          <w:highlight w:val="white"/>
        </w:rPr>
        <w:t xml:space="preserve">, 16, 158-168. </w:t>
      </w:r>
      <w:hyperlink r:id="rId146">
        <w:r w:rsidR="009E4375">
          <w:rPr>
            <w:highlight w:val="white"/>
            <w:u w:val="single"/>
          </w:rPr>
          <w:t>https://doi.org/10.1016/j.heliyon.2023.e20246</w:t>
        </w:r>
      </w:hyperlink>
    </w:p>
    <w:p w14:paraId="10CF7034" w14:textId="77777777" w:rsidR="009E4375" w:rsidRDefault="00000000" w:rsidP="00266915">
      <w:pPr>
        <w:spacing w:after="160"/>
        <w:ind w:hanging="540"/>
        <w:rPr>
          <w:highlight w:val="white"/>
        </w:rPr>
      </w:pPr>
      <w:r>
        <w:rPr>
          <w:highlight w:val="white"/>
        </w:rPr>
        <w:t xml:space="preserve">Nussbaum, M., &amp; Sen, A. (1993). </w:t>
      </w:r>
      <w:r>
        <w:rPr>
          <w:i/>
          <w:iCs/>
          <w:highlight w:val="white"/>
        </w:rPr>
        <w:t>The quality of life</w:t>
      </w:r>
      <w:r>
        <w:rPr>
          <w:highlight w:val="white"/>
        </w:rPr>
        <w:t>. Oxford University Press, New York.</w:t>
      </w:r>
    </w:p>
    <w:p w14:paraId="10CF7035" w14:textId="77777777" w:rsidR="009E4375" w:rsidRDefault="00000000" w:rsidP="00266915">
      <w:pPr>
        <w:spacing w:after="160"/>
        <w:ind w:left="540" w:hanging="540"/>
        <w:rPr>
          <w:highlight w:val="white"/>
        </w:rPr>
      </w:pPr>
      <w:r>
        <w:rPr>
          <w:highlight w:val="white"/>
        </w:rPr>
        <w:t xml:space="preserve">O'Brien, J. (1987). A guide to </w:t>
      </w:r>
      <w:proofErr w:type="gramStart"/>
      <w:r>
        <w:rPr>
          <w:highlight w:val="white"/>
        </w:rPr>
        <w:t>life-style</w:t>
      </w:r>
      <w:proofErr w:type="gramEnd"/>
      <w:r>
        <w:rPr>
          <w:highlight w:val="white"/>
        </w:rPr>
        <w:t xml:space="preserve"> planning. In Wilcox, B. &amp; Bellamy, G. T. (Eds.), </w:t>
      </w:r>
      <w:r>
        <w:rPr>
          <w:i/>
          <w:iCs/>
          <w:highlight w:val="white"/>
        </w:rPr>
        <w:t>The Activities Catalog: An alternative curriculum for youth and adults with severe disabilities</w:t>
      </w:r>
      <w:r>
        <w:rPr>
          <w:highlight w:val="white"/>
        </w:rPr>
        <w:t xml:space="preserve"> (</w:t>
      </w:r>
      <w:proofErr w:type="gramStart"/>
      <w:r>
        <w:rPr>
          <w:highlight w:val="white"/>
        </w:rPr>
        <w:t>pp</w:t>
      </w:r>
      <w:proofErr w:type="gramEnd"/>
      <w:r>
        <w:rPr>
          <w:highlight w:val="white"/>
        </w:rPr>
        <w:t>. 175-189). Paul H. Brookes Publishing Co, Baltimore.</w:t>
      </w:r>
    </w:p>
    <w:p w14:paraId="10CF7036" w14:textId="77777777" w:rsidR="009E4375" w:rsidRDefault="00000000" w:rsidP="00266915">
      <w:pPr>
        <w:spacing w:after="160"/>
        <w:ind w:left="540" w:hanging="540"/>
        <w:rPr>
          <w:highlight w:val="white"/>
        </w:rPr>
      </w:pPr>
      <w:r>
        <w:rPr>
          <w:highlight w:val="white"/>
        </w:rPr>
        <w:lastRenderedPageBreak/>
        <w:t xml:space="preserve">Omar, M. H. (1966). </w:t>
      </w:r>
      <w:r>
        <w:t>Education for the deaf in the Federation of Malaya</w:t>
      </w:r>
      <w:r>
        <w:rPr>
          <w:highlight w:val="white"/>
        </w:rPr>
        <w:t xml:space="preserve">. </w:t>
      </w:r>
      <w:r>
        <w:rPr>
          <w:i/>
          <w:iCs/>
          <w:highlight w:val="white"/>
        </w:rPr>
        <w:t>The Slow Learning Child</w:t>
      </w:r>
      <w:r>
        <w:rPr>
          <w:highlight w:val="white"/>
        </w:rPr>
        <w:t xml:space="preserve">, </w:t>
      </w:r>
      <w:r>
        <w:rPr>
          <w:i/>
          <w:iCs/>
          <w:highlight w:val="white"/>
        </w:rPr>
        <w:t>13</w:t>
      </w:r>
      <w:r>
        <w:rPr>
          <w:highlight w:val="white"/>
        </w:rPr>
        <w:t xml:space="preserve">(2), 88–90. </w:t>
      </w:r>
      <w:hyperlink r:id="rId147">
        <w:r w:rsidR="009E4375">
          <w:rPr>
            <w:highlight w:val="white"/>
            <w:u w:val="single"/>
          </w:rPr>
          <w:t>https://doi.org/10.1080/0156655660130204</w:t>
        </w:r>
      </w:hyperlink>
    </w:p>
    <w:p w14:paraId="10CF7037" w14:textId="77777777" w:rsidR="009E4375" w:rsidRDefault="00000000" w:rsidP="00266915">
      <w:pPr>
        <w:spacing w:after="160"/>
        <w:ind w:left="540" w:hanging="540"/>
        <w:rPr>
          <w:highlight w:val="white"/>
        </w:rPr>
      </w:pPr>
      <w:r>
        <w:rPr>
          <w:highlight w:val="white"/>
        </w:rPr>
        <w:t xml:space="preserve">Othman, M. F., Rahmat, N. E., Aziz, N. A., Hak, N. A., &amp; Kamarudin, D. (2022). Children with disabilities in Malaysia and their educational rights. </w:t>
      </w:r>
      <w:r>
        <w:rPr>
          <w:i/>
          <w:iCs/>
          <w:highlight w:val="white"/>
        </w:rPr>
        <w:t>International Journal of Academic Research in Progressive Education and Development, 11</w:t>
      </w:r>
      <w:r>
        <w:rPr>
          <w:highlight w:val="white"/>
        </w:rPr>
        <w:t xml:space="preserve">(2), 360–372. </w:t>
      </w:r>
      <w:hyperlink r:id="rId148">
        <w:r w:rsidR="009E4375">
          <w:rPr>
            <w:highlight w:val="white"/>
            <w:u w:val="single"/>
          </w:rPr>
          <w:t>https://doi.org/10.6007/IJARPED/v11-i2/12986</w:t>
        </w:r>
      </w:hyperlink>
    </w:p>
    <w:p w14:paraId="10CF7038" w14:textId="77777777" w:rsidR="009E4375" w:rsidRDefault="00000000" w:rsidP="00266915">
      <w:pPr>
        <w:spacing w:after="160"/>
        <w:ind w:left="540" w:hanging="540"/>
      </w:pPr>
      <w:r>
        <w:t>Ow, S. H., Mokhtar, S., &amp; Zainuddin, R., (2007). A review on the teaching and learning resources for the deaf community in Malaysia.</w:t>
      </w:r>
      <w:r>
        <w:rPr>
          <w:i/>
          <w:iCs/>
        </w:rPr>
        <w:t xml:space="preserve"> Chiang Mai University Journal of Social Science and Humanities, 1</w:t>
      </w:r>
      <w:r>
        <w:t xml:space="preserve">(1), 165-176. </w:t>
      </w:r>
      <w:hyperlink r:id="rId149">
        <w:r w:rsidR="009E4375">
          <w:rPr>
            <w:u w:val="single"/>
          </w:rPr>
          <w:t>https://www.thaiscience.info/Journals/Article/CMUS/10325206.pdf</w:t>
        </w:r>
      </w:hyperlink>
    </w:p>
    <w:p w14:paraId="10CF7039" w14:textId="77777777" w:rsidR="009E4375" w:rsidRDefault="00000000" w:rsidP="00266915">
      <w:pPr>
        <w:spacing w:after="160"/>
        <w:ind w:left="540" w:hanging="540"/>
      </w:pPr>
      <w:r>
        <w:t>Parmenter, T. R. (1988). An analysis of the dimensions of quality of life for people with physical disabilities. In Brown, R. I. (Ed.),</w:t>
      </w:r>
      <w:r>
        <w:rPr>
          <w:i/>
          <w:iCs/>
        </w:rPr>
        <w:t xml:space="preserve"> Quality of life for handicapped people</w:t>
      </w:r>
      <w:r>
        <w:t xml:space="preserve"> (pp. 7-36). Croom Helm, London.</w:t>
      </w:r>
    </w:p>
    <w:p w14:paraId="10CF703A" w14:textId="77777777" w:rsidR="009E4375" w:rsidRDefault="00000000" w:rsidP="00266915">
      <w:pPr>
        <w:spacing w:after="160"/>
        <w:ind w:left="540" w:hanging="540"/>
      </w:pPr>
      <w:r w:rsidRPr="001F367A">
        <w:rPr>
          <w:lang w:val="sv-SE"/>
        </w:rPr>
        <w:t xml:space="preserve">Parsons, F. M. (2005). I dared! </w:t>
      </w:r>
      <w:r>
        <w:t xml:space="preserve">In B. Cyrus, E. Katz, C. Cheyney &amp; F. M. Parsons (Eds.) </w:t>
      </w:r>
      <w:r>
        <w:rPr>
          <w:i/>
          <w:iCs/>
        </w:rPr>
        <w:t>Deaf women’s lives: Three self-portraits.</w:t>
      </w:r>
      <w:r>
        <w:t xml:space="preserve"> (</w:t>
      </w:r>
      <w:proofErr w:type="gramStart"/>
      <w:r>
        <w:t>pp</w:t>
      </w:r>
      <w:proofErr w:type="gramEnd"/>
      <w:r>
        <w:t xml:space="preserve">. 189-304). Gallaudet University Press. </w:t>
      </w:r>
      <w:hyperlink r:id="rId150">
        <w:r w:rsidR="009E4375">
          <w:rPr>
            <w:u w:val="single"/>
          </w:rPr>
          <w:t>https://doi.org/10.2307/j.ctv2rr3dc6</w:t>
        </w:r>
      </w:hyperlink>
      <w:r>
        <w:t xml:space="preserve"> </w:t>
      </w:r>
    </w:p>
    <w:p w14:paraId="10CF703B" w14:textId="77777777" w:rsidR="009E4375" w:rsidRDefault="00000000" w:rsidP="00266915">
      <w:pPr>
        <w:spacing w:after="160"/>
        <w:ind w:left="540" w:hanging="540"/>
        <w:rPr>
          <w:i/>
          <w:iCs/>
        </w:rPr>
      </w:pPr>
      <w:r>
        <w:t xml:space="preserve">Patrick D. L, &amp; Edwards T. C. (2013). Translation and cultural adaptation manual for Seattle quality of life group instruments. </w:t>
      </w:r>
      <w:r>
        <w:rPr>
          <w:i/>
          <w:iCs/>
        </w:rPr>
        <w:t>Department of Health Services, University of Washington.</w:t>
      </w:r>
    </w:p>
    <w:p w14:paraId="10CF703C" w14:textId="77777777" w:rsidR="009E4375" w:rsidRDefault="00000000" w:rsidP="00266915">
      <w:pPr>
        <w:spacing w:after="160"/>
        <w:ind w:left="540" w:hanging="540"/>
      </w:pPr>
      <w:r>
        <w:t xml:space="preserve">Patrick, D. L., Edwards, T. C., Skalicky, A. M., Schick, B., Topolski, T. D., </w:t>
      </w:r>
      <w:proofErr w:type="spellStart"/>
      <w:r>
        <w:t>Kushalnagar</w:t>
      </w:r>
      <w:proofErr w:type="spellEnd"/>
      <w:r>
        <w:t>, P., Leng, M., O’Neill-Kemp, A. M., &amp; Sie, K. (2011). Validation of a quality-of-</w:t>
      </w:r>
      <w:proofErr w:type="spellStart"/>
      <w:r>
        <w:t>Llife</w:t>
      </w:r>
      <w:proofErr w:type="spellEnd"/>
      <w:r>
        <w:t xml:space="preserve"> measure for deaf or hard of hearing youth. </w:t>
      </w:r>
      <w:r>
        <w:rPr>
          <w:i/>
          <w:iCs/>
        </w:rPr>
        <w:t>Otolaryngology-Head and Neck Surgery</w:t>
      </w:r>
      <w:r>
        <w:t xml:space="preserve">, </w:t>
      </w:r>
      <w:r>
        <w:rPr>
          <w:i/>
          <w:iCs/>
        </w:rPr>
        <w:t>145</w:t>
      </w:r>
      <w:r>
        <w:t xml:space="preserve">(1), 137–145. </w:t>
      </w:r>
      <w:hyperlink r:id="rId151">
        <w:r w:rsidR="009E4375">
          <w:rPr>
            <w:u w:val="single"/>
          </w:rPr>
          <w:t>https://doi.org/10.1177/0194599810397604</w:t>
        </w:r>
      </w:hyperlink>
    </w:p>
    <w:p w14:paraId="10CF703D" w14:textId="77777777" w:rsidR="009E4375" w:rsidRDefault="00000000" w:rsidP="00266915">
      <w:pPr>
        <w:spacing w:after="0"/>
        <w:ind w:left="540" w:hanging="540"/>
        <w:rPr>
          <w:highlight w:val="white"/>
        </w:rPr>
      </w:pPr>
      <w:r>
        <w:t xml:space="preserve">Pregel, A., &amp; </w:t>
      </w:r>
      <w:proofErr w:type="spellStart"/>
      <w:r>
        <w:t>Kamenopoulou</w:t>
      </w:r>
      <w:proofErr w:type="spellEnd"/>
      <w:r>
        <w:t xml:space="preserve">, L. (2018). The interplay of deafness and ethnicity in processes of identity development: An ethnographic study within the Penang Deaf community in Malaysia. In L. </w:t>
      </w:r>
      <w:proofErr w:type="spellStart"/>
      <w:r>
        <w:t>Kamenopoulou</w:t>
      </w:r>
      <w:proofErr w:type="spellEnd"/>
      <w:r>
        <w:t xml:space="preserve"> (Ed.), </w:t>
      </w:r>
      <w:r>
        <w:rPr>
          <w:i/>
          <w:iCs/>
        </w:rPr>
        <w:t xml:space="preserve">Inclusive Education and </w:t>
      </w:r>
      <w:r>
        <w:rPr>
          <w:i/>
          <w:iCs/>
        </w:rPr>
        <w:lastRenderedPageBreak/>
        <w:t>Disability in the Global South</w:t>
      </w:r>
      <w:r>
        <w:t xml:space="preserve"> (pp. 21–51). </w:t>
      </w:r>
      <w:hyperlink r:id="rId152">
        <w:r w:rsidR="009E4375">
          <w:rPr>
            <w:u w:val="single"/>
          </w:rPr>
          <w:t>https://doi.org/10.1007/978-3-319-72829-2_2</w:t>
        </w:r>
      </w:hyperlink>
    </w:p>
    <w:p w14:paraId="10CF703E" w14:textId="77777777" w:rsidR="009E4375" w:rsidRDefault="00000000" w:rsidP="00266915">
      <w:pPr>
        <w:spacing w:after="0"/>
        <w:ind w:left="540" w:hanging="540"/>
        <w:rPr>
          <w:highlight w:val="white"/>
        </w:rPr>
      </w:pPr>
      <w:r>
        <w:rPr>
          <w:highlight w:val="white"/>
        </w:rPr>
        <w:t xml:space="preserve">Preisler, G. (2005). Development of communication in deafblind children. </w:t>
      </w:r>
      <w:r>
        <w:rPr>
          <w:i/>
          <w:iCs/>
          <w:highlight w:val="white"/>
        </w:rPr>
        <w:t>Scandinavian Journal of Disability Research</w:t>
      </w:r>
      <w:r>
        <w:rPr>
          <w:highlight w:val="white"/>
        </w:rPr>
        <w:t xml:space="preserve">, </w:t>
      </w:r>
      <w:r>
        <w:rPr>
          <w:i/>
          <w:iCs/>
          <w:highlight w:val="white"/>
        </w:rPr>
        <w:t>7</w:t>
      </w:r>
      <w:r>
        <w:rPr>
          <w:highlight w:val="white"/>
        </w:rPr>
        <w:t xml:space="preserve">(1), 41-62. </w:t>
      </w:r>
      <w:r>
        <w:rPr>
          <w:sz w:val="23"/>
          <w:szCs w:val="23"/>
          <w:highlight w:val="white"/>
        </w:rPr>
        <w:t xml:space="preserve"> </w:t>
      </w:r>
      <w:hyperlink r:id="rId153">
        <w:r w:rsidR="009E4375">
          <w:rPr>
            <w:highlight w:val="white"/>
            <w:u w:val="single"/>
          </w:rPr>
          <w:t>https://doi.org/10.1080/15017410510032145</w:t>
        </w:r>
      </w:hyperlink>
    </w:p>
    <w:p w14:paraId="10CF703F" w14:textId="77777777" w:rsidR="009E4375" w:rsidRDefault="00000000" w:rsidP="00266915">
      <w:pPr>
        <w:spacing w:after="0"/>
        <w:ind w:left="540" w:hanging="540"/>
        <w:rPr>
          <w:highlight w:val="white"/>
        </w:rPr>
      </w:pPr>
      <w:r>
        <w:rPr>
          <w:highlight w:val="white"/>
        </w:rPr>
        <w:t xml:space="preserve">Preisler, G., </w:t>
      </w:r>
      <w:proofErr w:type="spellStart"/>
      <w:r>
        <w:rPr>
          <w:highlight w:val="white"/>
        </w:rPr>
        <w:t>Tvingstedt</w:t>
      </w:r>
      <w:proofErr w:type="spellEnd"/>
      <w:r>
        <w:rPr>
          <w:highlight w:val="white"/>
        </w:rPr>
        <w:t xml:space="preserve">, A. L., &amp; Ahlstrom, M. (2005). Interviews with deaf children about their experiences using cochlear implants. </w:t>
      </w:r>
      <w:r>
        <w:rPr>
          <w:i/>
          <w:iCs/>
          <w:highlight w:val="white"/>
        </w:rPr>
        <w:t>American annals of the deaf</w:t>
      </w:r>
      <w:r>
        <w:rPr>
          <w:highlight w:val="white"/>
        </w:rPr>
        <w:t xml:space="preserve">, </w:t>
      </w:r>
      <w:r>
        <w:rPr>
          <w:i/>
          <w:iCs/>
          <w:highlight w:val="white"/>
        </w:rPr>
        <w:t>150</w:t>
      </w:r>
      <w:r>
        <w:rPr>
          <w:highlight w:val="white"/>
        </w:rPr>
        <w:t xml:space="preserve">(3), 260-267.  </w:t>
      </w:r>
      <w:hyperlink r:id="rId154">
        <w:r w:rsidR="009E4375">
          <w:rPr>
            <w:highlight w:val="white"/>
            <w:u w:val="single"/>
          </w:rPr>
          <w:t>https://doi.org/10.1353/aad.2005.0034</w:t>
        </w:r>
      </w:hyperlink>
    </w:p>
    <w:p w14:paraId="10CF7040" w14:textId="77777777" w:rsidR="009E4375" w:rsidRDefault="00000000" w:rsidP="00266915">
      <w:pPr>
        <w:spacing w:after="0"/>
        <w:ind w:left="540" w:hanging="540"/>
      </w:pPr>
      <w:r>
        <w:t xml:space="preserve">Qi, L., Zhang, H., Nie, R., Xiao, A., Wang, J., &amp; Du, Y. (2020). Quality of life of hearing-impaired middle school students: A cross-sectional study in Hubei province, China. </w:t>
      </w:r>
      <w:r>
        <w:rPr>
          <w:i/>
          <w:iCs/>
        </w:rPr>
        <w:t>Journal of Developmental and Physical Disabilities</w:t>
      </w:r>
      <w:r>
        <w:t xml:space="preserve">, </w:t>
      </w:r>
      <w:r>
        <w:rPr>
          <w:i/>
          <w:iCs/>
        </w:rPr>
        <w:t>32</w:t>
      </w:r>
      <w:r>
        <w:t xml:space="preserve">(5), 821–837. </w:t>
      </w:r>
      <w:hyperlink r:id="rId155">
        <w:r w:rsidR="009E4375">
          <w:rPr>
            <w:u w:val="single"/>
          </w:rPr>
          <w:t>https://doi.org/10.1007/s10882-019-09722-z</w:t>
        </w:r>
      </w:hyperlink>
    </w:p>
    <w:p w14:paraId="10CF7041" w14:textId="77777777" w:rsidR="009E4375" w:rsidRDefault="00000000" w:rsidP="00266915">
      <w:pPr>
        <w:spacing w:after="0"/>
        <w:ind w:left="540" w:hanging="540"/>
        <w:rPr>
          <w:u w:val="single"/>
        </w:rPr>
      </w:pPr>
      <w:r>
        <w:t xml:space="preserve">Raphael, D., Brown, I., Renwick, R., &amp; </w:t>
      </w:r>
      <w:proofErr w:type="spellStart"/>
      <w:r>
        <w:t>Rootman</w:t>
      </w:r>
      <w:proofErr w:type="spellEnd"/>
      <w:r>
        <w:t xml:space="preserve">, I. (1996). Assessing the quality of life of </w:t>
      </w:r>
      <w:proofErr w:type="gramStart"/>
      <w:r>
        <w:t>persons</w:t>
      </w:r>
      <w:proofErr w:type="gramEnd"/>
      <w:r>
        <w:t xml:space="preserve"> with developmental disabilities: Description of a new model, measuring instruments, and initial findings</w:t>
      </w:r>
      <w:r>
        <w:rPr>
          <w:i/>
          <w:iCs/>
        </w:rPr>
        <w:t>. International Journal of Disability, Development and Education</w:t>
      </w:r>
      <w:r>
        <w:t xml:space="preserve">, </w:t>
      </w:r>
      <w:r>
        <w:rPr>
          <w:i/>
          <w:iCs/>
        </w:rPr>
        <w:t>43</w:t>
      </w:r>
      <w:r>
        <w:t>(1), 25-42.</w:t>
      </w:r>
      <w:hyperlink r:id="rId156">
        <w:r w:rsidR="009E4375">
          <w:t xml:space="preserve"> </w:t>
        </w:r>
      </w:hyperlink>
      <w:hyperlink r:id="rId157">
        <w:r w:rsidR="009E4375">
          <w:rPr>
            <w:u w:val="single"/>
          </w:rPr>
          <w:t>https://doi.org/10.1080/0156655960430103</w:t>
        </w:r>
      </w:hyperlink>
    </w:p>
    <w:p w14:paraId="10CF7042" w14:textId="77777777" w:rsidR="009E4375" w:rsidRDefault="00000000" w:rsidP="00266915">
      <w:pPr>
        <w:spacing w:after="0"/>
        <w:ind w:left="540" w:hanging="540"/>
        <w:rPr>
          <w:highlight w:val="white"/>
        </w:rPr>
      </w:pPr>
      <w:r>
        <w:rPr>
          <w:highlight w:val="white"/>
        </w:rPr>
        <w:t xml:space="preserve">Raphael, D., Brown, I., &amp; Renwick, R. (1999). Psychometric properties of the full and short versions of the </w:t>
      </w:r>
      <w:proofErr w:type="gramStart"/>
      <w:r>
        <w:rPr>
          <w:highlight w:val="white"/>
        </w:rPr>
        <w:t>quality of life</w:t>
      </w:r>
      <w:proofErr w:type="gramEnd"/>
      <w:r>
        <w:rPr>
          <w:highlight w:val="white"/>
        </w:rPr>
        <w:t xml:space="preserve"> instrument package: Results from the Ontario provincewide study. </w:t>
      </w:r>
      <w:r>
        <w:rPr>
          <w:i/>
          <w:iCs/>
          <w:highlight w:val="white"/>
        </w:rPr>
        <w:t>International Journal of Disability, Development, and Education, 46(2), 157–168.</w:t>
      </w:r>
      <w:r>
        <w:rPr>
          <w:highlight w:val="white"/>
        </w:rPr>
        <w:t xml:space="preserve"> </w:t>
      </w:r>
      <w:hyperlink r:id="rId158">
        <w:r w:rsidR="009E4375">
          <w:rPr>
            <w:highlight w:val="white"/>
            <w:u w:val="single"/>
          </w:rPr>
          <w:t>https://doi.org/10.1080/103491299100605</w:t>
        </w:r>
      </w:hyperlink>
    </w:p>
    <w:p w14:paraId="10CF7043" w14:textId="77777777" w:rsidR="009E4375" w:rsidRDefault="00000000" w:rsidP="00266915">
      <w:pPr>
        <w:spacing w:after="0"/>
        <w:ind w:left="540" w:hanging="540"/>
      </w:pPr>
      <w:r w:rsidRPr="00D43BCC">
        <w:rPr>
          <w:lang w:val="nb-NO"/>
        </w:rPr>
        <w:t xml:space="preserve">Ravens-Sieberer, U., &amp; Bullinger, M. (1998). </w:t>
      </w:r>
      <w:r>
        <w:t xml:space="preserve">Assessing health-related quality of life in chronically ill children with the </w:t>
      </w:r>
      <w:proofErr w:type="spellStart"/>
      <w:r>
        <w:t>german</w:t>
      </w:r>
      <w:proofErr w:type="spellEnd"/>
      <w:r>
        <w:t xml:space="preserve"> KINDL: First psychometric and content analytical results. </w:t>
      </w:r>
      <w:r>
        <w:rPr>
          <w:i/>
          <w:iCs/>
        </w:rPr>
        <w:t>Quality of Life Research</w:t>
      </w:r>
      <w:r>
        <w:t xml:space="preserve">, </w:t>
      </w:r>
      <w:r>
        <w:rPr>
          <w:i/>
          <w:iCs/>
        </w:rPr>
        <w:t>7</w:t>
      </w:r>
      <w:r>
        <w:t xml:space="preserve">(5), 399–407. </w:t>
      </w:r>
      <w:hyperlink r:id="rId159">
        <w:r w:rsidR="009E4375">
          <w:rPr>
            <w:u w:val="single"/>
          </w:rPr>
          <w:t>https://doi.org/10.1023/A:1008853819715</w:t>
        </w:r>
      </w:hyperlink>
    </w:p>
    <w:p w14:paraId="10CF7044" w14:textId="77777777" w:rsidR="009E4375" w:rsidRDefault="00000000" w:rsidP="00266915">
      <w:pPr>
        <w:spacing w:after="0"/>
        <w:ind w:left="540" w:hanging="540"/>
        <w:rPr>
          <w:highlight w:val="white"/>
        </w:rPr>
      </w:pPr>
      <w:r>
        <w:rPr>
          <w:highlight w:val="white"/>
        </w:rPr>
        <w:t xml:space="preserve">Rogers, K. D., Dodds, C., Campbell, M., &amp; Young, A. (2018). The validation of the Short Warwick-Edinburgh Mental Well-Being Scale (SWEMWBS) with deaf British sign </w:t>
      </w:r>
      <w:r>
        <w:rPr>
          <w:highlight w:val="white"/>
        </w:rPr>
        <w:lastRenderedPageBreak/>
        <w:t xml:space="preserve">language users in the UK. </w:t>
      </w:r>
      <w:r>
        <w:rPr>
          <w:i/>
          <w:iCs/>
          <w:highlight w:val="white"/>
        </w:rPr>
        <w:t>Health and Quality of Life Outcomes</w:t>
      </w:r>
      <w:r>
        <w:rPr>
          <w:highlight w:val="white"/>
        </w:rPr>
        <w:t xml:space="preserve">, </w:t>
      </w:r>
      <w:r>
        <w:rPr>
          <w:i/>
          <w:iCs/>
          <w:highlight w:val="white"/>
        </w:rPr>
        <w:t>16</w:t>
      </w:r>
      <w:r>
        <w:rPr>
          <w:highlight w:val="white"/>
        </w:rPr>
        <w:t xml:space="preserve">, 1-12. </w:t>
      </w:r>
      <w:hyperlink r:id="rId160">
        <w:r w:rsidR="009E4375">
          <w:rPr>
            <w:highlight w:val="white"/>
            <w:u w:val="single"/>
          </w:rPr>
          <w:t>https://doi.org/10.1186/s12955-018-0976-x</w:t>
        </w:r>
      </w:hyperlink>
    </w:p>
    <w:p w14:paraId="10CF7045" w14:textId="77777777" w:rsidR="009E4375" w:rsidRDefault="00000000" w:rsidP="00266915">
      <w:pPr>
        <w:spacing w:after="0"/>
        <w:ind w:left="540" w:hanging="540"/>
      </w:pPr>
      <w:proofErr w:type="spellStart"/>
      <w:r>
        <w:rPr>
          <w:highlight w:val="white"/>
        </w:rPr>
        <w:t>Rusyda</w:t>
      </w:r>
      <w:proofErr w:type="spellEnd"/>
      <w:r>
        <w:rPr>
          <w:highlight w:val="white"/>
        </w:rPr>
        <w:t xml:space="preserve">, M. H., Abdul Kadir, N. B., Ismail, W. N. K., Abdul Jalil, S. J., Abdullah, N. A., Che Kasim, A., </w:t>
      </w:r>
      <w:proofErr w:type="spellStart"/>
      <w:r>
        <w:rPr>
          <w:highlight w:val="white"/>
        </w:rPr>
        <w:t>Hoesni</w:t>
      </w:r>
      <w:proofErr w:type="spellEnd"/>
      <w:r>
        <w:rPr>
          <w:highlight w:val="white"/>
        </w:rPr>
        <w:t xml:space="preserve"> S. M., Abdul Manaf, M. R</w:t>
      </w:r>
      <w:r>
        <w:t xml:space="preserve"> (2022) Identifying the psychometric properties of the Malay version of the WHOQOL-BREF among employees with obesity problem. </w:t>
      </w:r>
      <w:r>
        <w:rPr>
          <w:i/>
          <w:iCs/>
        </w:rPr>
        <w:t>International Journal of Environmental Research and Public Health</w:t>
      </w:r>
      <w:r>
        <w:t xml:space="preserve">. </w:t>
      </w:r>
      <w:r>
        <w:rPr>
          <w:i/>
          <w:iCs/>
        </w:rPr>
        <w:t>19</w:t>
      </w:r>
      <w:r>
        <w:t xml:space="preserve">(12), 7542. </w:t>
      </w:r>
      <w:hyperlink r:id="rId161">
        <w:r w:rsidR="009E4375">
          <w:rPr>
            <w:u w:val="single"/>
          </w:rPr>
          <w:t>https://doi.org/10.3390/ijerph19127542</w:t>
        </w:r>
      </w:hyperlink>
    </w:p>
    <w:p w14:paraId="10CF7046" w14:textId="77777777" w:rsidR="009E4375" w:rsidRDefault="00000000" w:rsidP="00266915">
      <w:pPr>
        <w:spacing w:after="0"/>
        <w:ind w:left="540" w:hanging="540"/>
        <w:rPr>
          <w:u w:val="single"/>
        </w:rPr>
      </w:pPr>
      <w:r w:rsidRPr="00D43BCC">
        <w:rPr>
          <w:lang w:val="es-ES"/>
        </w:rPr>
        <w:t xml:space="preserve">Ryan, R. M., &amp; </w:t>
      </w:r>
      <w:proofErr w:type="spellStart"/>
      <w:r w:rsidRPr="00D43BCC">
        <w:rPr>
          <w:lang w:val="es-ES"/>
        </w:rPr>
        <w:t>Deci</w:t>
      </w:r>
      <w:proofErr w:type="spellEnd"/>
      <w:r w:rsidRPr="00D43BCC">
        <w:rPr>
          <w:lang w:val="es-ES"/>
        </w:rPr>
        <w:t xml:space="preserve">, E. L. (2001). </w:t>
      </w:r>
      <w:r>
        <w:t xml:space="preserve">On happiness and human </w:t>
      </w:r>
      <w:proofErr w:type="gramStart"/>
      <w:r>
        <w:t>potentials</w:t>
      </w:r>
      <w:proofErr w:type="gramEnd"/>
      <w:r>
        <w:t xml:space="preserve">: A review of research on hedonic and eudaimonic well-being. </w:t>
      </w:r>
      <w:r>
        <w:rPr>
          <w:i/>
          <w:iCs/>
        </w:rPr>
        <w:t>Annual review of psychology</w:t>
      </w:r>
      <w:r>
        <w:t xml:space="preserve">, </w:t>
      </w:r>
      <w:r>
        <w:rPr>
          <w:i/>
          <w:iCs/>
        </w:rPr>
        <w:t>52</w:t>
      </w:r>
      <w:r>
        <w:t>(1), 141-166.</w:t>
      </w:r>
      <w:hyperlink r:id="rId162">
        <w:r w:rsidR="009E4375">
          <w:t xml:space="preserve"> </w:t>
        </w:r>
      </w:hyperlink>
      <w:hyperlink r:id="rId163">
        <w:r w:rsidR="009E4375">
          <w:rPr>
            <w:u w:val="single"/>
          </w:rPr>
          <w:t>https://doi.org/10.1146/annurev.psych.52.1.141</w:t>
        </w:r>
      </w:hyperlink>
    </w:p>
    <w:p w14:paraId="10CF7047" w14:textId="77777777" w:rsidR="009E4375" w:rsidRDefault="00000000" w:rsidP="00266915">
      <w:pPr>
        <w:spacing w:after="0"/>
        <w:ind w:left="540" w:hanging="540"/>
        <w:rPr>
          <w:highlight w:val="white"/>
        </w:rPr>
      </w:pPr>
      <w:r>
        <w:rPr>
          <w:highlight w:val="white"/>
        </w:rPr>
        <w:t xml:space="preserve">Sandler, W., &amp; Lillo‐Martin, D. (2001). Natural sign languages. In Aronoff, M., Ress‐Miller, J. (Eds.)  </w:t>
      </w:r>
      <w:r>
        <w:rPr>
          <w:i/>
          <w:iCs/>
          <w:highlight w:val="white"/>
        </w:rPr>
        <w:t>The Handbook of Linguistics</w:t>
      </w:r>
      <w:r>
        <w:rPr>
          <w:highlight w:val="white"/>
        </w:rPr>
        <w:t xml:space="preserve">, 533-562. </w:t>
      </w:r>
      <w:hyperlink r:id="rId164">
        <w:r w:rsidR="009E4375">
          <w:rPr>
            <w:highlight w:val="white"/>
            <w:u w:val="single"/>
          </w:rPr>
          <w:t>https://doi.org/10.1002/9780470756409.ch22</w:t>
        </w:r>
      </w:hyperlink>
    </w:p>
    <w:p w14:paraId="10CF7048" w14:textId="77777777" w:rsidR="009E4375" w:rsidRDefault="00000000" w:rsidP="00266915">
      <w:pPr>
        <w:spacing w:after="0"/>
        <w:ind w:left="540" w:hanging="540"/>
        <w:rPr>
          <w:highlight w:val="white"/>
        </w:rPr>
      </w:pPr>
      <w:r>
        <w:rPr>
          <w:highlight w:val="white"/>
        </w:rPr>
        <w:t xml:space="preserve">Said, E. A. (2017). Health-related quality of life in elderly hearing aid users vs. non-users. </w:t>
      </w:r>
      <w:r>
        <w:rPr>
          <w:i/>
          <w:iCs/>
          <w:highlight w:val="white"/>
        </w:rPr>
        <w:t>Egyptian Journal of Ear, Nose, Throat and Allied Sciences</w:t>
      </w:r>
      <w:r>
        <w:rPr>
          <w:highlight w:val="white"/>
        </w:rPr>
        <w:t xml:space="preserve">, </w:t>
      </w:r>
      <w:r>
        <w:rPr>
          <w:i/>
          <w:iCs/>
          <w:highlight w:val="white"/>
        </w:rPr>
        <w:t>18</w:t>
      </w:r>
      <w:r>
        <w:rPr>
          <w:highlight w:val="white"/>
        </w:rPr>
        <w:t xml:space="preserve">(3), 271-279. </w:t>
      </w:r>
      <w:hyperlink r:id="rId165">
        <w:r w:rsidR="009E4375">
          <w:rPr>
            <w:highlight w:val="white"/>
            <w:u w:val="single"/>
          </w:rPr>
          <w:t>https://doi.org/10.1016/j.ejenta.2017.11.006</w:t>
        </w:r>
      </w:hyperlink>
      <w:r>
        <w:rPr>
          <w:highlight w:val="white"/>
        </w:rPr>
        <w:t xml:space="preserve"> </w:t>
      </w:r>
    </w:p>
    <w:p w14:paraId="10CF7049" w14:textId="77777777" w:rsidR="009E4375" w:rsidRDefault="00000000" w:rsidP="00266915">
      <w:pPr>
        <w:spacing w:after="0"/>
        <w:ind w:left="540" w:hanging="540"/>
      </w:pPr>
      <w:r>
        <w:t xml:space="preserve">Sawatzky, R., Ratner, P. A., &amp; Chiu, L. (2005). A meta-analysis of the relationship between spirituality and quality of life. </w:t>
      </w:r>
      <w:r>
        <w:rPr>
          <w:i/>
          <w:iCs/>
        </w:rPr>
        <w:t>Social Indicators Research, 72</w:t>
      </w:r>
      <w:r>
        <w:t xml:space="preserve">(2), 153-188. </w:t>
      </w:r>
      <w:hyperlink r:id="rId166">
        <w:r w:rsidR="009E4375">
          <w:rPr>
            <w:u w:val="single"/>
          </w:rPr>
          <w:t>https://doi.org/10.1007/s11205-004-5577-x</w:t>
        </w:r>
      </w:hyperlink>
    </w:p>
    <w:p w14:paraId="10CF704A" w14:textId="77777777" w:rsidR="009E4375" w:rsidRDefault="00000000" w:rsidP="00266915">
      <w:pPr>
        <w:spacing w:after="0"/>
        <w:ind w:left="540" w:hanging="540"/>
      </w:pPr>
      <w:r>
        <w:t xml:space="preserve">Schalock R. L. (1994). The concept of quality of life and its current applications in the field of mental retardation developmental disabilities. In D. Goode (Ed.), </w:t>
      </w:r>
      <w:r>
        <w:rPr>
          <w:i/>
          <w:iCs/>
        </w:rPr>
        <w:t>Quality of Life for Persons with Disabilities: International Perspectives and Issues</w:t>
      </w:r>
      <w:r>
        <w:t xml:space="preserve"> (pp. 266–284). Brookline Books.</w:t>
      </w:r>
    </w:p>
    <w:p w14:paraId="10CF704B" w14:textId="77777777" w:rsidR="009E4375" w:rsidRDefault="00000000" w:rsidP="00266915">
      <w:pPr>
        <w:spacing w:after="0"/>
        <w:ind w:left="540" w:hanging="540"/>
      </w:pPr>
      <w:r>
        <w:t>Schalock R. L. (1996). Reconsidering the conceptualization and measurement of quality of life. In R. L. Schalock (Ed.),</w:t>
      </w:r>
      <w:r>
        <w:rPr>
          <w:i/>
          <w:iCs/>
        </w:rPr>
        <w:t xml:space="preserve"> Quality of Life Volume I: Conceptualization and Measurement</w:t>
      </w:r>
      <w:r>
        <w:t xml:space="preserve">, pp. 123–39. American Association on Mental Retardation. </w:t>
      </w:r>
    </w:p>
    <w:p w14:paraId="10CF704C" w14:textId="77777777" w:rsidR="009E4375" w:rsidRDefault="00000000" w:rsidP="00266915">
      <w:pPr>
        <w:spacing w:after="0"/>
        <w:ind w:left="540" w:hanging="540"/>
      </w:pPr>
      <w:r>
        <w:lastRenderedPageBreak/>
        <w:t xml:space="preserve">Schalock, R. L., &amp; Alonso, M. A. V. (2002). </w:t>
      </w:r>
      <w:r>
        <w:rPr>
          <w:i/>
          <w:iCs/>
        </w:rPr>
        <w:t>Handbook on quality of life for human service practitioners.</w:t>
      </w:r>
      <w:r>
        <w:t xml:space="preserve"> American Association on Mental Retardation, Washington, DC.</w:t>
      </w:r>
    </w:p>
    <w:p w14:paraId="10CF704D" w14:textId="77777777" w:rsidR="009E4375" w:rsidRDefault="00000000" w:rsidP="00266915">
      <w:pPr>
        <w:spacing w:after="0"/>
        <w:ind w:left="540" w:hanging="540"/>
      </w:pPr>
      <w:r>
        <w:t xml:space="preserve">Schalock, R. L., Brown, I., Brown, R., Cummins, R. A., Felce, D., </w:t>
      </w:r>
      <w:proofErr w:type="spellStart"/>
      <w:r>
        <w:t>Matikka</w:t>
      </w:r>
      <w:proofErr w:type="spellEnd"/>
      <w:r>
        <w:t xml:space="preserve">, L., Keith, K. D., &amp; Parmenter, T. (2002). Conceptualization, measurement, and application of quality of life for persons with intellectual disabilities: Report of an international panel of experts. </w:t>
      </w:r>
      <w:r>
        <w:rPr>
          <w:i/>
          <w:iCs/>
        </w:rPr>
        <w:t>Mental Retardation, 40</w:t>
      </w:r>
      <w:r>
        <w:t xml:space="preserve">(6), 457–470. </w:t>
      </w:r>
      <w:hyperlink r:id="rId167">
        <w:r w:rsidR="009E4375">
          <w:rPr>
            <w:u w:val="single"/>
          </w:rPr>
          <w:t>https://doi.org/10.1352/0047-6765(2002)040%3C0457:CMAAOQ%3E2.0.CO;2</w:t>
        </w:r>
      </w:hyperlink>
      <w:r>
        <w:t xml:space="preserve"> </w:t>
      </w:r>
    </w:p>
    <w:p w14:paraId="10CF704E" w14:textId="77777777" w:rsidR="009E4375" w:rsidRDefault="00000000" w:rsidP="00266915">
      <w:pPr>
        <w:spacing w:after="0"/>
        <w:ind w:left="540" w:hanging="540"/>
      </w:pPr>
      <w:r>
        <w:t xml:space="preserve">Schalock, R. L., Keith, K. D., &amp; Hoffman, K. (1990). Quality of life questionnaire standardization manual. </w:t>
      </w:r>
      <w:r>
        <w:rPr>
          <w:i/>
          <w:iCs/>
        </w:rPr>
        <w:t>Mid-Nebraska Mental Retardation Services</w:t>
      </w:r>
      <w:r>
        <w:t>.</w:t>
      </w:r>
    </w:p>
    <w:p w14:paraId="10CF704F" w14:textId="77777777" w:rsidR="009E4375" w:rsidRDefault="00000000" w:rsidP="00266915">
      <w:pPr>
        <w:spacing w:after="0"/>
        <w:ind w:left="540" w:hanging="540"/>
      </w:pPr>
      <w:r>
        <w:t xml:space="preserve">Schalock, R. L., </w:t>
      </w:r>
      <w:proofErr w:type="spellStart"/>
      <w:r>
        <w:t>Luckasson</w:t>
      </w:r>
      <w:proofErr w:type="spellEnd"/>
      <w:r>
        <w:t xml:space="preserve">, R., </w:t>
      </w:r>
      <w:proofErr w:type="spellStart"/>
      <w:r>
        <w:t>Tassé</w:t>
      </w:r>
      <w:proofErr w:type="spellEnd"/>
      <w:r>
        <w:t>, M. J., &amp; Shogren, K. A. (2022). The IDD paradigm of shared citizenship: Its operationalization, application, evaluation, and shaping for the future.</w:t>
      </w:r>
      <w:r>
        <w:rPr>
          <w:i/>
          <w:iCs/>
        </w:rPr>
        <w:t xml:space="preserve"> Intellectual and developmental disabilities</w:t>
      </w:r>
      <w:r>
        <w:t>,</w:t>
      </w:r>
      <w:r>
        <w:rPr>
          <w:i/>
          <w:iCs/>
        </w:rPr>
        <w:t xml:space="preserve"> 60</w:t>
      </w:r>
      <w:r>
        <w:t xml:space="preserve">(5), 426-443. </w:t>
      </w:r>
      <w:hyperlink r:id="rId168">
        <w:r w:rsidR="009E4375">
          <w:rPr>
            <w:u w:val="single"/>
          </w:rPr>
          <w:t>https://doi.org/10.1352/1934-9556-60.5.426</w:t>
        </w:r>
      </w:hyperlink>
    </w:p>
    <w:p w14:paraId="10CF7050" w14:textId="77777777" w:rsidR="009E4375" w:rsidRDefault="00000000" w:rsidP="00266915">
      <w:pPr>
        <w:spacing w:after="0"/>
        <w:ind w:left="540" w:hanging="540"/>
      </w:pPr>
      <w:r>
        <w:t xml:space="preserve">Schlesinger, H. S. (2000). A developmental model applied to problems of deafness. </w:t>
      </w:r>
      <w:r>
        <w:rPr>
          <w:i/>
          <w:iCs/>
        </w:rPr>
        <w:t>Journal of Deaf Studies and Deaf Education</w:t>
      </w:r>
      <w:r>
        <w:t xml:space="preserve">, </w:t>
      </w:r>
      <w:r>
        <w:rPr>
          <w:i/>
          <w:iCs/>
        </w:rPr>
        <w:t>5</w:t>
      </w:r>
      <w:r>
        <w:t xml:space="preserve">(4), 349–361. </w:t>
      </w:r>
      <w:hyperlink r:id="rId169">
        <w:r w:rsidR="009E4375">
          <w:rPr>
            <w:u w:val="single"/>
          </w:rPr>
          <w:t>https://doi.org/10.1093/deafed/5.4.349</w:t>
        </w:r>
      </w:hyperlink>
    </w:p>
    <w:p w14:paraId="10CF7051" w14:textId="77777777" w:rsidR="009E4375" w:rsidRDefault="00000000" w:rsidP="00266915">
      <w:pPr>
        <w:spacing w:after="0"/>
        <w:ind w:left="540" w:hanging="540"/>
      </w:pPr>
      <w:r>
        <w:t xml:space="preserve">Schick, B., Skalicky, A., Edwards, T., </w:t>
      </w:r>
      <w:proofErr w:type="spellStart"/>
      <w:r>
        <w:t>Kushalnagar</w:t>
      </w:r>
      <w:proofErr w:type="spellEnd"/>
      <w:r>
        <w:t xml:space="preserve">, P., Topolski, T., &amp; Patrick, D. (2013). School Placement and Perceived Quality of Life in Youth Who Are Deaf or Hard of Hearing. </w:t>
      </w:r>
      <w:r>
        <w:rPr>
          <w:i/>
          <w:iCs/>
        </w:rPr>
        <w:t>Journal of Deaf Studies and Deaf Education</w:t>
      </w:r>
      <w:r>
        <w:t xml:space="preserve">, </w:t>
      </w:r>
      <w:r>
        <w:rPr>
          <w:i/>
          <w:iCs/>
        </w:rPr>
        <w:t>18</w:t>
      </w:r>
      <w:r>
        <w:t xml:space="preserve">(1), 47–61. </w:t>
      </w:r>
      <w:hyperlink r:id="rId170">
        <w:r w:rsidR="009E4375">
          <w:rPr>
            <w:u w:val="single"/>
          </w:rPr>
          <w:t>https://doi.org/10.1093/deafed/ens039</w:t>
        </w:r>
      </w:hyperlink>
    </w:p>
    <w:p w14:paraId="10CF7052" w14:textId="77777777" w:rsidR="009E4375" w:rsidRDefault="00000000" w:rsidP="00266915">
      <w:pPr>
        <w:spacing w:after="0"/>
        <w:ind w:left="540" w:hanging="540"/>
        <w:rPr>
          <w:highlight w:val="white"/>
        </w:rPr>
      </w:pPr>
      <w:r w:rsidRPr="00D43BCC">
        <w:rPr>
          <w:highlight w:val="white"/>
          <w:lang w:val="fi-FI"/>
        </w:rPr>
        <w:t xml:space="preserve">Setiawan, E. P., Saputra, K. A. D., Muliarta, I. M., &amp; Sesarini, P. M. (2019). </w:t>
      </w:r>
      <w:r>
        <w:rPr>
          <w:highlight w:val="white"/>
        </w:rPr>
        <w:t xml:space="preserve">Deaf mutism population and quality of life measure for adolescents with deaf mutism in </w:t>
      </w:r>
      <w:proofErr w:type="spellStart"/>
      <w:r>
        <w:rPr>
          <w:highlight w:val="white"/>
        </w:rPr>
        <w:t>Bengkala</w:t>
      </w:r>
      <w:proofErr w:type="spellEnd"/>
      <w:r>
        <w:rPr>
          <w:highlight w:val="white"/>
        </w:rPr>
        <w:t xml:space="preserve"> village and deaf school. </w:t>
      </w:r>
      <w:r>
        <w:rPr>
          <w:i/>
          <w:iCs/>
          <w:highlight w:val="white"/>
        </w:rPr>
        <w:t>BioMed Research Journal, 3(</w:t>
      </w:r>
      <w:r>
        <w:rPr>
          <w:highlight w:val="white"/>
        </w:rPr>
        <w:t xml:space="preserve">1), 69-74. </w:t>
      </w:r>
      <w:hyperlink r:id="rId171">
        <w:r w:rsidR="009E4375">
          <w:rPr>
            <w:highlight w:val="white"/>
            <w:u w:val="single"/>
          </w:rPr>
          <w:t>https://www.scitcentral.com/documents/c7f4e82085c88465ea3c87f0a716b2a6.pdf</w:t>
        </w:r>
      </w:hyperlink>
    </w:p>
    <w:p w14:paraId="10CF7053" w14:textId="77777777" w:rsidR="009E4375" w:rsidRDefault="00000000" w:rsidP="00266915">
      <w:pPr>
        <w:spacing w:after="0"/>
        <w:ind w:left="540" w:hanging="540"/>
        <w:rPr>
          <w:highlight w:val="white"/>
        </w:rPr>
      </w:pPr>
      <w:proofErr w:type="spellStart"/>
      <w:r>
        <w:rPr>
          <w:highlight w:val="white"/>
        </w:rPr>
        <w:t>Siadatian</w:t>
      </w:r>
      <w:proofErr w:type="spellEnd"/>
      <w:r>
        <w:rPr>
          <w:highlight w:val="white"/>
        </w:rPr>
        <w:t xml:space="preserve"> Arani, S. H., </w:t>
      </w:r>
      <w:proofErr w:type="spellStart"/>
      <w:r>
        <w:rPr>
          <w:highlight w:val="white"/>
        </w:rPr>
        <w:t>Ashori</w:t>
      </w:r>
      <w:proofErr w:type="spellEnd"/>
      <w:r>
        <w:rPr>
          <w:highlight w:val="white"/>
        </w:rPr>
        <w:t xml:space="preserve">, M., Faramarzi, S., Norouzi, G., &amp; Spencer, L. J. (2022). Investigating the effect of PERMA flourishing educational program on the quality of </w:t>
      </w:r>
      <w:r>
        <w:rPr>
          <w:highlight w:val="white"/>
        </w:rPr>
        <w:lastRenderedPageBreak/>
        <w:t xml:space="preserve">life of adolescents with hearing impairment. </w:t>
      </w:r>
      <w:r>
        <w:rPr>
          <w:i/>
          <w:iCs/>
          <w:highlight w:val="white"/>
        </w:rPr>
        <w:t>Journal of Exceptional Children</w:t>
      </w:r>
      <w:r>
        <w:rPr>
          <w:highlight w:val="white"/>
        </w:rPr>
        <w:t xml:space="preserve">, </w:t>
      </w:r>
      <w:r>
        <w:rPr>
          <w:i/>
          <w:iCs/>
          <w:highlight w:val="white"/>
        </w:rPr>
        <w:t>22</w:t>
      </w:r>
      <w:r>
        <w:rPr>
          <w:highlight w:val="white"/>
        </w:rPr>
        <w:t>(4), 57-68.</w:t>
      </w:r>
    </w:p>
    <w:p w14:paraId="10CF7054" w14:textId="77777777" w:rsidR="009E4375" w:rsidRDefault="00000000" w:rsidP="00266915">
      <w:pPr>
        <w:spacing w:after="0"/>
        <w:ind w:left="540" w:hanging="540"/>
        <w:rPr>
          <w:u w:val="single"/>
        </w:rPr>
      </w:pPr>
      <w:proofErr w:type="spellStart"/>
      <w:r>
        <w:t>Sirgy</w:t>
      </w:r>
      <w:proofErr w:type="spellEnd"/>
      <w:r>
        <w:t xml:space="preserve">, M. J. (1986). A </w:t>
      </w:r>
      <w:proofErr w:type="gramStart"/>
      <w:r>
        <w:t>quality</w:t>
      </w:r>
      <w:r>
        <w:rPr>
          <w:rFonts w:ascii="Times New Roman" w:eastAsia="Times New Roman" w:hAnsi="Times New Roman" w:cs="Times New Roman"/>
        </w:rPr>
        <w:t xml:space="preserve"> </w:t>
      </w:r>
      <w:r>
        <w:t>of</w:t>
      </w:r>
      <w:r>
        <w:rPr>
          <w:rFonts w:ascii="Times New Roman" w:eastAsia="Times New Roman" w:hAnsi="Times New Roman" w:cs="Times New Roman"/>
        </w:rPr>
        <w:t xml:space="preserve"> </w:t>
      </w:r>
      <w:r>
        <w:t>life</w:t>
      </w:r>
      <w:proofErr w:type="gramEnd"/>
      <w:r>
        <w:t xml:space="preserve"> theory derived from Maslow's developmental </w:t>
      </w:r>
      <w:proofErr w:type="gramStart"/>
      <w:r>
        <w:t>perspective: ‘</w:t>
      </w:r>
      <w:proofErr w:type="gramEnd"/>
      <w:r>
        <w:t xml:space="preserve">Quality’ is related to progressive satisfaction of a hierarchy of needs, lower order and higher. </w:t>
      </w:r>
      <w:r>
        <w:rPr>
          <w:i/>
          <w:iCs/>
        </w:rPr>
        <w:t>American Journal of Economics and Sociology</w:t>
      </w:r>
      <w:r>
        <w:t xml:space="preserve">, </w:t>
      </w:r>
      <w:r>
        <w:rPr>
          <w:i/>
          <w:iCs/>
        </w:rPr>
        <w:t>45</w:t>
      </w:r>
      <w:r>
        <w:t>(3), 329-342.</w:t>
      </w:r>
      <w:hyperlink r:id="rId172">
        <w:r w:rsidR="009E4375">
          <w:t xml:space="preserve"> </w:t>
        </w:r>
      </w:hyperlink>
      <w:hyperlink r:id="rId173">
        <w:r w:rsidR="009E4375">
          <w:rPr>
            <w:u w:val="single"/>
          </w:rPr>
          <w:t>https://doi.org/10.1111/j.1536-7150.1986.tb02394.x</w:t>
        </w:r>
      </w:hyperlink>
    </w:p>
    <w:p w14:paraId="10CF7055" w14:textId="77777777" w:rsidR="009E4375" w:rsidRDefault="00000000" w:rsidP="00266915">
      <w:pPr>
        <w:spacing w:after="0"/>
        <w:ind w:left="540" w:hanging="540"/>
        <w:rPr>
          <w:highlight w:val="white"/>
        </w:rPr>
      </w:pPr>
      <w:proofErr w:type="spellStart"/>
      <w:r>
        <w:rPr>
          <w:highlight w:val="white"/>
        </w:rPr>
        <w:t>Sirgy</w:t>
      </w:r>
      <w:proofErr w:type="spellEnd"/>
      <w:r>
        <w:rPr>
          <w:highlight w:val="white"/>
        </w:rPr>
        <w:t xml:space="preserve">, M. J., Morris, M., &amp; </w:t>
      </w:r>
      <w:proofErr w:type="spellStart"/>
      <w:r>
        <w:rPr>
          <w:highlight w:val="white"/>
        </w:rPr>
        <w:t>Samli</w:t>
      </w:r>
      <w:proofErr w:type="spellEnd"/>
      <w:r>
        <w:rPr>
          <w:highlight w:val="white"/>
        </w:rPr>
        <w:t xml:space="preserve">, K. C. (1985). The question of value in social marketing: Use of a </w:t>
      </w:r>
      <w:proofErr w:type="gramStart"/>
      <w:r>
        <w:rPr>
          <w:highlight w:val="white"/>
        </w:rPr>
        <w:t>quality of life</w:t>
      </w:r>
      <w:proofErr w:type="gramEnd"/>
      <w:r>
        <w:rPr>
          <w:highlight w:val="white"/>
        </w:rPr>
        <w:t xml:space="preserve"> theory to achieve long term life satisfaction. </w:t>
      </w:r>
      <w:r>
        <w:rPr>
          <w:i/>
          <w:iCs/>
          <w:highlight w:val="white"/>
        </w:rPr>
        <w:t>The American Journal of Economics and Sociology</w:t>
      </w:r>
      <w:r>
        <w:rPr>
          <w:highlight w:val="white"/>
        </w:rPr>
        <w:t xml:space="preserve">, </w:t>
      </w:r>
      <w:r>
        <w:rPr>
          <w:i/>
          <w:iCs/>
          <w:highlight w:val="white"/>
        </w:rPr>
        <w:t>44</w:t>
      </w:r>
      <w:r>
        <w:rPr>
          <w:highlight w:val="white"/>
        </w:rPr>
        <w:t xml:space="preserve">(2), 215-228. </w:t>
      </w:r>
      <w:hyperlink r:id="rId174">
        <w:r w:rsidR="009E4375">
          <w:rPr>
            <w:highlight w:val="white"/>
            <w:u w:val="single"/>
          </w:rPr>
          <w:t>https://doi.org/10.1111/j.1536-7150.1985.tb02336.x</w:t>
        </w:r>
      </w:hyperlink>
    </w:p>
    <w:p w14:paraId="10CF7056" w14:textId="77777777" w:rsidR="009E4375" w:rsidRDefault="00000000" w:rsidP="00266915">
      <w:pPr>
        <w:spacing w:after="0"/>
        <w:ind w:left="540" w:hanging="540"/>
        <w:rPr>
          <w:highlight w:val="white"/>
        </w:rPr>
      </w:pPr>
      <w:proofErr w:type="spellStart"/>
      <w:r>
        <w:rPr>
          <w:highlight w:val="white"/>
        </w:rPr>
        <w:t>Sirgy</w:t>
      </w:r>
      <w:proofErr w:type="spellEnd"/>
      <w:r>
        <w:rPr>
          <w:highlight w:val="white"/>
        </w:rPr>
        <w:t xml:space="preserve">, M. J., </w:t>
      </w:r>
      <w:proofErr w:type="spellStart"/>
      <w:r>
        <w:rPr>
          <w:highlight w:val="white"/>
        </w:rPr>
        <w:t>Samli</w:t>
      </w:r>
      <w:proofErr w:type="spellEnd"/>
      <w:r>
        <w:rPr>
          <w:highlight w:val="white"/>
        </w:rPr>
        <w:t xml:space="preserve">, A. C., &amp; Meadow, H. L. (1982). The interface between quality of life and marketing: A theoretical framework. </w:t>
      </w:r>
      <w:r>
        <w:rPr>
          <w:i/>
          <w:iCs/>
          <w:highlight w:val="white"/>
        </w:rPr>
        <w:t>Journal of Marketing &amp; Public Policy</w:t>
      </w:r>
      <w:r>
        <w:rPr>
          <w:highlight w:val="white"/>
        </w:rPr>
        <w:t xml:space="preserve">, </w:t>
      </w:r>
      <w:r>
        <w:rPr>
          <w:i/>
          <w:iCs/>
          <w:highlight w:val="white"/>
        </w:rPr>
        <w:t>1</w:t>
      </w:r>
      <w:r>
        <w:rPr>
          <w:highlight w:val="white"/>
        </w:rPr>
        <w:t xml:space="preserve">(1), 69-84. </w:t>
      </w:r>
      <w:hyperlink r:id="rId175">
        <w:r w:rsidR="009E4375">
          <w:rPr>
            <w:highlight w:val="white"/>
            <w:u w:val="single"/>
          </w:rPr>
          <w:t>https://doi.org/10.1177/074391568200100106</w:t>
        </w:r>
      </w:hyperlink>
    </w:p>
    <w:p w14:paraId="10CF7057" w14:textId="77777777" w:rsidR="009E4375" w:rsidRDefault="00000000" w:rsidP="00266915">
      <w:pPr>
        <w:spacing w:after="0"/>
        <w:ind w:left="540" w:hanging="540"/>
      </w:pPr>
      <w:r>
        <w:t xml:space="preserve">Skalicky, A., Schick, B., &amp; Patrick, D. (2010). Quality of life of youth with hearing loss. </w:t>
      </w:r>
      <w:r>
        <w:rPr>
          <w:i/>
          <w:iCs/>
        </w:rPr>
        <w:t>ASHA Leader</w:t>
      </w:r>
      <w:r>
        <w:t xml:space="preserve">, </w:t>
      </w:r>
      <w:r>
        <w:rPr>
          <w:i/>
          <w:iCs/>
        </w:rPr>
        <w:t>15</w:t>
      </w:r>
      <w:r>
        <w:t xml:space="preserve">(15), 5–6. </w:t>
      </w:r>
      <w:hyperlink r:id="rId176">
        <w:r w:rsidR="009E4375">
          <w:rPr>
            <w:u w:val="single"/>
          </w:rPr>
          <w:t>https://doi.org/10.1044/leader.ftr3.15152010.5</w:t>
        </w:r>
      </w:hyperlink>
    </w:p>
    <w:p w14:paraId="10CF7058" w14:textId="77777777" w:rsidR="009E4375" w:rsidRDefault="00000000" w:rsidP="00266915">
      <w:pPr>
        <w:spacing w:after="0"/>
        <w:ind w:left="540" w:hanging="540"/>
      </w:pPr>
      <w:r>
        <w:t xml:space="preserve">Spencer, L. J., Tomblin, J. B., &amp; Gantz, B. J. (2012). Growing Up </w:t>
      </w:r>
      <w:proofErr w:type="gramStart"/>
      <w:r>
        <w:t>With</w:t>
      </w:r>
      <w:proofErr w:type="gramEnd"/>
      <w:r>
        <w:t xml:space="preserve"> a Cochlear Implant: Education, Vocation, and Affiliation. </w:t>
      </w:r>
      <w:r>
        <w:rPr>
          <w:i/>
          <w:iCs/>
        </w:rPr>
        <w:t>Journal of Deaf Studies and Deaf Education</w:t>
      </w:r>
      <w:r>
        <w:t xml:space="preserve">, </w:t>
      </w:r>
      <w:r>
        <w:rPr>
          <w:i/>
          <w:iCs/>
        </w:rPr>
        <w:t>17</w:t>
      </w:r>
      <w:r>
        <w:t xml:space="preserve">(4), 483–498. </w:t>
      </w:r>
      <w:hyperlink r:id="rId177">
        <w:r w:rsidR="009E4375">
          <w:rPr>
            <w:u w:val="single"/>
          </w:rPr>
          <w:t>https://doi.org/10.1093/deafed/ens024</w:t>
        </w:r>
      </w:hyperlink>
    </w:p>
    <w:p w14:paraId="10CF7059" w14:textId="77777777" w:rsidR="009E4375" w:rsidRDefault="00000000" w:rsidP="00266915">
      <w:pPr>
        <w:spacing w:after="0"/>
        <w:ind w:left="540" w:hanging="540"/>
      </w:pPr>
      <w:r w:rsidRPr="00D43BCC">
        <w:rPr>
          <w:lang w:val="sv-SE"/>
        </w:rPr>
        <w:t xml:space="preserve">Sparreboom, M., Snik, A. F., &amp; Mylanus, E. A. (2012). </w:t>
      </w:r>
      <w:r>
        <w:t xml:space="preserve">Sequential bilateral cochlear implantation in children: quality of life. </w:t>
      </w:r>
      <w:r>
        <w:rPr>
          <w:i/>
          <w:iCs/>
        </w:rPr>
        <w:t>Archives of Otolaryngology–Head &amp; Neck Surgery, 138</w:t>
      </w:r>
      <w:r>
        <w:t xml:space="preserve">(2), 134-141. </w:t>
      </w:r>
      <w:hyperlink r:id="rId178">
        <w:r w:rsidR="009E4375">
          <w:rPr>
            <w:u w:val="single"/>
          </w:rPr>
          <w:t>https://doi.org/10.1001/archoto.2011.229</w:t>
        </w:r>
      </w:hyperlink>
    </w:p>
    <w:p w14:paraId="10CF705A" w14:textId="77777777" w:rsidR="009E4375" w:rsidRDefault="00000000" w:rsidP="00266915">
      <w:pPr>
        <w:spacing w:after="0"/>
        <w:ind w:left="540" w:hanging="540"/>
      </w:pPr>
      <w:r w:rsidRPr="00D43BCC">
        <w:rPr>
          <w:lang w:val="fi-FI"/>
        </w:rPr>
        <w:t xml:space="preserve">Squires, A., Sadarangani, T., &amp; Jones, S. (2020). </w:t>
      </w:r>
      <w:r>
        <w:t xml:space="preserve">Strategies for overcoming language barriers in research. </w:t>
      </w:r>
      <w:r>
        <w:rPr>
          <w:i/>
          <w:iCs/>
        </w:rPr>
        <w:t>Journal of Advanced Nursing</w:t>
      </w:r>
      <w:r>
        <w:t xml:space="preserve">, </w:t>
      </w:r>
      <w:r>
        <w:rPr>
          <w:i/>
          <w:iCs/>
        </w:rPr>
        <w:t>76</w:t>
      </w:r>
      <w:r>
        <w:t xml:space="preserve">(2), 706–714. </w:t>
      </w:r>
      <w:hyperlink r:id="rId179">
        <w:r w:rsidR="009E4375">
          <w:rPr>
            <w:u w:val="single"/>
          </w:rPr>
          <w:t>https://doi.org/10.1111/jan.14007</w:t>
        </w:r>
      </w:hyperlink>
    </w:p>
    <w:p w14:paraId="10CF705B" w14:textId="77777777" w:rsidR="009E4375" w:rsidRDefault="00000000" w:rsidP="00266915">
      <w:pPr>
        <w:spacing w:after="0"/>
        <w:ind w:left="540" w:hanging="540"/>
      </w:pPr>
      <w:r>
        <w:t>Stark, J. A., &amp; Goldsbury, T. (1990). Quality of life from childhood to adulthood. In Schalock, R. L. (Ed.),</w:t>
      </w:r>
      <w:r>
        <w:rPr>
          <w:i/>
          <w:iCs/>
        </w:rPr>
        <w:t xml:space="preserve"> Quality of life: Perspectives and issues</w:t>
      </w:r>
      <w:r>
        <w:t xml:space="preserve"> (pp. 71-83). American Association on Mental Retardation.</w:t>
      </w:r>
    </w:p>
    <w:p w14:paraId="10CF705C" w14:textId="77777777" w:rsidR="009E4375" w:rsidRDefault="00000000" w:rsidP="00266915">
      <w:pPr>
        <w:spacing w:after="0"/>
        <w:ind w:left="540" w:hanging="540"/>
        <w:rPr>
          <w:highlight w:val="white"/>
        </w:rPr>
      </w:pPr>
      <w:r>
        <w:rPr>
          <w:highlight w:val="white"/>
        </w:rPr>
        <w:lastRenderedPageBreak/>
        <w:t xml:space="preserve">Steinberg, A. G., Lipton, D. S., Eckhardt, E. A., Goldstein, M., &amp; Sullivan, V. J. (1998). The diagnostic interview schedule for deaf patients on interactive video: A preliminary investigation. </w:t>
      </w:r>
      <w:r>
        <w:rPr>
          <w:i/>
          <w:iCs/>
          <w:highlight w:val="white"/>
        </w:rPr>
        <w:t>The American Journal of Psychiatry</w:t>
      </w:r>
      <w:r>
        <w:rPr>
          <w:highlight w:val="white"/>
        </w:rPr>
        <w:t xml:space="preserve">, </w:t>
      </w:r>
      <w:r>
        <w:rPr>
          <w:i/>
          <w:iCs/>
          <w:highlight w:val="white"/>
        </w:rPr>
        <w:t>155</w:t>
      </w:r>
      <w:r>
        <w:rPr>
          <w:highlight w:val="white"/>
        </w:rPr>
        <w:t xml:space="preserve">(11), 1603–1604. </w:t>
      </w:r>
      <w:hyperlink r:id="rId180">
        <w:r w:rsidR="009E4375">
          <w:rPr>
            <w:highlight w:val="white"/>
            <w:u w:val="single"/>
          </w:rPr>
          <w:t>https://doi.org/10.1176/ajp.155.11.1603</w:t>
        </w:r>
      </w:hyperlink>
    </w:p>
    <w:p w14:paraId="10CF705D" w14:textId="77777777" w:rsidR="009E4375" w:rsidRDefault="00000000" w:rsidP="00266915">
      <w:pPr>
        <w:spacing w:after="0"/>
        <w:ind w:left="540" w:hanging="540"/>
        <w:rPr>
          <w:highlight w:val="white"/>
        </w:rPr>
      </w:pPr>
      <w:r>
        <w:t xml:space="preserve">Tah, I. H. M. (2013). Rights of Persons with Disabilities: The "Almost Forgotten" protection under the federal constitution. In K. A. Mokhtar (Ed.), </w:t>
      </w:r>
      <w:r>
        <w:rPr>
          <w:i/>
          <w:iCs/>
        </w:rPr>
        <w:t>Constitutional Law &amp; Human Rights in Malaysia: Topical Issues and Perspectives</w:t>
      </w:r>
      <w:r>
        <w:t xml:space="preserve"> (pp. 411-430). Sweet &amp; Maxwell Asia, Malaysia. </w:t>
      </w:r>
    </w:p>
    <w:p w14:paraId="10CF705E" w14:textId="77777777" w:rsidR="009E4375" w:rsidRDefault="00000000" w:rsidP="00266915">
      <w:pPr>
        <w:spacing w:after="0"/>
        <w:ind w:left="540" w:hanging="540"/>
      </w:pPr>
      <w:r>
        <w:rPr>
          <w:highlight w:val="white"/>
        </w:rPr>
        <w:t xml:space="preserve">Tah, I. H. M., &amp; Mokhtar, K. A. (2016). Malaysia’s ratification of the UN Convention on the Rights of Persons with Disabilities (UN CRPD). </w:t>
      </w:r>
      <w:r>
        <w:rPr>
          <w:i/>
          <w:iCs/>
          <w:highlight w:val="white"/>
        </w:rPr>
        <w:t>International Journal of Business, Economics and Law</w:t>
      </w:r>
      <w:r>
        <w:rPr>
          <w:highlight w:val="white"/>
        </w:rPr>
        <w:t xml:space="preserve">, </w:t>
      </w:r>
      <w:r>
        <w:rPr>
          <w:i/>
          <w:iCs/>
          <w:highlight w:val="white"/>
        </w:rPr>
        <w:t>11</w:t>
      </w:r>
      <w:r>
        <w:rPr>
          <w:highlight w:val="white"/>
        </w:rPr>
        <w:t xml:space="preserve">(4), 83-87. </w:t>
      </w:r>
    </w:p>
    <w:p w14:paraId="10CF705F" w14:textId="77777777" w:rsidR="009E4375" w:rsidRDefault="00000000" w:rsidP="00266915">
      <w:pPr>
        <w:spacing w:after="0"/>
        <w:ind w:left="540" w:hanging="540"/>
        <w:rPr>
          <w:highlight w:val="white"/>
        </w:rPr>
      </w:pPr>
      <w:proofErr w:type="spellStart"/>
      <w:r>
        <w:rPr>
          <w:highlight w:val="white"/>
        </w:rPr>
        <w:t>Tambs</w:t>
      </w:r>
      <w:proofErr w:type="spellEnd"/>
      <w:r>
        <w:rPr>
          <w:highlight w:val="white"/>
        </w:rPr>
        <w:t>, K. (2004). Moderate effects of hearing loss on mental health and subjective well-being: results from the Nord-</w:t>
      </w:r>
      <w:proofErr w:type="spellStart"/>
      <w:r>
        <w:rPr>
          <w:highlight w:val="white"/>
        </w:rPr>
        <w:t>Trøndelag</w:t>
      </w:r>
      <w:proofErr w:type="spellEnd"/>
      <w:r>
        <w:rPr>
          <w:highlight w:val="white"/>
        </w:rPr>
        <w:t xml:space="preserve"> hearing loss study. </w:t>
      </w:r>
      <w:r>
        <w:rPr>
          <w:i/>
          <w:iCs/>
          <w:highlight w:val="white"/>
        </w:rPr>
        <w:t>Psychosomatic medicine</w:t>
      </w:r>
      <w:r>
        <w:rPr>
          <w:highlight w:val="white"/>
        </w:rPr>
        <w:t xml:space="preserve">, </w:t>
      </w:r>
      <w:r>
        <w:rPr>
          <w:i/>
          <w:iCs/>
          <w:highlight w:val="white"/>
        </w:rPr>
        <w:t>66</w:t>
      </w:r>
      <w:r>
        <w:rPr>
          <w:highlight w:val="white"/>
        </w:rPr>
        <w:t xml:space="preserve">(5), 776-782. </w:t>
      </w:r>
      <w:hyperlink r:id="rId181">
        <w:r w:rsidR="009E4375">
          <w:rPr>
            <w:highlight w:val="white"/>
            <w:u w:val="single"/>
          </w:rPr>
          <w:t>https://doi.org/10.1097/01.psy.0000133328.03596.fb</w:t>
        </w:r>
      </w:hyperlink>
    </w:p>
    <w:p w14:paraId="10CF7060" w14:textId="77777777" w:rsidR="009E4375" w:rsidRDefault="00000000" w:rsidP="00266915">
      <w:pPr>
        <w:spacing w:after="0"/>
        <w:ind w:left="540" w:hanging="540"/>
      </w:pPr>
      <w:r>
        <w:t>Tang, G. (2017). Sign bilingualism in deaf education.</w:t>
      </w:r>
      <w:r>
        <w:rPr>
          <w:highlight w:val="white"/>
        </w:rPr>
        <w:t xml:space="preserve"> In O. Garcia, A. Lin, &amp; S. May, (Eds.) </w:t>
      </w:r>
      <w:r>
        <w:rPr>
          <w:i/>
          <w:iCs/>
        </w:rPr>
        <w:t>Bilingual and multilingual education</w:t>
      </w:r>
      <w:r>
        <w:t xml:space="preserve">, 191-203. </w:t>
      </w:r>
      <w:hyperlink r:id="rId182">
        <w:r w:rsidR="009E4375">
          <w:rPr>
            <w:u w:val="single"/>
          </w:rPr>
          <w:t>https://doi.org/10.1007/978-3-319-02324-3_35-2</w:t>
        </w:r>
      </w:hyperlink>
    </w:p>
    <w:p w14:paraId="10CF7061" w14:textId="77777777" w:rsidR="009E4375" w:rsidRDefault="00000000" w:rsidP="00266915">
      <w:pPr>
        <w:spacing w:after="160"/>
        <w:ind w:left="540" w:hanging="540"/>
        <w:rPr>
          <w:highlight w:val="white"/>
        </w:rPr>
      </w:pPr>
      <w:r>
        <w:rPr>
          <w:highlight w:val="white"/>
        </w:rPr>
        <w:t>Teoli, D., &amp; Bhardwaj, A. (2023</w:t>
      </w:r>
      <w:r>
        <w:t xml:space="preserve">). </w:t>
      </w:r>
      <w:r>
        <w:rPr>
          <w:i/>
          <w:iCs/>
        </w:rPr>
        <w:t>Quality of life.</w:t>
      </w:r>
      <w:r>
        <w:t xml:space="preserve"> </w:t>
      </w:r>
      <w:proofErr w:type="spellStart"/>
      <w:r>
        <w:t>StatPearls</w:t>
      </w:r>
      <w:proofErr w:type="spellEnd"/>
      <w:r>
        <w:t>.</w:t>
      </w:r>
      <w:r>
        <w:rPr>
          <w:i/>
          <w:iCs/>
        </w:rPr>
        <w:t xml:space="preserve"> </w:t>
      </w:r>
      <w:proofErr w:type="spellStart"/>
      <w:r>
        <w:t>StatPearls</w:t>
      </w:r>
      <w:proofErr w:type="spellEnd"/>
      <w:r>
        <w:t xml:space="preserve"> Publishing. </w:t>
      </w:r>
      <w:hyperlink r:id="rId183">
        <w:r w:rsidR="009E4375">
          <w:rPr>
            <w:highlight w:val="white"/>
            <w:u w:val="single"/>
          </w:rPr>
          <w:t>https://www.ncbi.nlm.nih.gov/books/NBK536962/</w:t>
        </w:r>
      </w:hyperlink>
      <w:r>
        <w:rPr>
          <w:highlight w:val="white"/>
        </w:rPr>
        <w:t>.</w:t>
      </w:r>
    </w:p>
    <w:p w14:paraId="10CF7062" w14:textId="77777777" w:rsidR="009E4375" w:rsidRDefault="009E4375" w:rsidP="00266915">
      <w:pPr>
        <w:spacing w:after="160"/>
        <w:ind w:left="540" w:hanging="540"/>
      </w:pPr>
      <w:hyperlink r:id="rId184">
        <w:r>
          <w:t>The Straits Time.</w:t>
        </w:r>
      </w:hyperlink>
      <w:r>
        <w:t xml:space="preserve"> (1955, August 23).</w:t>
      </w:r>
      <w:r>
        <w:rPr>
          <w:i/>
          <w:iCs/>
        </w:rPr>
        <w:t xml:space="preserve"> Teacher of deaf for Manchester</w:t>
      </w:r>
      <w:r>
        <w:t xml:space="preserve">  </w:t>
      </w:r>
      <w:hyperlink r:id="rId185">
        <w:r>
          <w:t xml:space="preserve">The Straits Time. </w:t>
        </w:r>
      </w:hyperlink>
      <w:hyperlink r:id="rId186">
        <w:r>
          <w:rPr>
            <w:u w:val="single"/>
          </w:rPr>
          <w:t>https://eresources.nlb.gov.sg/newspapers/digitised/article/straitstimes19580530-1.2.64?qt=lee,%20kooi,%20jong&amp;q=Lee%20Kooi%20Jong</w:t>
        </w:r>
      </w:hyperlink>
    </w:p>
    <w:p w14:paraId="10CF7063" w14:textId="77777777" w:rsidR="009E4375" w:rsidRDefault="009E4375" w:rsidP="00266915">
      <w:pPr>
        <w:spacing w:after="160"/>
        <w:ind w:left="540" w:hanging="540"/>
        <w:rPr>
          <w:u w:val="single"/>
        </w:rPr>
      </w:pPr>
      <w:hyperlink r:id="rId187">
        <w:r>
          <w:t>The Straits Times</w:t>
        </w:r>
      </w:hyperlink>
      <w:r>
        <w:t>. (1956, August 13).</w:t>
      </w:r>
      <w:r>
        <w:rPr>
          <w:i/>
          <w:iCs/>
        </w:rPr>
        <w:t xml:space="preserve"> Deaf welcomes 2 teachers.</w:t>
      </w:r>
      <w:r>
        <w:t xml:space="preserve"> </w:t>
      </w:r>
      <w:hyperlink r:id="rId188">
        <w:r>
          <w:t xml:space="preserve">The Straits Times. </w:t>
        </w:r>
      </w:hyperlink>
      <w:hyperlink r:id="rId189">
        <w:r>
          <w:rPr>
            <w:u w:val="single"/>
          </w:rPr>
          <w:t>https://eresources.nlb.gov.sg/newspapers/digitised/article/straitstimes19560813-1.2.54?qt=lee,%20kooi,%20jong&amp;q=Lee%20Kooi%20Jong</w:t>
        </w:r>
      </w:hyperlink>
    </w:p>
    <w:p w14:paraId="10CF7064" w14:textId="77777777" w:rsidR="009E4375" w:rsidRDefault="00000000" w:rsidP="00266915">
      <w:pPr>
        <w:spacing w:after="0"/>
        <w:ind w:left="540" w:hanging="540"/>
      </w:pPr>
      <w:r>
        <w:rPr>
          <w:highlight w:val="white"/>
        </w:rPr>
        <w:t xml:space="preserve">Todorović, S. (2021). </w:t>
      </w:r>
      <w:proofErr w:type="spellStart"/>
      <w:r>
        <w:rPr>
          <w:i/>
          <w:iCs/>
          <w:highlight w:val="white"/>
        </w:rPr>
        <w:t>Kvalitet</w:t>
      </w:r>
      <w:proofErr w:type="spellEnd"/>
      <w:r>
        <w:rPr>
          <w:i/>
          <w:iCs/>
          <w:highlight w:val="white"/>
        </w:rPr>
        <w:t xml:space="preserve"> </w:t>
      </w:r>
      <w:proofErr w:type="spellStart"/>
      <w:r>
        <w:rPr>
          <w:i/>
          <w:iCs/>
          <w:highlight w:val="white"/>
        </w:rPr>
        <w:t>života</w:t>
      </w:r>
      <w:proofErr w:type="spellEnd"/>
      <w:r>
        <w:rPr>
          <w:i/>
          <w:iCs/>
          <w:highlight w:val="white"/>
        </w:rPr>
        <w:t xml:space="preserve"> </w:t>
      </w:r>
      <w:proofErr w:type="spellStart"/>
      <w:r>
        <w:rPr>
          <w:i/>
          <w:iCs/>
          <w:highlight w:val="white"/>
        </w:rPr>
        <w:t>gluvih</w:t>
      </w:r>
      <w:proofErr w:type="spellEnd"/>
      <w:r>
        <w:rPr>
          <w:i/>
          <w:iCs/>
          <w:highlight w:val="white"/>
        </w:rPr>
        <w:t xml:space="preserve"> </w:t>
      </w:r>
      <w:proofErr w:type="spellStart"/>
      <w:r>
        <w:rPr>
          <w:i/>
          <w:iCs/>
          <w:highlight w:val="white"/>
        </w:rPr>
        <w:t>i</w:t>
      </w:r>
      <w:proofErr w:type="spellEnd"/>
      <w:r>
        <w:rPr>
          <w:i/>
          <w:iCs/>
          <w:highlight w:val="white"/>
        </w:rPr>
        <w:t xml:space="preserve"> </w:t>
      </w:r>
      <w:proofErr w:type="spellStart"/>
      <w:r>
        <w:rPr>
          <w:i/>
          <w:iCs/>
          <w:highlight w:val="white"/>
        </w:rPr>
        <w:t>nagluvih</w:t>
      </w:r>
      <w:proofErr w:type="spellEnd"/>
      <w:r>
        <w:rPr>
          <w:i/>
          <w:iCs/>
          <w:highlight w:val="white"/>
        </w:rPr>
        <w:t xml:space="preserve"> </w:t>
      </w:r>
      <w:proofErr w:type="spellStart"/>
      <w:r>
        <w:rPr>
          <w:i/>
          <w:iCs/>
          <w:highlight w:val="white"/>
        </w:rPr>
        <w:t>adolescenata</w:t>
      </w:r>
      <w:proofErr w:type="spellEnd"/>
      <w:r>
        <w:rPr>
          <w:i/>
          <w:iCs/>
          <w:highlight w:val="white"/>
        </w:rPr>
        <w:t xml:space="preserve"> za </w:t>
      </w:r>
      <w:proofErr w:type="spellStart"/>
      <w:r>
        <w:rPr>
          <w:i/>
          <w:iCs/>
          <w:highlight w:val="white"/>
        </w:rPr>
        <w:t>vreme</w:t>
      </w:r>
      <w:proofErr w:type="spellEnd"/>
      <w:r>
        <w:rPr>
          <w:i/>
          <w:iCs/>
          <w:highlight w:val="white"/>
        </w:rPr>
        <w:t xml:space="preserve"> </w:t>
      </w:r>
      <w:proofErr w:type="spellStart"/>
      <w:r>
        <w:rPr>
          <w:i/>
          <w:iCs/>
          <w:highlight w:val="white"/>
        </w:rPr>
        <w:t>pandemije</w:t>
      </w:r>
      <w:proofErr w:type="spellEnd"/>
      <w:r>
        <w:rPr>
          <w:i/>
          <w:iCs/>
          <w:highlight w:val="white"/>
        </w:rPr>
        <w:t xml:space="preserve"> Covid-19 [Quality of life of deaf and hard of hearing adolescents during the Covid - </w:t>
      </w:r>
      <w:r>
        <w:rPr>
          <w:i/>
          <w:iCs/>
          <w:highlight w:val="white"/>
        </w:rPr>
        <w:lastRenderedPageBreak/>
        <w:t>19 pandemic]</w:t>
      </w:r>
      <w:r>
        <w:rPr>
          <w:highlight w:val="white"/>
        </w:rPr>
        <w:t xml:space="preserve"> [Unpublished master's thesis].</w:t>
      </w:r>
      <w:r>
        <w:t xml:space="preserve"> University of Belgrade. https://hdl.handle.net/21.15107/rcub_rfasper_4820</w:t>
      </w:r>
    </w:p>
    <w:p w14:paraId="10CF7065" w14:textId="77777777" w:rsidR="009E4375" w:rsidRDefault="00000000" w:rsidP="00266915">
      <w:pPr>
        <w:spacing w:after="0"/>
        <w:ind w:left="540" w:hanging="540"/>
      </w:pPr>
      <w:r>
        <w:t xml:space="preserve">Trovato, S. (2013). A stronger reason for the right to sign languages. </w:t>
      </w:r>
      <w:r>
        <w:rPr>
          <w:i/>
          <w:iCs/>
        </w:rPr>
        <w:t>Sign Language Studies</w:t>
      </w:r>
      <w:r>
        <w:t xml:space="preserve"> </w:t>
      </w:r>
      <w:r>
        <w:rPr>
          <w:i/>
          <w:iCs/>
        </w:rPr>
        <w:t>13</w:t>
      </w:r>
      <w:r>
        <w:t xml:space="preserve">(3), 401-422. </w:t>
      </w:r>
      <w:hyperlink r:id="rId190">
        <w:r w:rsidR="009E4375">
          <w:rPr>
            <w:u w:val="single"/>
          </w:rPr>
          <w:t>https://doi.org/10.1353/sls.2013.0006</w:t>
        </w:r>
      </w:hyperlink>
      <w:r>
        <w:t>.</w:t>
      </w:r>
    </w:p>
    <w:p w14:paraId="10CF7066" w14:textId="77777777" w:rsidR="009E4375" w:rsidRDefault="00000000" w:rsidP="00266915">
      <w:pPr>
        <w:spacing w:after="0"/>
        <w:ind w:left="540" w:hanging="540"/>
      </w:pPr>
      <w:proofErr w:type="spellStart"/>
      <w:r>
        <w:t>Tsimpida</w:t>
      </w:r>
      <w:proofErr w:type="spellEnd"/>
      <w:r>
        <w:t xml:space="preserve">, D., </w:t>
      </w:r>
      <w:proofErr w:type="spellStart"/>
      <w:r>
        <w:t>Kaitelidou</w:t>
      </w:r>
      <w:proofErr w:type="spellEnd"/>
      <w:r>
        <w:t>, D., &amp; Galanis, P. (2018). Determinants of health-related quality of life (</w:t>
      </w:r>
      <w:proofErr w:type="spellStart"/>
      <w:r>
        <w:t>HRQoL</w:t>
      </w:r>
      <w:proofErr w:type="spellEnd"/>
      <w:r>
        <w:t xml:space="preserve">) among deaf and hard of hearing adults in Greece: A cross-sectional study. </w:t>
      </w:r>
      <w:r>
        <w:rPr>
          <w:i/>
          <w:iCs/>
        </w:rPr>
        <w:t xml:space="preserve">Archives of Public Health = Archives </w:t>
      </w:r>
      <w:proofErr w:type="spellStart"/>
      <w:r>
        <w:rPr>
          <w:i/>
          <w:iCs/>
        </w:rPr>
        <w:t>Belges</w:t>
      </w:r>
      <w:proofErr w:type="spellEnd"/>
      <w:r>
        <w:rPr>
          <w:i/>
          <w:iCs/>
        </w:rPr>
        <w:t xml:space="preserve"> de Santé </w:t>
      </w:r>
      <w:proofErr w:type="spellStart"/>
      <w:r>
        <w:rPr>
          <w:i/>
          <w:iCs/>
        </w:rPr>
        <w:t>Publique</w:t>
      </w:r>
      <w:proofErr w:type="spellEnd"/>
      <w:r>
        <w:rPr>
          <w:i/>
          <w:iCs/>
        </w:rPr>
        <w:t>, 76</w:t>
      </w:r>
      <w:r>
        <w:t xml:space="preserve">(1), 55–55. </w:t>
      </w:r>
      <w:hyperlink r:id="rId191">
        <w:r w:rsidR="009E4375">
          <w:rPr>
            <w:u w:val="single"/>
          </w:rPr>
          <w:t>https://doi.org/10.1186/s13690-018-0304-2</w:t>
        </w:r>
      </w:hyperlink>
    </w:p>
    <w:p w14:paraId="10CF7067" w14:textId="77777777" w:rsidR="009E4375" w:rsidRDefault="00000000" w:rsidP="00266915">
      <w:pPr>
        <w:spacing w:after="0"/>
        <w:ind w:left="540" w:hanging="540"/>
      </w:pPr>
      <w:r>
        <w:t>Tumin, M., Osman, A. F., &amp; Abdullah, N. (2017). Gender, citizenship and health-related quality of life: An overall perspective from Malaysia.</w:t>
      </w:r>
      <w:r>
        <w:rPr>
          <w:i/>
          <w:iCs/>
        </w:rPr>
        <w:t xml:space="preserve"> International E-Journal of Science, Medicine &amp; Education, 11(2)</w:t>
      </w:r>
      <w:r>
        <w:t xml:space="preserve">. </w:t>
      </w:r>
      <w:hyperlink r:id="rId192">
        <w:r w:rsidR="009E4375">
          <w:rPr>
            <w:u w:val="single"/>
          </w:rPr>
          <w:t>https://doi.org/10.56026/imu.11.2.14</w:t>
        </w:r>
      </w:hyperlink>
    </w:p>
    <w:p w14:paraId="10CF7068" w14:textId="77777777" w:rsidR="009E4375" w:rsidRDefault="00000000" w:rsidP="00266915">
      <w:pPr>
        <w:spacing w:after="0"/>
        <w:ind w:left="540" w:hanging="540"/>
      </w:pPr>
      <w:r>
        <w:t xml:space="preserve">Turnbull, H., Turnbull, A., Wehmeyer, M., &amp; Park, J. (2003). A </w:t>
      </w:r>
      <w:proofErr w:type="gramStart"/>
      <w:r>
        <w:t>quality of life</w:t>
      </w:r>
      <w:proofErr w:type="gramEnd"/>
      <w:r>
        <w:t xml:space="preserve"> framework for special education outcomes. Remedial and Special Education, 24(2), 67–74. </w:t>
      </w:r>
      <w:hyperlink r:id="rId193">
        <w:r w:rsidR="009E4375">
          <w:rPr>
            <w:u w:val="single"/>
          </w:rPr>
          <w:t>https://doi.org/10.1177/07419325030240020201</w:t>
        </w:r>
      </w:hyperlink>
    </w:p>
    <w:p w14:paraId="10CF7069" w14:textId="77777777" w:rsidR="009E4375" w:rsidRDefault="00000000" w:rsidP="00266915">
      <w:pPr>
        <w:spacing w:after="0"/>
        <w:ind w:left="540" w:hanging="540"/>
      </w:pPr>
      <w:r>
        <w:t xml:space="preserve">Umansky, A. M., Jeffe, D. B., &amp; Lieu, J. E. (2011). The HEAR-QL: Quality of life questionnaire for children with hearing loss. </w:t>
      </w:r>
      <w:r>
        <w:rPr>
          <w:i/>
          <w:iCs/>
        </w:rPr>
        <w:t>Journal of the American Academy of Audiology</w:t>
      </w:r>
      <w:r>
        <w:t xml:space="preserve">, </w:t>
      </w:r>
      <w:r>
        <w:rPr>
          <w:i/>
          <w:iCs/>
        </w:rPr>
        <w:t>22</w:t>
      </w:r>
      <w:r>
        <w:t xml:space="preserve">(10), 644–653. </w:t>
      </w:r>
      <w:hyperlink r:id="rId194">
        <w:r w:rsidR="009E4375">
          <w:rPr>
            <w:u w:val="single"/>
          </w:rPr>
          <w:t>https://doi.org/10.3766/jaaa.22.10.3</w:t>
        </w:r>
      </w:hyperlink>
    </w:p>
    <w:p w14:paraId="10CF706A" w14:textId="77777777" w:rsidR="009E4375" w:rsidRDefault="00000000" w:rsidP="00266915">
      <w:pPr>
        <w:spacing w:after="0"/>
        <w:ind w:left="540" w:hanging="540"/>
        <w:rPr>
          <w:highlight w:val="white"/>
        </w:rPr>
      </w:pPr>
      <w:proofErr w:type="spellStart"/>
      <w:r>
        <w:t>Umat</w:t>
      </w:r>
      <w:proofErr w:type="spellEnd"/>
      <w:r>
        <w:t xml:space="preserve">, C., </w:t>
      </w:r>
      <w:proofErr w:type="spellStart"/>
      <w:r>
        <w:t>Wahat</w:t>
      </w:r>
      <w:proofErr w:type="spellEnd"/>
      <w:r>
        <w:t>, N. H. A., Ross, S. C., &amp; Goh, B. S. (2019). Quality of life of parents and siblings of children with cochlear implants.</w:t>
      </w:r>
      <w:r>
        <w:rPr>
          <w:i/>
          <w:iCs/>
        </w:rPr>
        <w:t xml:space="preserve"> Journal of Otology, 14</w:t>
      </w:r>
      <w:r>
        <w:t xml:space="preserve">(1), 17-21. </w:t>
      </w:r>
      <w:hyperlink r:id="rId195">
        <w:r w:rsidR="009E4375">
          <w:rPr>
            <w:highlight w:val="white"/>
            <w:u w:val="single"/>
          </w:rPr>
          <w:t>https://doi.org/10.1016/j.joto.2018.11.004</w:t>
        </w:r>
      </w:hyperlink>
    </w:p>
    <w:p w14:paraId="10CF706B" w14:textId="77777777" w:rsidR="009E4375" w:rsidRDefault="00000000" w:rsidP="00266915">
      <w:pPr>
        <w:spacing w:after="0"/>
        <w:ind w:left="540" w:hanging="540"/>
      </w:pPr>
      <w:r>
        <w:t xml:space="preserve">UNESCO (1994). </w:t>
      </w:r>
      <w:r>
        <w:rPr>
          <w:i/>
          <w:iCs/>
        </w:rPr>
        <w:t xml:space="preserve">The Salamanca statement and framework for action on special needs education. </w:t>
      </w:r>
      <w:r>
        <w:t xml:space="preserve">Final report. </w:t>
      </w:r>
      <w:hyperlink r:id="rId196">
        <w:r w:rsidR="009E4375">
          <w:rPr>
            <w:u w:val="single"/>
          </w:rPr>
          <w:t>https://unesdoc.unesco.org/ark:/48223/pf0000110753</w:t>
        </w:r>
      </w:hyperlink>
      <w:r>
        <w:t>.</w:t>
      </w:r>
    </w:p>
    <w:p w14:paraId="10CF706C" w14:textId="77777777" w:rsidR="009E4375" w:rsidRDefault="00000000" w:rsidP="00266915">
      <w:pPr>
        <w:spacing w:after="0"/>
        <w:ind w:left="540" w:hanging="540"/>
      </w:pPr>
      <w:r>
        <w:t xml:space="preserve">van der Straaten, T.F., Rieffe, C., </w:t>
      </w:r>
      <w:proofErr w:type="spellStart"/>
      <w:r>
        <w:t>Soede</w:t>
      </w:r>
      <w:proofErr w:type="spellEnd"/>
      <w:r>
        <w:t xml:space="preserve">, W., Netten, A.P., Dirks, E., </w:t>
      </w:r>
      <w:proofErr w:type="spellStart"/>
      <w:r>
        <w:t>Oudesluys</w:t>
      </w:r>
      <w:proofErr w:type="spellEnd"/>
      <w:r>
        <w:t xml:space="preserve">-Murphy, A.M., Dekker, F.W., Böhringer, S., </w:t>
      </w:r>
      <w:proofErr w:type="spellStart"/>
      <w:r>
        <w:t>Frijns</w:t>
      </w:r>
      <w:proofErr w:type="spellEnd"/>
      <w:r>
        <w:t xml:space="preserve">, J.H. &amp; DECIBEL Collaborative Study Group. (2020). Quality of life of children with hearing loss in special and mainstream education: A longitudinal study. </w:t>
      </w:r>
      <w:r>
        <w:rPr>
          <w:i/>
          <w:iCs/>
        </w:rPr>
        <w:t>International journal of pediatric otorhinolaryngology, 128</w:t>
      </w:r>
      <w:r>
        <w:t xml:space="preserve">, 109701. </w:t>
      </w:r>
      <w:hyperlink r:id="rId197">
        <w:r w:rsidR="009E4375">
          <w:rPr>
            <w:u w:val="single"/>
          </w:rPr>
          <w:t>https://doi.org/10.1016/j.ijporl.2019.109701</w:t>
        </w:r>
      </w:hyperlink>
    </w:p>
    <w:p w14:paraId="10CF706D" w14:textId="77777777" w:rsidR="009E4375" w:rsidRDefault="00000000" w:rsidP="00266915">
      <w:pPr>
        <w:spacing w:after="160"/>
        <w:ind w:left="540" w:hanging="540"/>
        <w:rPr>
          <w:highlight w:val="white"/>
        </w:rPr>
      </w:pPr>
      <w:r>
        <w:rPr>
          <w:highlight w:val="white"/>
        </w:rPr>
        <w:lastRenderedPageBreak/>
        <w:t xml:space="preserve">Wake, M., Hughes, E. K., Collins, C. M., &amp; Poulakis, Z. (2004). Parent-reported health-related quality of life in children with congenital hearing loss: A population study. </w:t>
      </w:r>
      <w:r>
        <w:rPr>
          <w:i/>
          <w:iCs/>
          <w:highlight w:val="white"/>
        </w:rPr>
        <w:t>Ambulatory Pediatrics</w:t>
      </w:r>
      <w:r>
        <w:rPr>
          <w:highlight w:val="white"/>
        </w:rPr>
        <w:t xml:space="preserve">, </w:t>
      </w:r>
      <w:r>
        <w:rPr>
          <w:i/>
          <w:iCs/>
          <w:highlight w:val="white"/>
        </w:rPr>
        <w:t>4</w:t>
      </w:r>
      <w:r>
        <w:rPr>
          <w:highlight w:val="white"/>
        </w:rPr>
        <w:t xml:space="preserve">(5), 411-417.  </w:t>
      </w:r>
      <w:hyperlink r:id="rId198">
        <w:r w:rsidR="009E4375">
          <w:rPr>
            <w:highlight w:val="white"/>
            <w:u w:val="single"/>
          </w:rPr>
          <w:t>https://doi.org/10.1367/A03-191R.1</w:t>
        </w:r>
      </w:hyperlink>
    </w:p>
    <w:p w14:paraId="10CF706E" w14:textId="77777777" w:rsidR="009E4375" w:rsidRDefault="00000000" w:rsidP="00266915">
      <w:pPr>
        <w:spacing w:after="160"/>
        <w:ind w:left="540" w:hanging="540"/>
      </w:pPr>
      <w:r>
        <w:rPr>
          <w:highlight w:val="white"/>
        </w:rPr>
        <w:t>W</w:t>
      </w:r>
      <w:r>
        <w:t xml:space="preserve">ehmeyer, M. L. (2014). Disability in the 20th century: Seeking a future of equity and full inclusion. In M. Agran, F. Brown, C. Hughes, C. Quirk, &amp; D. Ryndak (Eds.), </w:t>
      </w:r>
      <w:r>
        <w:rPr>
          <w:i/>
          <w:iCs/>
        </w:rPr>
        <w:t>Equity and full participation for individuals with severe disabilities: A vision for the future</w:t>
      </w:r>
      <w:r>
        <w:t xml:space="preserve"> (pp. 3–29). Paul H. Brookes.</w:t>
      </w:r>
    </w:p>
    <w:p w14:paraId="10CF706F" w14:textId="77777777" w:rsidR="009E4375" w:rsidRPr="00D43BCC" w:rsidRDefault="00000000" w:rsidP="00266915">
      <w:pPr>
        <w:spacing w:after="160"/>
        <w:ind w:left="540" w:hanging="540"/>
        <w:rPr>
          <w:highlight w:val="white"/>
          <w:lang w:val="sv-SE"/>
        </w:rPr>
      </w:pPr>
      <w:r>
        <w:t xml:space="preserve">Wehmeyer, M. L., Shogren, K. A., Singh, N., &amp; </w:t>
      </w:r>
      <w:proofErr w:type="spellStart"/>
      <w:r>
        <w:t>Uywick</w:t>
      </w:r>
      <w:proofErr w:type="spellEnd"/>
      <w:r>
        <w:t xml:space="preserve">, H. (2017). Strength-based approaches to intellectual and development disabilities. In K. A. Shogren, M. L. Wehmeyer, &amp; N. N. Singh (Eds.). </w:t>
      </w:r>
      <w:r>
        <w:rPr>
          <w:i/>
          <w:iCs/>
        </w:rPr>
        <w:t>Handbook of positive psychology in intellectual and developmental disabilities</w:t>
      </w:r>
      <w:r>
        <w:rPr>
          <w:i/>
          <w:iCs/>
          <w:highlight w:val="white"/>
        </w:rPr>
        <w:t>: Translating research into practice</w:t>
      </w:r>
      <w:r>
        <w:rPr>
          <w:highlight w:val="white"/>
        </w:rPr>
        <w:t>.</w:t>
      </w:r>
      <w:r>
        <w:t xml:space="preserve"> </w:t>
      </w:r>
      <w:r w:rsidRPr="00D43BCC">
        <w:rPr>
          <w:lang w:val="sv-SE"/>
        </w:rPr>
        <w:t>(pp. 13-20). Springer I</w:t>
      </w:r>
      <w:r w:rsidRPr="00D43BCC">
        <w:rPr>
          <w:highlight w:val="white"/>
          <w:lang w:val="sv-SE"/>
        </w:rPr>
        <w:t>nternational Publishing AG.</w:t>
      </w:r>
    </w:p>
    <w:p w14:paraId="10CF7070" w14:textId="77777777" w:rsidR="009E4375" w:rsidRDefault="00000000" w:rsidP="00266915">
      <w:pPr>
        <w:spacing w:after="160"/>
        <w:ind w:left="540" w:hanging="540"/>
      </w:pPr>
      <w:r w:rsidRPr="00D43BCC">
        <w:rPr>
          <w:lang w:val="sv-SE"/>
        </w:rPr>
        <w:t xml:space="preserve">Werngren-Elgström, M., Dehlin, O., &amp; Iwarsson, S. (2003). </w:t>
      </w:r>
      <w:r>
        <w:t xml:space="preserve">Aspects of quality of life in </w:t>
      </w:r>
      <w:proofErr w:type="gramStart"/>
      <w:r>
        <w:t>persons</w:t>
      </w:r>
      <w:proofErr w:type="gramEnd"/>
      <w:r>
        <w:t xml:space="preserve"> with pre-lingual deafness using sign language: subjective wellbeing, ill-health symptoms, depression and insomnia. </w:t>
      </w:r>
      <w:r>
        <w:rPr>
          <w:i/>
          <w:iCs/>
        </w:rPr>
        <w:t>Archives of Gerontology and Geriatrics</w:t>
      </w:r>
      <w:r>
        <w:t xml:space="preserve">, </w:t>
      </w:r>
      <w:r>
        <w:rPr>
          <w:i/>
          <w:iCs/>
        </w:rPr>
        <w:t>37</w:t>
      </w:r>
      <w:r>
        <w:t xml:space="preserve">(1), 13–24. </w:t>
      </w:r>
      <w:hyperlink r:id="rId199">
        <w:r w:rsidR="009E4375">
          <w:rPr>
            <w:u w:val="single"/>
          </w:rPr>
          <w:t>https://doi.org/10.1016/S0167-4943(03)00003-7</w:t>
        </w:r>
      </w:hyperlink>
    </w:p>
    <w:p w14:paraId="10CF7071" w14:textId="77777777" w:rsidR="009E4375" w:rsidRDefault="00000000" w:rsidP="00266915">
      <w:pPr>
        <w:spacing w:after="160"/>
        <w:ind w:left="540" w:hanging="540"/>
      </w:pPr>
      <w:r>
        <w:t xml:space="preserve">Whitehead, P. M. (2017). Goldstein’s self-actualization: A </w:t>
      </w:r>
      <w:proofErr w:type="spellStart"/>
      <w:r>
        <w:t>biosemiotic</w:t>
      </w:r>
      <w:proofErr w:type="spellEnd"/>
      <w:r>
        <w:t xml:space="preserve"> view. </w:t>
      </w:r>
      <w:r>
        <w:rPr>
          <w:i/>
          <w:iCs/>
        </w:rPr>
        <w:t>The Humanistic Psychologist</w:t>
      </w:r>
      <w:r>
        <w:t>,</w:t>
      </w:r>
      <w:r>
        <w:rPr>
          <w:i/>
          <w:iCs/>
        </w:rPr>
        <w:t xml:space="preserve"> 45</w:t>
      </w:r>
      <w:r>
        <w:t>(1), 71-83.</w:t>
      </w:r>
      <w:hyperlink r:id="rId200">
        <w:r w:rsidR="009E4375">
          <w:t xml:space="preserve"> </w:t>
        </w:r>
      </w:hyperlink>
      <w:hyperlink r:id="rId201">
        <w:r w:rsidR="009E4375">
          <w:rPr>
            <w:u w:val="single"/>
          </w:rPr>
          <w:t>https://doi.org/10.1037/hum0000047</w:t>
        </w:r>
      </w:hyperlink>
    </w:p>
    <w:p w14:paraId="10CF7072" w14:textId="77777777" w:rsidR="009E4375" w:rsidRDefault="00000000" w:rsidP="00266915">
      <w:pPr>
        <w:spacing w:after="160"/>
        <w:ind w:left="540" w:hanging="540"/>
      </w:pPr>
      <w:r>
        <w:t xml:space="preserve">WHOQOL Group (1993). Study protocol for the World Health Organization project to develop a </w:t>
      </w:r>
      <w:proofErr w:type="gramStart"/>
      <w:r>
        <w:t>Quality of Life</w:t>
      </w:r>
      <w:proofErr w:type="gramEnd"/>
      <w:r>
        <w:t xml:space="preserve"> assessment instrument. </w:t>
      </w:r>
      <w:r>
        <w:rPr>
          <w:i/>
          <w:iCs/>
        </w:rPr>
        <w:t>Quality of Life Research,</w:t>
      </w:r>
      <w:r>
        <w:t xml:space="preserve"> </w:t>
      </w:r>
      <w:r>
        <w:rPr>
          <w:i/>
          <w:iCs/>
        </w:rPr>
        <w:t>2</w:t>
      </w:r>
      <w:r>
        <w:t xml:space="preserve">, 153–159. </w:t>
      </w:r>
      <w:hyperlink r:id="rId202">
        <w:r w:rsidR="009E4375">
          <w:rPr>
            <w:u w:val="single"/>
          </w:rPr>
          <w:t>https://doi.org/10.1007/BF00435734</w:t>
        </w:r>
      </w:hyperlink>
    </w:p>
    <w:p w14:paraId="10CF7073" w14:textId="77777777" w:rsidR="009E4375" w:rsidRDefault="00000000" w:rsidP="00266915">
      <w:pPr>
        <w:spacing w:after="160"/>
        <w:ind w:left="540" w:hanging="540"/>
      </w:pPr>
      <w:r>
        <w:t xml:space="preserve">WHOQOL. (1995). The World Health Organization quality of life assessment (WHOQOL): position paper from the World Health Organization. </w:t>
      </w:r>
      <w:r>
        <w:rPr>
          <w:i/>
          <w:iCs/>
        </w:rPr>
        <w:t>Social science &amp; medicine</w:t>
      </w:r>
      <w:r>
        <w:t>,</w:t>
      </w:r>
      <w:r>
        <w:rPr>
          <w:i/>
          <w:iCs/>
        </w:rPr>
        <w:t xml:space="preserve"> 41</w:t>
      </w:r>
      <w:r>
        <w:t xml:space="preserve">(10), 1403-1409. </w:t>
      </w:r>
      <w:hyperlink r:id="rId203">
        <w:r w:rsidR="009E4375">
          <w:rPr>
            <w:u w:val="single"/>
          </w:rPr>
          <w:t>https://doi.org/10.1016/0277-9536(95)00112-k</w:t>
        </w:r>
      </w:hyperlink>
    </w:p>
    <w:p w14:paraId="10CF7074" w14:textId="77777777" w:rsidR="009E4375" w:rsidRDefault="00000000" w:rsidP="00266915">
      <w:pPr>
        <w:spacing w:after="160"/>
        <w:ind w:left="540" w:hanging="540"/>
      </w:pPr>
      <w:r>
        <w:t xml:space="preserve">World Federation of the Deaf, (2016). </w:t>
      </w:r>
      <w:r>
        <w:rPr>
          <w:i/>
          <w:iCs/>
        </w:rPr>
        <w:t>International week of the deaf: With sign language, I am equal.</w:t>
      </w:r>
      <w:r>
        <w:t xml:space="preserve"> World Federation of the Deaf. </w:t>
      </w:r>
      <w:hyperlink r:id="rId204">
        <w:r w:rsidR="009E4375">
          <w:rPr>
            <w:u w:val="single"/>
          </w:rPr>
          <w:t>https://wfdeaf.org/news/resources/international-week-of-the-deaf-2016/</w:t>
        </w:r>
      </w:hyperlink>
    </w:p>
    <w:p w14:paraId="10CF7075" w14:textId="77777777" w:rsidR="009E4375" w:rsidRDefault="00000000" w:rsidP="00266915">
      <w:pPr>
        <w:spacing w:after="160"/>
        <w:ind w:left="540" w:hanging="540"/>
      </w:pPr>
      <w:r>
        <w:lastRenderedPageBreak/>
        <w:t xml:space="preserve">Willis, G. B. (2004). </w:t>
      </w:r>
      <w:r>
        <w:rPr>
          <w:i/>
          <w:iCs/>
        </w:rPr>
        <w:t>Cognitive interviewing: A tool for improving questionnaire design</w:t>
      </w:r>
      <w:r>
        <w:t>. sage publications.</w:t>
      </w:r>
    </w:p>
    <w:p w14:paraId="10CF7076" w14:textId="77777777" w:rsidR="009E4375" w:rsidRDefault="00000000" w:rsidP="00266915">
      <w:pPr>
        <w:spacing w:after="0"/>
        <w:ind w:left="540" w:hanging="540"/>
      </w:pPr>
      <w:r>
        <w:t xml:space="preserve">Wilson, A. T., &amp; Winiarczyk, R. E. (2014). Mixed Methods Research Strategies </w:t>
      </w:r>
      <w:proofErr w:type="gramStart"/>
      <w:r>
        <w:t>With</w:t>
      </w:r>
      <w:proofErr w:type="gramEnd"/>
      <w:r>
        <w:t xml:space="preserve"> Deaf People: Linguistic and Cultural Challenges Addressed. </w:t>
      </w:r>
      <w:r>
        <w:rPr>
          <w:i/>
          <w:iCs/>
        </w:rPr>
        <w:t>Journal of Mixed Methods Research</w:t>
      </w:r>
      <w:r>
        <w:t xml:space="preserve">, </w:t>
      </w:r>
      <w:r>
        <w:rPr>
          <w:i/>
          <w:iCs/>
        </w:rPr>
        <w:t>8</w:t>
      </w:r>
      <w:r>
        <w:t xml:space="preserve">(3), 266–277. </w:t>
      </w:r>
      <w:hyperlink r:id="rId205">
        <w:r w:rsidR="009E4375">
          <w:rPr>
            <w:u w:val="single"/>
          </w:rPr>
          <w:t>https://doi.org/10.1177/1558689814527943</w:t>
        </w:r>
      </w:hyperlink>
    </w:p>
    <w:p w14:paraId="10CF7077" w14:textId="77777777" w:rsidR="009E4375" w:rsidRDefault="00000000" w:rsidP="00266915">
      <w:pPr>
        <w:spacing w:after="0"/>
        <w:ind w:left="540" w:hanging="540"/>
        <w:rPr>
          <w:highlight w:val="white"/>
        </w:rPr>
      </w:pPr>
      <w:r>
        <w:t xml:space="preserve">Wolfensberger, W. (1972). </w:t>
      </w:r>
      <w:r>
        <w:rPr>
          <w:i/>
          <w:iCs/>
        </w:rPr>
        <w:t>Citizen advocacy for the handicapped, impaired, and disadvantaged: An overview.</w:t>
      </w:r>
      <w:r>
        <w:t xml:space="preserve"> </w:t>
      </w:r>
      <w:r>
        <w:rPr>
          <w:highlight w:val="white"/>
        </w:rPr>
        <w:t xml:space="preserve">President’s Committee on Mental Retardation, District of Columbia. DHEW Publication. </w:t>
      </w:r>
      <w:hyperlink r:id="rId206" w:anchor="v=onepage&amp;q=Citizen%20advocacy%20for%20the%20handicapped%2C%20impaired%2C%20and%20disadvantaged%3A%20aAn%20overview.&amp;f=false">
        <w:r w:rsidR="009E4375">
          <w:rPr>
            <w:highlight w:val="white"/>
            <w:u w:val="single"/>
          </w:rPr>
          <w:t>https://books.google.com.my/books?hl=en&amp;lr=&amp;id=LB0EAAAAMAAJ&amp;oi=fnd&amp;pg=PA1&amp;dq=Citizen+advocacy+for+the+handicapped,+impaired,+and+disadvantaged:+aAn+overview.&amp;ots=TDcMtNupFH&amp;sig=w7XKV_GGC1ahym7aTPTW27Gwej0&amp;redir_esc=y#v=onepage&amp;q=Citizen%20advocacy%20for%20the%20handicapped%2C%20impaired%2C%20and%20disadvantaged%3A%20aAn%20overview.&amp;f=false</w:t>
        </w:r>
      </w:hyperlink>
    </w:p>
    <w:p w14:paraId="10CF7078" w14:textId="77777777" w:rsidR="009E4375" w:rsidRDefault="00000000" w:rsidP="00266915">
      <w:pPr>
        <w:spacing w:after="160"/>
        <w:ind w:left="540" w:hanging="540"/>
      </w:pPr>
      <w:r>
        <w:t xml:space="preserve">Yasin, M. H. M., Bari, S., &amp; Hassan, N. A. M. (2013). Cue speech and language achievement of hearing-impaired children. </w:t>
      </w:r>
      <w:r>
        <w:rPr>
          <w:i/>
          <w:iCs/>
        </w:rPr>
        <w:t>Asian Social Science</w:t>
      </w:r>
      <w:r>
        <w:t xml:space="preserve">, </w:t>
      </w:r>
      <w:r>
        <w:rPr>
          <w:i/>
          <w:iCs/>
        </w:rPr>
        <w:t>9</w:t>
      </w:r>
      <w:r>
        <w:t xml:space="preserve">(16), 81–86. </w:t>
      </w:r>
      <w:hyperlink r:id="rId207">
        <w:r w:rsidR="009E4375">
          <w:rPr>
            <w:u w:val="single"/>
          </w:rPr>
          <w:t>https://doi.org/10.5539/ass.v9n16p81</w:t>
        </w:r>
      </w:hyperlink>
    </w:p>
    <w:p w14:paraId="10CF7079" w14:textId="77777777" w:rsidR="009E4375" w:rsidRDefault="00000000" w:rsidP="00266915">
      <w:pPr>
        <w:spacing w:after="160"/>
        <w:ind w:left="540" w:hanging="540"/>
      </w:pPr>
      <w:r>
        <w:t xml:space="preserve">Yasin, M. H. M., Tahar, M. M., Bari, S., &amp; Manaf, F. N. (2017). </w:t>
      </w:r>
      <w:proofErr w:type="gramStart"/>
      <w:r>
        <w:t>The sign</w:t>
      </w:r>
      <w:proofErr w:type="gramEnd"/>
      <w:r>
        <w:t xml:space="preserve"> language learning </w:t>
      </w:r>
      <w:proofErr w:type="gramStart"/>
      <w:r>
        <w:t>in</w:t>
      </w:r>
      <w:proofErr w:type="gramEnd"/>
      <w:r>
        <w:t xml:space="preserve"> deaf </w:t>
      </w:r>
      <w:proofErr w:type="gramStart"/>
      <w:r>
        <w:t>student</w:t>
      </w:r>
      <w:proofErr w:type="gramEnd"/>
      <w:r>
        <w:t xml:space="preserve"> and special education </w:t>
      </w:r>
      <w:proofErr w:type="gramStart"/>
      <w:r>
        <w:t>teacher</w:t>
      </w:r>
      <w:proofErr w:type="gramEnd"/>
      <w:r>
        <w:t xml:space="preserve"> in integration </w:t>
      </w:r>
      <w:proofErr w:type="gramStart"/>
      <w:r>
        <w:t>program</w:t>
      </w:r>
      <w:proofErr w:type="gramEnd"/>
      <w:r>
        <w:t xml:space="preserve"> </w:t>
      </w:r>
      <w:proofErr w:type="gramStart"/>
      <w:r>
        <w:t>of</w:t>
      </w:r>
      <w:proofErr w:type="gramEnd"/>
      <w:r>
        <w:t xml:space="preserve"> hearing </w:t>
      </w:r>
      <w:proofErr w:type="gramStart"/>
      <w:r>
        <w:t>problem</w:t>
      </w:r>
      <w:proofErr w:type="gramEnd"/>
      <w:r>
        <w:t xml:space="preserve">. </w:t>
      </w:r>
      <w:r>
        <w:rPr>
          <w:i/>
          <w:iCs/>
        </w:rPr>
        <w:t>Journal of ICSAR (Online), 1</w:t>
      </w:r>
      <w:r>
        <w:t xml:space="preserve">(2), 166–174. </w:t>
      </w:r>
      <w:hyperlink r:id="rId208">
        <w:r w:rsidR="009E4375">
          <w:rPr>
            <w:u w:val="single"/>
          </w:rPr>
          <w:t>https://doi.org/10.17977/um005v1i22017p166</w:t>
        </w:r>
      </w:hyperlink>
    </w:p>
    <w:p w14:paraId="10CF707A" w14:textId="77777777" w:rsidR="009E4375" w:rsidRDefault="00000000" w:rsidP="00266915">
      <w:pPr>
        <w:spacing w:after="160"/>
        <w:ind w:left="540" w:hanging="540"/>
      </w:pPr>
      <w:r>
        <w:t xml:space="preserve">Yahaya-Isa, S. (2004). </w:t>
      </w:r>
      <w:r>
        <w:rPr>
          <w:i/>
          <w:iCs/>
        </w:rPr>
        <w:t>Against all odds: Education of the deaf in Malaysia, 1954-1987</w:t>
      </w:r>
      <w:r>
        <w:t xml:space="preserve">. </w:t>
      </w:r>
      <w:proofErr w:type="spellStart"/>
      <w:r>
        <w:t>Forda</w:t>
      </w:r>
      <w:proofErr w:type="spellEnd"/>
      <w:r>
        <w:t xml:space="preserve"> Printing.</w:t>
      </w:r>
    </w:p>
    <w:p w14:paraId="10CF707B" w14:textId="77777777" w:rsidR="009E4375" w:rsidRDefault="00000000" w:rsidP="00266915">
      <w:pPr>
        <w:spacing w:after="160"/>
        <w:ind w:left="540" w:hanging="540"/>
      </w:pPr>
      <w:r>
        <w:t xml:space="preserve">Yusoff, A. &amp; Mohamed, C. R., (2012). </w:t>
      </w:r>
      <w:proofErr w:type="spellStart"/>
      <w:r>
        <w:t>Memartabatkan</w:t>
      </w:r>
      <w:proofErr w:type="spellEnd"/>
      <w:r>
        <w:t xml:space="preserve"> </w:t>
      </w:r>
      <w:proofErr w:type="spellStart"/>
      <w:r>
        <w:t>bahasa</w:t>
      </w:r>
      <w:proofErr w:type="spellEnd"/>
      <w:r>
        <w:t xml:space="preserve"> orang </w:t>
      </w:r>
      <w:proofErr w:type="spellStart"/>
      <w:r>
        <w:t>pekak</w:t>
      </w:r>
      <w:proofErr w:type="spellEnd"/>
      <w:r>
        <w:t xml:space="preserve"> [Dignify the language of the deaf]. In Z. Ibrahim-Bell &amp; J. M. Jaafar (Eds.).</w:t>
      </w:r>
      <w:r>
        <w:rPr>
          <w:i/>
          <w:iCs/>
        </w:rPr>
        <w:t xml:space="preserve"> Deaf empowerment through sign language research</w:t>
      </w:r>
      <w:r>
        <w:t xml:space="preserve"> (pp. 73-98). University of Malaya, Malaysia.</w:t>
      </w:r>
    </w:p>
    <w:p w14:paraId="10CF707C" w14:textId="77777777" w:rsidR="009E4375" w:rsidRDefault="00000000" w:rsidP="00266915">
      <w:pPr>
        <w:spacing w:after="160"/>
        <w:ind w:left="540" w:hanging="540"/>
      </w:pPr>
      <w:r>
        <w:lastRenderedPageBreak/>
        <w:t xml:space="preserve">Yusoff, A. &amp; Mohamed, C. R., (2017). </w:t>
      </w:r>
      <w:proofErr w:type="spellStart"/>
      <w:r>
        <w:rPr>
          <w:i/>
          <w:iCs/>
        </w:rPr>
        <w:t>Memahami</w:t>
      </w:r>
      <w:proofErr w:type="spellEnd"/>
      <w:r>
        <w:rPr>
          <w:i/>
          <w:iCs/>
        </w:rPr>
        <w:t xml:space="preserve"> </w:t>
      </w:r>
      <w:proofErr w:type="spellStart"/>
      <w:r>
        <w:rPr>
          <w:i/>
          <w:iCs/>
        </w:rPr>
        <w:t>kecacatan</w:t>
      </w:r>
      <w:proofErr w:type="spellEnd"/>
      <w:r>
        <w:rPr>
          <w:i/>
          <w:iCs/>
        </w:rPr>
        <w:t xml:space="preserve"> </w:t>
      </w:r>
      <w:proofErr w:type="spellStart"/>
      <w:r>
        <w:rPr>
          <w:i/>
          <w:iCs/>
        </w:rPr>
        <w:t>bahasa</w:t>
      </w:r>
      <w:proofErr w:type="spellEnd"/>
      <w:r>
        <w:rPr>
          <w:i/>
          <w:iCs/>
        </w:rPr>
        <w:t xml:space="preserve"> dan </w:t>
      </w:r>
      <w:proofErr w:type="spellStart"/>
      <w:r>
        <w:rPr>
          <w:i/>
          <w:iCs/>
        </w:rPr>
        <w:t>komunikasi</w:t>
      </w:r>
      <w:proofErr w:type="spellEnd"/>
      <w:r>
        <w:t xml:space="preserve"> [Understanding language and communication disorders]. Dewan Bahasa dan Pustaka, Malaysia. </w:t>
      </w:r>
    </w:p>
    <w:p w14:paraId="10CF707D" w14:textId="77777777" w:rsidR="009E4375" w:rsidRDefault="00000000" w:rsidP="00266915">
      <w:pPr>
        <w:spacing w:after="160"/>
        <w:ind w:left="540" w:hanging="540"/>
        <w:rPr>
          <w:highlight w:val="white"/>
        </w:rPr>
      </w:pPr>
      <w:r>
        <w:t>Zhang, J., Zhao, Q</w:t>
      </w:r>
      <w:r>
        <w:rPr>
          <w:highlight w:val="white"/>
        </w:rPr>
        <w:t xml:space="preserve">., &amp; XI, X. (2017). Evaluation of the Chinese version youth quality of life-deafness specific scale in the patients with deafness. </w:t>
      </w:r>
      <w:r>
        <w:rPr>
          <w:i/>
          <w:iCs/>
          <w:highlight w:val="white"/>
        </w:rPr>
        <w:t>Chinese Journal of Practical Nursi</w:t>
      </w:r>
      <w:r>
        <w:rPr>
          <w:i/>
          <w:iCs/>
        </w:rPr>
        <w:t>ng</w:t>
      </w:r>
      <w:r>
        <w:t xml:space="preserve">, </w:t>
      </w:r>
      <w:r>
        <w:rPr>
          <w:i/>
          <w:iCs/>
        </w:rPr>
        <w:t>33</w:t>
      </w:r>
      <w:r>
        <w:t>(</w:t>
      </w:r>
      <w:r>
        <w:rPr>
          <w:highlight w:val="white"/>
        </w:rPr>
        <w:t>36), 2834-2838.</w:t>
      </w:r>
    </w:p>
    <w:p w14:paraId="10CF707F" w14:textId="7C09FAD6" w:rsidR="009E4375" w:rsidRDefault="009E4375">
      <w:pPr>
        <w:spacing w:after="0"/>
      </w:pPr>
    </w:p>
    <w:p w14:paraId="6B40E731" w14:textId="77777777" w:rsidR="007D0A6B" w:rsidRDefault="007D0A6B">
      <w:pPr>
        <w:rPr>
          <w:b/>
          <w:bCs/>
        </w:rPr>
      </w:pPr>
      <w:bookmarkStart w:id="86" w:name="_Toc214490436"/>
      <w:r>
        <w:br w:type="page"/>
      </w:r>
    </w:p>
    <w:p w14:paraId="10CF7080" w14:textId="5649E0C6" w:rsidR="009E4375" w:rsidRDefault="00000000">
      <w:pPr>
        <w:pStyle w:val="Heading1"/>
      </w:pPr>
      <w:r>
        <w:lastRenderedPageBreak/>
        <w:t>Appendices</w:t>
      </w:r>
      <w:bookmarkEnd w:id="86"/>
    </w:p>
    <w:p w14:paraId="10CF7081" w14:textId="77777777" w:rsidR="009E4375" w:rsidRDefault="00000000">
      <w:pPr>
        <w:pStyle w:val="Heading2"/>
      </w:pPr>
      <w:bookmarkStart w:id="87" w:name="_Toc214490437"/>
      <w:r>
        <w:t>Appendix A</w:t>
      </w:r>
      <w:bookmarkEnd w:id="87"/>
    </w:p>
    <w:p w14:paraId="10CF7082" w14:textId="77777777" w:rsidR="009E4375" w:rsidRDefault="009E4375"/>
    <w:p w14:paraId="10CF7083" w14:textId="77777777" w:rsidR="009E4375" w:rsidRDefault="00000000">
      <w:pPr>
        <w:pStyle w:val="Heading3"/>
      </w:pPr>
      <w:bookmarkStart w:id="88" w:name="_Toc214490438"/>
      <w:r>
        <w:t>YQOL-DHH Survey Modification</w:t>
      </w:r>
      <w:bookmarkEnd w:id="88"/>
    </w:p>
    <w:p w14:paraId="10CF7084" w14:textId="77777777" w:rsidR="009E4375" w:rsidRDefault="00000000">
      <w:pPr>
        <w:spacing w:before="0" w:after="0"/>
        <w:ind w:firstLine="720"/>
      </w:pPr>
      <w:r>
        <w:t xml:space="preserve">Because the YQOL-DHH had not been administered previously in Malaysia, minor modifications were made to the questions to account for cross-cultural differences and then the instrument was translated into Malay and BIM (video format). This survey was adapted from the YQOL-DHH with permission from the University of Washington and Patrick, who developed the instrument. After revisions and translations were completed, the survey was set up in English, Malay, and BIM using Qualtrics software which has capacity to provide the survey in print and video formats. A pilot study was conducted in November and December 2022 with 10 deaf adult Malaysians to determine if the respondents’ understandings aligned with the intent of the translated questions, thereby giving validity to the translated instrument. Following feedback from pilot study participants, the BIM version was revised and recorded again for the sake of clarity. The text below provides detailed information about the translation process, the pilot study findings, and final revisions to the survey. </w:t>
      </w:r>
    </w:p>
    <w:p w14:paraId="10CF7085" w14:textId="77777777" w:rsidR="009E4375" w:rsidRDefault="009E4375">
      <w:pPr>
        <w:spacing w:before="0" w:after="0"/>
        <w:ind w:firstLine="720"/>
      </w:pPr>
    </w:p>
    <w:p w14:paraId="10CF7086" w14:textId="77777777" w:rsidR="009E4375" w:rsidRDefault="00000000">
      <w:pPr>
        <w:pStyle w:val="Heading4"/>
      </w:pPr>
      <w:bookmarkStart w:id="89" w:name="_Toc214490439"/>
      <w:r>
        <w:t>Initial Revisions to Survey Questions</w:t>
      </w:r>
      <w:bookmarkEnd w:id="89"/>
    </w:p>
    <w:p w14:paraId="10CF7087" w14:textId="77777777" w:rsidR="009E4375" w:rsidRDefault="00000000">
      <w:pPr>
        <w:spacing w:before="0" w:after="0"/>
        <w:ind w:firstLine="720"/>
      </w:pPr>
      <w:r>
        <w:t xml:space="preserve">Minor modifications were made to the questions on the YQOL-DHH survey to account for cross-cultural and current day differences. Question #4 included outdated technology: “I feel I have enough technology, such as pagers, videophones, texting, and/or internet to communicate as a person who is deaf or hard of hearing”. The statement was revised by omitting "pagers" and replacing it with "WhatsApp, Instagram, and Facebook Messenger." </w:t>
      </w:r>
    </w:p>
    <w:p w14:paraId="10CF7088" w14:textId="77777777" w:rsidR="009E4375" w:rsidRDefault="009E4375">
      <w:pPr>
        <w:spacing w:before="0" w:after="0"/>
        <w:ind w:firstLine="720"/>
      </w:pPr>
    </w:p>
    <w:p w14:paraId="10CF7089" w14:textId="77777777" w:rsidR="009E4375" w:rsidRDefault="00000000">
      <w:pPr>
        <w:pStyle w:val="Heading4"/>
      </w:pPr>
      <w:bookmarkStart w:id="90" w:name="_Toc214490440"/>
      <w:r>
        <w:t>Translation</w:t>
      </w:r>
      <w:bookmarkEnd w:id="90"/>
    </w:p>
    <w:p w14:paraId="10CF708A" w14:textId="77777777" w:rsidR="009E4375" w:rsidRDefault="00000000">
      <w:pPr>
        <w:spacing w:before="0" w:after="0"/>
        <w:ind w:firstLine="720"/>
      </w:pPr>
      <w:r>
        <w:t>The YQOL-DHH instrument has been translated into other languages, including sign languages (</w:t>
      </w:r>
      <w:proofErr w:type="spellStart"/>
      <w:r>
        <w:t>Ashori</w:t>
      </w:r>
      <w:proofErr w:type="spellEnd"/>
      <w:r>
        <w:t xml:space="preserve"> &amp; Rashidi, 2020; </w:t>
      </w:r>
      <w:proofErr w:type="spellStart"/>
      <w:r>
        <w:t>Gragnaniello</w:t>
      </w:r>
      <w:proofErr w:type="spellEnd"/>
      <w:r>
        <w:t xml:space="preserve"> et al., </w:t>
      </w:r>
      <w:proofErr w:type="gramStart"/>
      <w:r>
        <w:t>2021 &amp;;</w:t>
      </w:r>
      <w:proofErr w:type="gramEnd"/>
      <w:r>
        <w:t xml:space="preserve"> Patrick et al., 2011), using an interactive process of forward and back translation, independent </w:t>
      </w:r>
      <w:r>
        <w:lastRenderedPageBreak/>
        <w:t xml:space="preserve">reviews by bilingual experts, and pretesting on a population with characteristics </w:t>
      </w:r>
      <w:proofErr w:type="gramStart"/>
      <w:r>
        <w:t>similar to</w:t>
      </w:r>
      <w:proofErr w:type="gramEnd"/>
      <w:r>
        <w:t xml:space="preserve"> the target population (Patrick et al., 2011). By developing reliable and valid QOL instruments in sign language, DHH children, adolescents, and adults who use sign language as their preferred language will be able to provide accurate and significant reports on their lived experiences (Aanondsen et al. 2021).</w:t>
      </w:r>
    </w:p>
    <w:p w14:paraId="10CF708B" w14:textId="77777777" w:rsidR="009E4375" w:rsidRDefault="00000000">
      <w:pPr>
        <w:spacing w:before="0" w:after="0"/>
        <w:ind w:firstLine="720"/>
      </w:pPr>
      <w:proofErr w:type="gramStart"/>
      <w:r>
        <w:t>For the purpose of</w:t>
      </w:r>
      <w:proofErr w:type="gramEnd"/>
      <w:r>
        <w:t xml:space="preserve"> this research, the survey was translated into Malay and BIM, so that the deaf participants can access each question in written Malay and BIM, written English and Malay, or all three languages. In the case of the Malay and BIM versions of the questionnaire, the forward-backward translation was conducted to translate the English questionnaire according to the steps described by Guillemin et al. (1993).</w:t>
      </w:r>
    </w:p>
    <w:p w14:paraId="10CF708C" w14:textId="77777777" w:rsidR="009E4375" w:rsidRDefault="00000000">
      <w:pPr>
        <w:spacing w:before="0" w:after="0"/>
        <w:ind w:firstLine="720"/>
      </w:pPr>
      <w:r>
        <w:t xml:space="preserve">In non-English-speaking countries, Guillemin et al. (1993) suggested two options: (1) developing a new measure and (2) using a measure already developed in another language. This researcher chose the second option to translate an established and highly reliable measurement </w:t>
      </w:r>
      <w:proofErr w:type="gramStart"/>
      <w:r>
        <w:t>in</w:t>
      </w:r>
      <w:proofErr w:type="gramEnd"/>
      <w:r>
        <w:t xml:space="preserve"> additional languages. During the translation process, the researcher considered the following: (1) the level of language should be </w:t>
      </w:r>
      <w:proofErr w:type="gramStart"/>
      <w:r>
        <w:t>similar to</w:t>
      </w:r>
      <w:proofErr w:type="gramEnd"/>
      <w:r>
        <w:t xml:space="preserve"> the original survey </w:t>
      </w:r>
      <w:proofErr w:type="gramStart"/>
      <w:r>
        <w:t>so as to</w:t>
      </w:r>
      <w:proofErr w:type="gramEnd"/>
      <w:r>
        <w:t xml:space="preserve"> not compromise the content, (2) questions should be culturally relevant based on the country’s living context.  For the current pilot study, the researcher followed the steps suggested by </w:t>
      </w:r>
      <w:proofErr w:type="spellStart"/>
      <w:r>
        <w:t>Quillemin</w:t>
      </w:r>
      <w:proofErr w:type="spellEnd"/>
      <w:r>
        <w:t xml:space="preserve"> et al. (1993) except the weighting of scores that required a larger number of participants. See Table A-1.</w:t>
      </w:r>
    </w:p>
    <w:p w14:paraId="10CF708D" w14:textId="77777777" w:rsidR="009E4375" w:rsidRDefault="009E4375">
      <w:pPr>
        <w:spacing w:before="0" w:after="0"/>
        <w:rPr>
          <w:b/>
          <w:bCs/>
        </w:rPr>
      </w:pPr>
    </w:p>
    <w:p w14:paraId="10CF708E" w14:textId="77777777" w:rsidR="009E4375" w:rsidRDefault="009E4375">
      <w:pPr>
        <w:spacing w:after="0"/>
        <w:rPr>
          <w:b/>
          <w:bCs/>
        </w:rPr>
      </w:pPr>
    </w:p>
    <w:p w14:paraId="10CF708F" w14:textId="77777777" w:rsidR="009E4375" w:rsidRDefault="009E4375">
      <w:pPr>
        <w:spacing w:after="0"/>
        <w:rPr>
          <w:b/>
          <w:bCs/>
        </w:rPr>
      </w:pPr>
    </w:p>
    <w:p w14:paraId="10CF7090" w14:textId="77777777" w:rsidR="009E4375" w:rsidRDefault="009E4375">
      <w:pPr>
        <w:spacing w:after="0"/>
        <w:rPr>
          <w:b/>
          <w:bCs/>
        </w:rPr>
      </w:pPr>
    </w:p>
    <w:p w14:paraId="10CF7091" w14:textId="77777777" w:rsidR="009E4375" w:rsidRDefault="009E4375">
      <w:pPr>
        <w:spacing w:after="0"/>
        <w:rPr>
          <w:b/>
          <w:bCs/>
        </w:rPr>
      </w:pPr>
    </w:p>
    <w:p w14:paraId="10CF7092" w14:textId="77777777" w:rsidR="009E4375" w:rsidRDefault="009E4375">
      <w:pPr>
        <w:spacing w:after="0"/>
        <w:rPr>
          <w:b/>
          <w:bCs/>
        </w:rPr>
      </w:pPr>
    </w:p>
    <w:p w14:paraId="10CF7093" w14:textId="77777777" w:rsidR="009E4375" w:rsidRDefault="009E4375">
      <w:pPr>
        <w:spacing w:after="0"/>
        <w:rPr>
          <w:b/>
          <w:bCs/>
        </w:rPr>
      </w:pPr>
    </w:p>
    <w:p w14:paraId="10CF7094" w14:textId="77777777" w:rsidR="009E4375" w:rsidRDefault="009E4375">
      <w:pPr>
        <w:spacing w:after="0"/>
        <w:rPr>
          <w:b/>
          <w:bCs/>
        </w:rPr>
      </w:pPr>
    </w:p>
    <w:p w14:paraId="10CF7095" w14:textId="77777777" w:rsidR="009E4375" w:rsidRDefault="00000000" w:rsidP="00306103">
      <w:pPr>
        <w:spacing w:after="0"/>
        <w:rPr>
          <w:b/>
          <w:bCs/>
        </w:rPr>
      </w:pPr>
      <w:r>
        <w:rPr>
          <w:b/>
          <w:bCs/>
        </w:rPr>
        <w:lastRenderedPageBreak/>
        <w:t>Table A-1</w:t>
      </w:r>
    </w:p>
    <w:tbl>
      <w:tblPr>
        <w:tblStyle w:val="af4"/>
        <w:tblpPr w:leftFromText="180" w:rightFromText="180" w:vertAnchor="text" w:horzAnchor="margin" w:tblpY="668"/>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10"/>
        <w:gridCol w:w="8370"/>
      </w:tblGrid>
      <w:tr w:rsidR="00306103" w14:paraId="70DFD4B2" w14:textId="77777777" w:rsidTr="00306103">
        <w:trPr>
          <w:trHeight w:val="1335"/>
        </w:trPr>
        <w:tc>
          <w:tcPr>
            <w:tcW w:w="51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491067D" w14:textId="77777777" w:rsidR="00306103" w:rsidRDefault="00306103" w:rsidP="00306103">
            <w:pPr>
              <w:keepNext/>
              <w:keepLines/>
              <w:spacing w:before="0" w:after="0" w:line="276" w:lineRule="auto"/>
              <w:ind w:left="720"/>
            </w:pPr>
            <w:r>
              <w:t>1.</w:t>
            </w:r>
          </w:p>
        </w:tc>
        <w:tc>
          <w:tcPr>
            <w:tcW w:w="837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1AB2AEDF" w14:textId="77777777" w:rsidR="00306103" w:rsidRDefault="00306103" w:rsidP="00306103">
            <w:pPr>
              <w:keepNext/>
              <w:keepLines/>
              <w:spacing w:before="0" w:after="0" w:line="276" w:lineRule="auto"/>
              <w:ind w:left="720"/>
              <w:rPr>
                <w:b/>
                <w:bCs/>
              </w:rPr>
            </w:pPr>
            <w:r>
              <w:rPr>
                <w:b/>
                <w:bCs/>
              </w:rPr>
              <w:t>Translation</w:t>
            </w:r>
          </w:p>
          <w:p w14:paraId="53EB6319" w14:textId="77777777" w:rsidR="00306103" w:rsidRDefault="00306103" w:rsidP="00306103">
            <w:pPr>
              <w:keepNext/>
              <w:keepLines/>
              <w:numPr>
                <w:ilvl w:val="0"/>
                <w:numId w:val="19"/>
              </w:numPr>
              <w:spacing w:before="0" w:after="0" w:line="276" w:lineRule="auto"/>
            </w:pPr>
            <w:r>
              <w:t>Produce several translations.</w:t>
            </w:r>
          </w:p>
          <w:p w14:paraId="084597DE" w14:textId="77777777" w:rsidR="00306103" w:rsidRDefault="00306103" w:rsidP="00306103">
            <w:pPr>
              <w:keepNext/>
              <w:keepLines/>
              <w:numPr>
                <w:ilvl w:val="0"/>
                <w:numId w:val="19"/>
              </w:numPr>
              <w:spacing w:before="0" w:after="0" w:line="276" w:lineRule="auto"/>
            </w:pPr>
            <w:r>
              <w:t>Use qualified translators.</w:t>
            </w:r>
          </w:p>
        </w:tc>
      </w:tr>
      <w:tr w:rsidR="00306103" w14:paraId="4F0DB6DE" w14:textId="77777777" w:rsidTr="00306103">
        <w:trPr>
          <w:trHeight w:val="1260"/>
        </w:trPr>
        <w:tc>
          <w:tcPr>
            <w:tcW w:w="51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5EFA194" w14:textId="77777777" w:rsidR="00306103" w:rsidRDefault="00306103" w:rsidP="00306103">
            <w:pPr>
              <w:keepNext/>
              <w:keepLines/>
              <w:spacing w:before="0" w:after="0" w:line="276" w:lineRule="auto"/>
              <w:ind w:left="720"/>
            </w:pPr>
            <w:r>
              <w:t>2.</w:t>
            </w:r>
          </w:p>
        </w:tc>
        <w:tc>
          <w:tcPr>
            <w:tcW w:w="8370" w:type="dxa"/>
            <w:tcBorders>
              <w:top w:val="nil"/>
              <w:left w:val="nil"/>
              <w:bottom w:val="single" w:sz="7" w:space="0" w:color="000000"/>
              <w:right w:val="single" w:sz="7" w:space="0" w:color="000000"/>
            </w:tcBorders>
            <w:tcMar>
              <w:top w:w="100" w:type="dxa"/>
              <w:left w:w="100" w:type="dxa"/>
              <w:bottom w:w="100" w:type="dxa"/>
              <w:right w:w="100" w:type="dxa"/>
            </w:tcMar>
          </w:tcPr>
          <w:p w14:paraId="6516A0C7" w14:textId="77777777" w:rsidR="00306103" w:rsidRDefault="00306103" w:rsidP="00306103">
            <w:pPr>
              <w:keepNext/>
              <w:keepLines/>
              <w:spacing w:before="0" w:after="0" w:line="276" w:lineRule="auto"/>
              <w:ind w:left="720"/>
              <w:rPr>
                <w:b/>
                <w:bCs/>
              </w:rPr>
            </w:pPr>
            <w:r>
              <w:rPr>
                <w:b/>
                <w:bCs/>
              </w:rPr>
              <w:t>Back-translation</w:t>
            </w:r>
          </w:p>
          <w:p w14:paraId="3022CF5B" w14:textId="77777777" w:rsidR="00306103" w:rsidRDefault="00306103" w:rsidP="00306103">
            <w:pPr>
              <w:keepNext/>
              <w:keepLines/>
              <w:numPr>
                <w:ilvl w:val="0"/>
                <w:numId w:val="26"/>
              </w:numPr>
              <w:spacing w:before="0" w:after="0" w:line="276" w:lineRule="auto"/>
            </w:pPr>
            <w:r>
              <w:t>Produce as many back-translations as translations.</w:t>
            </w:r>
          </w:p>
          <w:p w14:paraId="4279A076" w14:textId="77777777" w:rsidR="00306103" w:rsidRDefault="00306103" w:rsidP="00306103">
            <w:pPr>
              <w:keepNext/>
              <w:keepLines/>
              <w:numPr>
                <w:ilvl w:val="0"/>
                <w:numId w:val="26"/>
              </w:numPr>
              <w:spacing w:before="0" w:after="0" w:line="276" w:lineRule="auto"/>
            </w:pPr>
            <w:r>
              <w:t>Use appropriate back-translators.</w:t>
            </w:r>
          </w:p>
        </w:tc>
      </w:tr>
      <w:tr w:rsidR="00306103" w14:paraId="750E731B" w14:textId="77777777" w:rsidTr="00306103">
        <w:trPr>
          <w:trHeight w:val="2955"/>
        </w:trPr>
        <w:tc>
          <w:tcPr>
            <w:tcW w:w="51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5C2D40FB" w14:textId="77777777" w:rsidR="00306103" w:rsidRDefault="00306103" w:rsidP="00306103">
            <w:pPr>
              <w:keepNext/>
              <w:keepLines/>
              <w:spacing w:before="0" w:after="0" w:line="276" w:lineRule="auto"/>
              <w:ind w:left="720"/>
            </w:pPr>
            <w:r>
              <w:t>3.</w:t>
            </w:r>
          </w:p>
        </w:tc>
        <w:tc>
          <w:tcPr>
            <w:tcW w:w="8370" w:type="dxa"/>
            <w:tcBorders>
              <w:top w:val="nil"/>
              <w:left w:val="nil"/>
              <w:bottom w:val="single" w:sz="7" w:space="0" w:color="000000"/>
              <w:right w:val="single" w:sz="7" w:space="0" w:color="000000"/>
            </w:tcBorders>
            <w:tcMar>
              <w:top w:w="100" w:type="dxa"/>
              <w:left w:w="100" w:type="dxa"/>
              <w:bottom w:w="100" w:type="dxa"/>
              <w:right w:w="100" w:type="dxa"/>
            </w:tcMar>
          </w:tcPr>
          <w:p w14:paraId="4F22D152" w14:textId="77777777" w:rsidR="00306103" w:rsidRDefault="00306103" w:rsidP="00306103">
            <w:pPr>
              <w:keepNext/>
              <w:keepLines/>
              <w:spacing w:before="0" w:after="0" w:line="276" w:lineRule="auto"/>
              <w:ind w:left="720"/>
              <w:rPr>
                <w:b/>
                <w:bCs/>
              </w:rPr>
            </w:pPr>
            <w:r>
              <w:rPr>
                <w:b/>
                <w:bCs/>
              </w:rPr>
              <w:t>Committee review</w:t>
            </w:r>
          </w:p>
          <w:p w14:paraId="05C52576" w14:textId="77777777" w:rsidR="00306103" w:rsidRDefault="00306103" w:rsidP="00306103">
            <w:pPr>
              <w:keepNext/>
              <w:keepLines/>
              <w:numPr>
                <w:ilvl w:val="0"/>
                <w:numId w:val="13"/>
              </w:numPr>
              <w:spacing w:before="0" w:after="0" w:line="276" w:lineRule="auto"/>
            </w:pPr>
            <w:r>
              <w:t>Constitute a committee to compare source and final versions.</w:t>
            </w:r>
          </w:p>
          <w:p w14:paraId="773ADE34" w14:textId="77777777" w:rsidR="00306103" w:rsidRDefault="00306103" w:rsidP="00306103">
            <w:pPr>
              <w:keepNext/>
              <w:keepLines/>
              <w:numPr>
                <w:ilvl w:val="0"/>
                <w:numId w:val="13"/>
              </w:numPr>
              <w:spacing w:before="0" w:after="0" w:line="276" w:lineRule="auto"/>
            </w:pPr>
            <w:r>
              <w:t>Membership of the committee should be multidisciplinary.</w:t>
            </w:r>
          </w:p>
          <w:p w14:paraId="286B75E4" w14:textId="77777777" w:rsidR="00306103" w:rsidRDefault="00306103" w:rsidP="00306103">
            <w:pPr>
              <w:keepNext/>
              <w:keepLines/>
              <w:numPr>
                <w:ilvl w:val="0"/>
                <w:numId w:val="13"/>
              </w:numPr>
              <w:spacing w:before="0" w:after="0" w:line="276" w:lineRule="auto"/>
            </w:pPr>
            <w:r>
              <w:t>Use structured techniques to resolve discrepancies.</w:t>
            </w:r>
          </w:p>
          <w:p w14:paraId="3D966F30" w14:textId="77777777" w:rsidR="00306103" w:rsidRDefault="00306103" w:rsidP="00306103">
            <w:pPr>
              <w:keepNext/>
              <w:keepLines/>
              <w:numPr>
                <w:ilvl w:val="0"/>
                <w:numId w:val="13"/>
              </w:numPr>
              <w:spacing w:before="0" w:after="0" w:line="276" w:lineRule="auto"/>
            </w:pPr>
            <w:r>
              <w:t>Modify instructions or format, modify/reject inappropriate items, and generate new items.</w:t>
            </w:r>
          </w:p>
          <w:p w14:paraId="4F346997" w14:textId="77777777" w:rsidR="00306103" w:rsidRDefault="00306103" w:rsidP="00306103">
            <w:pPr>
              <w:keepNext/>
              <w:keepLines/>
              <w:numPr>
                <w:ilvl w:val="0"/>
                <w:numId w:val="13"/>
              </w:numPr>
              <w:spacing w:before="0" w:after="0" w:line="276" w:lineRule="auto"/>
            </w:pPr>
            <w:r>
              <w:t>Ensure that the translation is fully comprehensible.</w:t>
            </w:r>
          </w:p>
          <w:p w14:paraId="28C3A7F0" w14:textId="77777777" w:rsidR="00306103" w:rsidRDefault="00306103" w:rsidP="00306103">
            <w:pPr>
              <w:keepNext/>
              <w:keepLines/>
              <w:numPr>
                <w:ilvl w:val="0"/>
                <w:numId w:val="13"/>
              </w:numPr>
              <w:spacing w:before="0" w:after="0" w:line="276" w:lineRule="auto"/>
            </w:pPr>
            <w:r>
              <w:t>Verify cross-cultural equivalence of source and final versions.</w:t>
            </w:r>
          </w:p>
        </w:tc>
      </w:tr>
      <w:tr w:rsidR="00306103" w14:paraId="6149CDED" w14:textId="77777777" w:rsidTr="00306103">
        <w:trPr>
          <w:trHeight w:val="2385"/>
        </w:trPr>
        <w:tc>
          <w:tcPr>
            <w:tcW w:w="51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662D99B" w14:textId="77777777" w:rsidR="00306103" w:rsidRDefault="00306103" w:rsidP="00306103">
            <w:pPr>
              <w:keepNext/>
              <w:keepLines/>
              <w:spacing w:before="0" w:after="0" w:line="276" w:lineRule="auto"/>
              <w:ind w:left="720"/>
            </w:pPr>
            <w:r>
              <w:t>4.</w:t>
            </w:r>
          </w:p>
        </w:tc>
        <w:tc>
          <w:tcPr>
            <w:tcW w:w="8370" w:type="dxa"/>
            <w:tcBorders>
              <w:top w:val="nil"/>
              <w:left w:val="nil"/>
              <w:bottom w:val="single" w:sz="7" w:space="0" w:color="000000"/>
              <w:right w:val="single" w:sz="7" w:space="0" w:color="000000"/>
            </w:tcBorders>
            <w:tcMar>
              <w:top w:w="100" w:type="dxa"/>
              <w:left w:w="100" w:type="dxa"/>
              <w:bottom w:w="100" w:type="dxa"/>
              <w:right w:w="100" w:type="dxa"/>
            </w:tcMar>
          </w:tcPr>
          <w:p w14:paraId="5942E074" w14:textId="77777777" w:rsidR="00306103" w:rsidRDefault="00306103" w:rsidP="00306103">
            <w:pPr>
              <w:keepNext/>
              <w:keepLines/>
              <w:spacing w:before="0" w:after="0" w:line="276" w:lineRule="auto"/>
              <w:ind w:left="720"/>
              <w:rPr>
                <w:b/>
                <w:bCs/>
              </w:rPr>
            </w:pPr>
            <w:r>
              <w:rPr>
                <w:b/>
                <w:bCs/>
              </w:rPr>
              <w:t>Pre-testing</w:t>
            </w:r>
          </w:p>
          <w:p w14:paraId="75A9B77A" w14:textId="77777777" w:rsidR="00306103" w:rsidRDefault="00306103" w:rsidP="00306103">
            <w:pPr>
              <w:keepNext/>
              <w:keepLines/>
              <w:numPr>
                <w:ilvl w:val="0"/>
                <w:numId w:val="16"/>
              </w:numPr>
              <w:spacing w:before="0" w:after="0" w:line="276" w:lineRule="auto"/>
            </w:pPr>
            <w:r>
              <w:t>Check for equivalence in source and final versions using a pre-test technique.</w:t>
            </w:r>
          </w:p>
          <w:p w14:paraId="0AF0AE65" w14:textId="77777777" w:rsidR="00306103" w:rsidRDefault="00306103" w:rsidP="00306103">
            <w:pPr>
              <w:keepNext/>
              <w:keepLines/>
              <w:numPr>
                <w:ilvl w:val="0"/>
                <w:numId w:val="16"/>
              </w:numPr>
              <w:spacing w:before="0" w:after="0" w:line="276" w:lineRule="auto"/>
            </w:pPr>
            <w:r>
              <w:t>Either use a probe technique.</w:t>
            </w:r>
          </w:p>
          <w:p w14:paraId="4E5F21E5" w14:textId="77777777" w:rsidR="00306103" w:rsidRDefault="00306103" w:rsidP="00306103">
            <w:pPr>
              <w:keepNext/>
              <w:keepLines/>
              <w:numPr>
                <w:ilvl w:val="0"/>
                <w:numId w:val="16"/>
              </w:numPr>
              <w:spacing w:before="0" w:after="0" w:line="276" w:lineRule="auto"/>
            </w:pPr>
            <w:r>
              <w:t>Or submit the source and final versions to bilingual laypeople.</w:t>
            </w:r>
          </w:p>
          <w:p w14:paraId="32A439CA" w14:textId="77777777" w:rsidR="00306103" w:rsidRDefault="00306103" w:rsidP="00306103">
            <w:pPr>
              <w:keepNext/>
              <w:keepLines/>
              <w:numPr>
                <w:ilvl w:val="0"/>
                <w:numId w:val="16"/>
              </w:numPr>
              <w:spacing w:before="0" w:after="0" w:line="276" w:lineRule="auto"/>
            </w:pPr>
            <w:r>
              <w:t>Immigrants: Choose the language of administration or use a dual-format measure.</w:t>
            </w:r>
          </w:p>
        </w:tc>
      </w:tr>
      <w:tr w:rsidR="00306103" w14:paraId="10D6D53E" w14:textId="77777777" w:rsidTr="00306103">
        <w:trPr>
          <w:trHeight w:val="1185"/>
        </w:trPr>
        <w:tc>
          <w:tcPr>
            <w:tcW w:w="51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76DEB3D" w14:textId="77777777" w:rsidR="00306103" w:rsidRDefault="00306103" w:rsidP="00306103">
            <w:pPr>
              <w:keepNext/>
              <w:keepLines/>
              <w:spacing w:before="0" w:after="0" w:line="276" w:lineRule="auto"/>
              <w:ind w:left="720"/>
            </w:pPr>
            <w:r>
              <w:t>5.</w:t>
            </w:r>
          </w:p>
        </w:tc>
        <w:tc>
          <w:tcPr>
            <w:tcW w:w="8370" w:type="dxa"/>
            <w:tcBorders>
              <w:top w:val="nil"/>
              <w:left w:val="nil"/>
              <w:bottom w:val="single" w:sz="7" w:space="0" w:color="000000"/>
              <w:right w:val="single" w:sz="7" w:space="0" w:color="000000"/>
            </w:tcBorders>
            <w:tcMar>
              <w:top w:w="100" w:type="dxa"/>
              <w:left w:w="100" w:type="dxa"/>
              <w:bottom w:w="100" w:type="dxa"/>
              <w:right w:w="100" w:type="dxa"/>
            </w:tcMar>
          </w:tcPr>
          <w:p w14:paraId="7EE683CF" w14:textId="77777777" w:rsidR="00306103" w:rsidRDefault="00306103" w:rsidP="00306103">
            <w:pPr>
              <w:keepNext/>
              <w:keepLines/>
              <w:spacing w:before="0" w:after="0" w:line="276" w:lineRule="auto"/>
              <w:ind w:left="720"/>
              <w:rPr>
                <w:b/>
                <w:bCs/>
              </w:rPr>
            </w:pPr>
            <w:r>
              <w:rPr>
                <w:b/>
                <w:bCs/>
              </w:rPr>
              <w:t>Cognitive debriefing</w:t>
            </w:r>
          </w:p>
          <w:p w14:paraId="6C5B97AE" w14:textId="77777777" w:rsidR="00306103" w:rsidRDefault="00306103" w:rsidP="00306103">
            <w:pPr>
              <w:keepNext/>
              <w:keepLines/>
              <w:numPr>
                <w:ilvl w:val="0"/>
                <w:numId w:val="8"/>
              </w:numPr>
              <w:spacing w:before="0" w:after="0" w:line="276" w:lineRule="auto"/>
            </w:pPr>
            <w:r>
              <w:t>Ten deaf adults voluntarily participated in the pilot study with the researcher to ensure the understandability of the YQOL instrument.</w:t>
            </w:r>
          </w:p>
        </w:tc>
      </w:tr>
      <w:tr w:rsidR="00306103" w14:paraId="41E46BD0" w14:textId="77777777" w:rsidTr="00306103">
        <w:trPr>
          <w:trHeight w:val="589"/>
        </w:trPr>
        <w:tc>
          <w:tcPr>
            <w:tcW w:w="510" w:type="dxa"/>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1CBF55B6" w14:textId="77777777" w:rsidR="00306103" w:rsidRDefault="00306103" w:rsidP="00306103">
            <w:pPr>
              <w:keepNext/>
              <w:keepLines/>
              <w:spacing w:before="0" w:after="0" w:line="276" w:lineRule="auto"/>
              <w:ind w:left="720"/>
            </w:pPr>
          </w:p>
        </w:tc>
        <w:tc>
          <w:tcPr>
            <w:tcW w:w="8370" w:type="dxa"/>
            <w:tcBorders>
              <w:top w:val="nil"/>
              <w:left w:val="nil"/>
              <w:bottom w:val="single" w:sz="7" w:space="0" w:color="000000"/>
              <w:right w:val="single" w:sz="7" w:space="0" w:color="000000"/>
            </w:tcBorders>
            <w:tcMar>
              <w:top w:w="100" w:type="dxa"/>
              <w:left w:w="100" w:type="dxa"/>
              <w:bottom w:w="100" w:type="dxa"/>
              <w:right w:w="100" w:type="dxa"/>
            </w:tcMar>
          </w:tcPr>
          <w:p w14:paraId="7347E4B5" w14:textId="77777777" w:rsidR="00306103" w:rsidRDefault="00306103" w:rsidP="00306103">
            <w:pPr>
              <w:keepNext/>
              <w:keepLines/>
              <w:spacing w:before="0" w:after="0" w:line="276" w:lineRule="auto"/>
              <w:ind w:left="720"/>
              <w:rPr>
                <w:b/>
                <w:bCs/>
              </w:rPr>
            </w:pPr>
            <w:r>
              <w:rPr>
                <w:b/>
                <w:bCs/>
              </w:rPr>
              <w:t>Final Malay Language and BIM version.</w:t>
            </w:r>
          </w:p>
          <w:p w14:paraId="281DD96F" w14:textId="77777777" w:rsidR="00306103" w:rsidRDefault="00306103" w:rsidP="00306103">
            <w:pPr>
              <w:keepNext/>
              <w:keepLines/>
              <w:numPr>
                <w:ilvl w:val="0"/>
                <w:numId w:val="8"/>
              </w:numPr>
              <w:spacing w:before="0" w:after="0" w:line="276" w:lineRule="auto"/>
            </w:pPr>
            <w:r>
              <w:t>Review of cognitive debriefing notes based on feedback received.</w:t>
            </w:r>
          </w:p>
          <w:p w14:paraId="1C2B3D89" w14:textId="77777777" w:rsidR="00306103" w:rsidRDefault="00306103" w:rsidP="00306103">
            <w:pPr>
              <w:keepNext/>
              <w:keepLines/>
              <w:numPr>
                <w:ilvl w:val="0"/>
                <w:numId w:val="8"/>
              </w:numPr>
              <w:spacing w:before="0" w:after="0" w:line="276" w:lineRule="auto"/>
            </w:pPr>
            <w:r>
              <w:t xml:space="preserve">Revise and </w:t>
            </w:r>
            <w:proofErr w:type="gramStart"/>
            <w:r>
              <w:t>rerecord</w:t>
            </w:r>
            <w:proofErr w:type="gramEnd"/>
            <w:r>
              <w:t xml:space="preserve"> the BIM videos as necessary. </w:t>
            </w:r>
          </w:p>
        </w:tc>
      </w:tr>
    </w:tbl>
    <w:p w14:paraId="10CF7096" w14:textId="77777777" w:rsidR="009E4375" w:rsidRDefault="00000000" w:rsidP="00306103">
      <w:pPr>
        <w:spacing w:before="0" w:after="0"/>
        <w:rPr>
          <w:i/>
          <w:iCs/>
        </w:rPr>
      </w:pPr>
      <w:r>
        <w:rPr>
          <w:i/>
          <w:iCs/>
        </w:rPr>
        <w:t>Steps of the Translation and Cross-cultural Adaptation</w:t>
      </w:r>
    </w:p>
    <w:p w14:paraId="2E8EBDF2" w14:textId="77777777" w:rsidR="00306103" w:rsidRPr="00306103" w:rsidRDefault="00306103" w:rsidP="00306103">
      <w:pPr>
        <w:spacing w:before="0" w:after="0"/>
      </w:pPr>
    </w:p>
    <w:p w14:paraId="10CF70BA" w14:textId="77777777" w:rsidR="009E4375" w:rsidRDefault="00000000">
      <w:pPr>
        <w:keepNext/>
        <w:keepLines/>
        <w:spacing w:before="0" w:after="0" w:line="276" w:lineRule="auto"/>
        <w:ind w:left="720"/>
      </w:pPr>
      <w:r>
        <w:lastRenderedPageBreak/>
        <w:t xml:space="preserve"> </w:t>
      </w:r>
    </w:p>
    <w:p w14:paraId="10CF70BB" w14:textId="77777777" w:rsidR="009E4375" w:rsidRDefault="00000000">
      <w:pPr>
        <w:pStyle w:val="Heading4"/>
      </w:pPr>
      <w:bookmarkStart w:id="91" w:name="_Toc214490441"/>
      <w:r>
        <w:t>Forward-Backward Translation Process</w:t>
      </w:r>
      <w:bookmarkEnd w:id="91"/>
    </w:p>
    <w:p w14:paraId="10CF70BC" w14:textId="77777777" w:rsidR="009E4375" w:rsidRDefault="00000000">
      <w:pPr>
        <w:spacing w:before="0" w:after="0"/>
        <w:ind w:firstLine="720"/>
      </w:pPr>
      <w:r>
        <w:t xml:space="preserve">As a native Malay Language user, I completed the translation of the YQOL-DHH questionnaire from English to the Malay Language with the assistance of Google Translate, which has powered Artificial Intelligence features. After that, I checked the translations twice and made final edits. Then, one native Malay speaker who has taught English for 15 years in Malaysia was asked to complete the back translation with me.  After, they participated with me in a committee review of the accuracy and appropriateness of the forward and back translations by comparing the Malay and English versions. </w:t>
      </w:r>
    </w:p>
    <w:p w14:paraId="10CF70BD" w14:textId="77777777" w:rsidR="009E4375" w:rsidRDefault="00000000">
      <w:pPr>
        <w:spacing w:before="0" w:after="0"/>
        <w:ind w:firstLine="720"/>
      </w:pPr>
      <w:r>
        <w:t xml:space="preserve">The forward and back translation process for the BIM version was started after the Malay translation was complete. A BIM sign language interpreter was asked to translate the English and Malay Language versions into BIM equivalents on video. At the time, the professional interpreter had 7 years of experience translating printed books and presentations from English versions into BIM. I completed the BIM to English back translations with the interpreter. The committee that reviewed the forward- and back-translations consisted of the expert and me. We compared the two versions for content accuracy. We reviewed the accuracy and appropriateness of the translations and whether they upheld the meaning of the original survey version. The English survey was then finalized with Malay and BIM versions. </w:t>
      </w:r>
    </w:p>
    <w:p w14:paraId="10CF70BE" w14:textId="77777777" w:rsidR="009E4375" w:rsidRDefault="00000000">
      <w:pPr>
        <w:spacing w:before="0" w:after="0"/>
        <w:ind w:firstLine="720"/>
      </w:pPr>
      <w:r>
        <w:t xml:space="preserve">The survey was set up in Qualtrics so that Malay, BIM, and English versions were all available to the participants. The participants could choose one of three options for administering the survey according to their multilingual preferences:  </w:t>
      </w:r>
    </w:p>
    <w:p w14:paraId="10CF70BF" w14:textId="77777777" w:rsidR="009E4375" w:rsidRDefault="009E4375">
      <w:pPr>
        <w:spacing w:before="0" w:after="0"/>
        <w:ind w:firstLine="720"/>
      </w:pPr>
    </w:p>
    <w:p w14:paraId="10CF70C0" w14:textId="77777777" w:rsidR="009E4375" w:rsidRDefault="00000000">
      <w:pPr>
        <w:numPr>
          <w:ilvl w:val="0"/>
          <w:numId w:val="1"/>
        </w:numPr>
        <w:spacing w:before="0" w:after="0"/>
      </w:pPr>
      <w:r>
        <w:t>“English + Malay Language” survey administration</w:t>
      </w:r>
    </w:p>
    <w:p w14:paraId="10CF70C1" w14:textId="77777777" w:rsidR="009E4375" w:rsidRDefault="00000000">
      <w:pPr>
        <w:spacing w:before="0" w:after="0"/>
      </w:pPr>
      <w:r>
        <w:t>For the web-based survey application Qualtrics, the survey was able to provide English and Malay Language on each item while supporting hidden BIM videos. Respondents could view items and respond in both languages.</w:t>
      </w:r>
    </w:p>
    <w:p w14:paraId="10CF70C2" w14:textId="77777777" w:rsidR="009E4375" w:rsidRDefault="009E4375">
      <w:pPr>
        <w:spacing w:before="0" w:after="0"/>
      </w:pPr>
    </w:p>
    <w:p w14:paraId="10CF70C3" w14:textId="77777777" w:rsidR="009E4375" w:rsidRDefault="009E4375">
      <w:pPr>
        <w:spacing w:before="0" w:after="0"/>
      </w:pPr>
    </w:p>
    <w:p w14:paraId="10CF70C4" w14:textId="77777777" w:rsidR="009E4375" w:rsidRDefault="009E4375">
      <w:pPr>
        <w:spacing w:before="0" w:after="0"/>
      </w:pPr>
    </w:p>
    <w:p w14:paraId="10CF70C5" w14:textId="77777777" w:rsidR="009E4375" w:rsidRDefault="00000000">
      <w:pPr>
        <w:numPr>
          <w:ilvl w:val="0"/>
          <w:numId w:val="1"/>
        </w:numPr>
        <w:spacing w:before="0" w:after="0"/>
      </w:pPr>
      <w:r>
        <w:lastRenderedPageBreak/>
        <w:t>“English + Malay Language + BIM” survey administration</w:t>
      </w:r>
    </w:p>
    <w:p w14:paraId="10CF70C6" w14:textId="77777777" w:rsidR="009E4375" w:rsidRDefault="00000000">
      <w:pPr>
        <w:spacing w:before="0" w:after="0"/>
      </w:pPr>
      <w:r>
        <w:t xml:space="preserve">BIM videos and supporting texts in English and Malay languages were available to respondents in this subsample in Qualtrics. </w:t>
      </w:r>
    </w:p>
    <w:p w14:paraId="10CF70C7" w14:textId="77777777" w:rsidR="009E4375" w:rsidRDefault="009E4375">
      <w:pPr>
        <w:spacing w:before="0" w:after="0"/>
      </w:pPr>
    </w:p>
    <w:p w14:paraId="10CF70C8" w14:textId="77777777" w:rsidR="009E4375" w:rsidRDefault="00000000">
      <w:pPr>
        <w:numPr>
          <w:ilvl w:val="0"/>
          <w:numId w:val="1"/>
        </w:numPr>
        <w:spacing w:before="0" w:after="0"/>
      </w:pPr>
      <w:r>
        <w:t>“Malay Language + BIM” survey administration</w:t>
      </w:r>
    </w:p>
    <w:p w14:paraId="10CF70C9" w14:textId="77777777" w:rsidR="009E4375" w:rsidRDefault="00000000">
      <w:pPr>
        <w:spacing w:before="0" w:after="0"/>
      </w:pPr>
      <w:r>
        <w:t>The Qualtrics survey application could provide Malay text and a BIM video on each item while hiding the supporting English text. Respondents could view items and responses in both Malay and BIM.</w:t>
      </w:r>
    </w:p>
    <w:p w14:paraId="10CF70CA" w14:textId="77777777" w:rsidR="009E4375" w:rsidRDefault="00000000">
      <w:pPr>
        <w:spacing w:before="0" w:after="0"/>
        <w:ind w:firstLine="720"/>
      </w:pPr>
      <w:r>
        <w:t xml:space="preserve">After the participants completed the survey, they participated in cognitive debriefing interviews. Cognitive debriefing was performed to test the translated version’s understandability, interpretation, and cultural relevance among a small group of relevant respondents (Patrick &amp; Edwards, 2013). This enables one to detect any items that may be inappropriate or identify any that may be confusing, perceived differently from the original survey, or misleading (Collins, 2003). The data collected as a part of this study have identified where the participants’ understandings and the intentions of the questions aligned, providing more significant validation for the translations available to deaf Malaysian participants. It also led to identifying misconceptions or confusion about survey items presented in Malay or BIM and where revisions should be made to improve the instrument’s translations.  </w:t>
      </w:r>
    </w:p>
    <w:p w14:paraId="10CF70CB" w14:textId="77777777" w:rsidR="009E4375" w:rsidRDefault="009E4375">
      <w:pPr>
        <w:spacing w:before="0" w:after="0"/>
        <w:ind w:firstLine="720"/>
      </w:pPr>
    </w:p>
    <w:p w14:paraId="10CF70CC" w14:textId="77777777" w:rsidR="009E4375" w:rsidRDefault="00000000">
      <w:pPr>
        <w:pStyle w:val="Heading4"/>
      </w:pPr>
      <w:bookmarkStart w:id="92" w:name="_Toc214490442"/>
      <w:r>
        <w:t>Pilot Study</w:t>
      </w:r>
      <w:bookmarkEnd w:id="92"/>
    </w:p>
    <w:p w14:paraId="10CF70CD" w14:textId="77777777" w:rsidR="009E4375" w:rsidRDefault="00000000">
      <w:pPr>
        <w:spacing w:before="0" w:after="0"/>
        <w:ind w:firstLine="720"/>
      </w:pPr>
      <w:r>
        <w:t>This pilot study reports the findings of the cognitive debriefing interviews and subsequent steps taken to revise and finalize the survey. Deaf people in Malaysia were invited to participate in the pilot study using social media platforms such as WhatsApp and Facebook Messenger. Of 10 persons who had completed the survey in December 2022, 8 persons (5 men and 3 women) participated in cognitive debriefing interviews. Two participants were unable to complete the interview due to time constraints and technological difficulties.</w:t>
      </w:r>
    </w:p>
    <w:p w14:paraId="10CF70CE" w14:textId="77777777" w:rsidR="009E4375" w:rsidRDefault="00000000">
      <w:pPr>
        <w:spacing w:before="0" w:after="0"/>
        <w:ind w:firstLine="720"/>
      </w:pPr>
      <w:r>
        <w:t xml:space="preserve">I proceeded with interviews in a semi-structured </w:t>
      </w:r>
      <w:proofErr w:type="gramStart"/>
      <w:r>
        <w:t>format, and</w:t>
      </w:r>
      <w:proofErr w:type="gramEnd"/>
      <w:r>
        <w:t xml:space="preserve"> asked each participant to expand on their responses. In this way, the interviewees could identify where their understandings aligned with the intent of the questions and where they </w:t>
      </w:r>
      <w:r>
        <w:lastRenderedPageBreak/>
        <w:t xml:space="preserve">misunderstood the meaning of the translated items. I conducted each interview for approximately one to two hours. I originally planned for focus groups with up to five participants each. However, due to the low internet speeds, time constraints, and the number of </w:t>
      </w:r>
      <w:proofErr w:type="gramStart"/>
      <w:r>
        <w:t>persons</w:t>
      </w:r>
      <w:proofErr w:type="gramEnd"/>
      <w:r>
        <w:t xml:space="preserve"> connecting via mobile phones, one-to-one interviews were more feasible than focus groups. I carried out two focus groups of only two participants each; the remaining four were individual interviews. </w:t>
      </w:r>
    </w:p>
    <w:p w14:paraId="10CF70CF" w14:textId="77777777" w:rsidR="009E4375" w:rsidRDefault="00000000">
      <w:pPr>
        <w:spacing w:before="0" w:after="0"/>
        <w:ind w:firstLine="720"/>
      </w:pPr>
      <w:r>
        <w:t xml:space="preserve">The ten participants largely preferred accessing the survey questions through BIM rather than reading the questions in Malay or English. “A preferred language is the person’s ‘language of the heart,’ the one that they want to speak when they feel at their most vulnerable” (Squires et al., 2019, p. 707). According to the respondents’ feedback, 10 of the 32 survey questions in BIM (31.2%) were clearly </w:t>
      </w:r>
      <w:proofErr w:type="gramStart"/>
      <w:r>
        <w:t>conveyed .</w:t>
      </w:r>
      <w:proofErr w:type="gramEnd"/>
      <w:r>
        <w:t xml:space="preserve"> However, it was recommended that the remaining 22 questions (68.8%) be revised to improve the respondents' understanding of the translated meanings. In the interview data, five themes guiding the additional revisions were identified: (1) the difference between rural and urban signs, (2) the need for sign language expansion, (3) inaccurate sign translation, (4) missed concepts need additional signs to be added, and (5) the survey of structure techniques. Each category is described with example data collected from interviews, and then I present a solution to each identified problem. </w:t>
      </w:r>
      <w:r>
        <w:rPr>
          <w:i/>
          <w:iCs/>
        </w:rPr>
        <w:t xml:space="preserve"> </w:t>
      </w:r>
      <w:r>
        <w:t xml:space="preserve">In 16 of 32 questions (72.7%) at least one respondent did not ascertain the meaning. The </w:t>
      </w:r>
      <w:proofErr w:type="gramStart"/>
      <w:r>
        <w:t>issues  were</w:t>
      </w:r>
      <w:proofErr w:type="gramEnd"/>
      <w:r>
        <w:t xml:space="preserve"> addressed by re-recording the BIM videos for better understanding.</w:t>
      </w:r>
    </w:p>
    <w:p w14:paraId="10CF70D0" w14:textId="77777777" w:rsidR="009E4375" w:rsidRDefault="009E4375">
      <w:pPr>
        <w:spacing w:before="0" w:after="0"/>
        <w:ind w:firstLine="720"/>
      </w:pPr>
    </w:p>
    <w:p w14:paraId="10CF70D1" w14:textId="77777777" w:rsidR="009E4375" w:rsidRDefault="00000000">
      <w:pPr>
        <w:pStyle w:val="Heading4"/>
      </w:pPr>
      <w:bookmarkStart w:id="93" w:name="_Toc214490443"/>
      <w:r>
        <w:t>Themes</w:t>
      </w:r>
      <w:bookmarkEnd w:id="93"/>
      <w:r>
        <w:t xml:space="preserve"> </w:t>
      </w:r>
    </w:p>
    <w:p w14:paraId="005431E1" w14:textId="77777777" w:rsidR="00102D8D" w:rsidRDefault="00000000" w:rsidP="00102D8D">
      <w:pPr>
        <w:numPr>
          <w:ilvl w:val="0"/>
          <w:numId w:val="20"/>
        </w:numPr>
        <w:spacing w:before="0" w:after="0"/>
      </w:pPr>
      <w:r>
        <w:rPr>
          <w:b/>
          <w:bCs/>
        </w:rPr>
        <w:t>The Difference Between Rural and Urban Signs.</w:t>
      </w:r>
      <w:r>
        <w:t xml:space="preserve"> In Malaysia, there are differences between the sign languages used in urban and rural settings. Deaf people from different settings may use and prefer different signs to convey the same meaning. This may have come about due to the evolution and dynamic nature of signed language. There is acceptance of new sign language seen through social media and physical interaction. The participants reported four words in the survey that have different urban and rural signs.</w:t>
      </w:r>
    </w:p>
    <w:p w14:paraId="10CF70D3" w14:textId="77AE99EE" w:rsidR="009E4375" w:rsidRDefault="00000000" w:rsidP="00102D8D">
      <w:pPr>
        <w:spacing w:before="0" w:after="0"/>
        <w:ind w:left="720"/>
      </w:pPr>
      <w:r>
        <w:t xml:space="preserve">In question # 4, the sign on the video for “Instagram” (i.e., </w:t>
      </w:r>
      <w:proofErr w:type="spellStart"/>
      <w:proofErr w:type="gramStart"/>
      <w:r>
        <w:t>an</w:t>
      </w:r>
      <w:proofErr w:type="spellEnd"/>
      <w:proofErr w:type="gramEnd"/>
      <w:r>
        <w:t xml:space="preserve"> I handshape</w:t>
      </w:r>
      <w:r w:rsidR="00306103">
        <w:t xml:space="preserve"> </w:t>
      </w:r>
      <w:r>
        <w:t xml:space="preserve">combined with baby-C) is understood by deaf people in urban areas only. This is </w:t>
      </w:r>
      <w:r>
        <w:lastRenderedPageBreak/>
        <w:t xml:space="preserve">the latest sign for “Instagram,” which is used widely on social media. An alternate sign </w:t>
      </w:r>
      <w:proofErr w:type="gramStart"/>
      <w:r>
        <w:t>of  I</w:t>
      </w:r>
      <w:proofErr w:type="gramEnd"/>
      <w:r>
        <w:t>-G in fingerspelling is recognized more widely by deaf people in rural and urban areas. In question # 8, the sign for “public places” (“</w:t>
      </w:r>
      <w:proofErr w:type="spellStart"/>
      <w:r>
        <w:t>tempat</w:t>
      </w:r>
      <w:proofErr w:type="spellEnd"/>
      <w:r>
        <w:t xml:space="preserve"> </w:t>
      </w:r>
      <w:proofErr w:type="spellStart"/>
      <w:r>
        <w:t>awam</w:t>
      </w:r>
      <w:proofErr w:type="spellEnd"/>
      <w:r>
        <w:t>” in KTBM) on the video is used by people in urban areas only, while persons in the rural use “</w:t>
      </w:r>
      <w:proofErr w:type="spellStart"/>
      <w:r w:rsidRPr="00102D8D">
        <w:rPr>
          <w:i/>
          <w:iCs/>
        </w:rPr>
        <w:t>awam</w:t>
      </w:r>
      <w:proofErr w:type="spellEnd"/>
      <w:r>
        <w:t>” (public) by fingerspelling. In question # 9, the sign on video for "strange” (</w:t>
      </w:r>
      <w:proofErr w:type="spellStart"/>
      <w:r>
        <w:t>tidak</w:t>
      </w:r>
      <w:proofErr w:type="spellEnd"/>
      <w:r>
        <w:t xml:space="preserve"> </w:t>
      </w:r>
      <w:proofErr w:type="spellStart"/>
      <w:r>
        <w:t>dikenali</w:t>
      </w:r>
      <w:proofErr w:type="spellEnd"/>
      <w:r>
        <w:t xml:space="preserve">) in BIM was not recognized by persons in the rural areas who use the KTBM sign. Lastly, in question #32, the sign on the video for "life" was the letter "L" </w:t>
      </w:r>
      <w:proofErr w:type="gramStart"/>
      <w:r>
        <w:t>shaking</w:t>
      </w:r>
      <w:proofErr w:type="gramEnd"/>
      <w:r>
        <w:t xml:space="preserve"> which is used in the urban areas, while persons in the rural areas use the letter "H."</w:t>
      </w:r>
    </w:p>
    <w:p w14:paraId="10CF70D4" w14:textId="77777777" w:rsidR="009E4375" w:rsidRDefault="00000000">
      <w:pPr>
        <w:spacing w:before="0" w:after="0"/>
        <w:ind w:firstLine="720"/>
      </w:pPr>
      <w:r>
        <w:t xml:space="preserve">One solution to make the survey accessible to urban and rural respondents is to include both signs in the signed translation. In sign language, it is not uncommon for a </w:t>
      </w:r>
      <w:proofErr w:type="gramStart"/>
      <w:r>
        <w:t>signer</w:t>
      </w:r>
      <w:proofErr w:type="gramEnd"/>
      <w:r>
        <w:t xml:space="preserve"> to link signs of the same or slightly similar meanings to give fuller understanding and access to meaning. In revised videos, signs for rural and urban areas were chained (signed in succession) to ensure greater access and understanding.</w:t>
      </w:r>
    </w:p>
    <w:p w14:paraId="10CF70D5" w14:textId="77777777" w:rsidR="009E4375" w:rsidRDefault="009E4375">
      <w:pPr>
        <w:spacing w:before="0" w:after="0"/>
        <w:ind w:firstLine="720"/>
      </w:pPr>
    </w:p>
    <w:p w14:paraId="10CF70D6" w14:textId="77777777" w:rsidR="009E4375" w:rsidRDefault="00000000">
      <w:pPr>
        <w:numPr>
          <w:ilvl w:val="0"/>
          <w:numId w:val="20"/>
        </w:numPr>
        <w:spacing w:before="0" w:after="0"/>
      </w:pPr>
      <w:r>
        <w:rPr>
          <w:b/>
          <w:bCs/>
        </w:rPr>
        <w:t>The Need for Expansion in Sign Language</w:t>
      </w:r>
      <w:r>
        <w:t>.</w:t>
      </w:r>
      <w:r>
        <w:rPr>
          <w:i/>
          <w:iCs/>
        </w:rPr>
        <w:t xml:space="preserve"> </w:t>
      </w:r>
      <w:r>
        <w:t xml:space="preserve">In 16 of 22 questions (72.7%) at least one respondent did not ascertain the meaning. In general, there is a preference among the deaf community for receiving information in depth and in advance. There is expansion through specific language applications and phrasing needed in BIM that does not occur in Malay or other written languages such as English. Lawrence (1994) identified seven expansion features utilized by native signers such as explaining by adding examples, reiterating, or using 3D space in one’s signing. </w:t>
      </w:r>
    </w:p>
    <w:p w14:paraId="10CF70D7" w14:textId="77777777" w:rsidR="009E4375" w:rsidRDefault="00000000">
      <w:pPr>
        <w:spacing w:before="0" w:after="0"/>
        <w:ind w:firstLine="720"/>
      </w:pPr>
      <w:r>
        <w:t>There were questions identified by the interviewees that needed more detailed explanations in BIM that were not necessary in Malay.  In questions #1, #</w:t>
      </w:r>
      <w:proofErr w:type="gramStart"/>
      <w:r>
        <w:t>2, #5, #7, #9, #10, #15, #16, #17, #19, #22, #23, #24, #27, #</w:t>
      </w:r>
      <w:proofErr w:type="gramEnd"/>
      <w:r>
        <w:t xml:space="preserve">28 and #29 of Section 2, the participants indicated that the signing on the videos was unclear and that the full meaning of the written questions was not adequately conveyed in BIM.  For example, the BIM translation in Question #10 was unclear for the phrase "how to communicate with others in different ways." The participants indicated that the signer should explain more about the phrase's meaning, “in different ways”. A more intelligible BIM expression would </w:t>
      </w:r>
      <w:r>
        <w:lastRenderedPageBreak/>
        <w:t>include different communication methods such as signing, mime, using a pen with paper, or acting.</w:t>
      </w:r>
    </w:p>
    <w:p w14:paraId="10CF70D8" w14:textId="77777777" w:rsidR="009E4375" w:rsidRDefault="00000000">
      <w:pPr>
        <w:spacing w:before="0" w:after="0"/>
        <w:ind w:firstLine="720"/>
      </w:pPr>
      <w:r>
        <w:t xml:space="preserve">The participants did not understand the signing in Question #16 for the word “protect.” They understood the meaning to be “control.” It was suggested that the video translation </w:t>
      </w:r>
      <w:proofErr w:type="gramStart"/>
      <w:r>
        <w:t>include</w:t>
      </w:r>
      <w:proofErr w:type="gramEnd"/>
      <w:r>
        <w:t xml:space="preserve"> a technique called faceting (Lawrence, 2003) whereby several different signs are produced sequentially to provide a closer understanding of the meaning. It was suggested that the signer add the following signs: not allow (</w:t>
      </w:r>
      <w:proofErr w:type="spellStart"/>
      <w:r>
        <w:t>tidak</w:t>
      </w:r>
      <w:proofErr w:type="spellEnd"/>
      <w:r>
        <w:t xml:space="preserve"> </w:t>
      </w:r>
      <w:proofErr w:type="spellStart"/>
      <w:r>
        <w:t>benar</w:t>
      </w:r>
      <w:proofErr w:type="spellEnd"/>
      <w:r>
        <w:t xml:space="preserve">), keep an eye on the children (jaga </w:t>
      </w:r>
      <w:proofErr w:type="spellStart"/>
      <w:r>
        <w:t>anak</w:t>
      </w:r>
      <w:proofErr w:type="spellEnd"/>
      <w:r>
        <w:t>), and don’t do something (</w:t>
      </w:r>
      <w:proofErr w:type="spellStart"/>
      <w:r>
        <w:t>tidak</w:t>
      </w:r>
      <w:proofErr w:type="spellEnd"/>
      <w:r>
        <w:t xml:space="preserve"> </w:t>
      </w:r>
      <w:proofErr w:type="spellStart"/>
      <w:r>
        <w:t>boleh</w:t>
      </w:r>
      <w:proofErr w:type="spellEnd"/>
      <w:r>
        <w:t xml:space="preserve"> </w:t>
      </w:r>
      <w:proofErr w:type="spellStart"/>
      <w:r>
        <w:t>buat</w:t>
      </w:r>
      <w:proofErr w:type="spellEnd"/>
      <w:r>
        <w:t xml:space="preserve">). In this example the signer needs to use faceting to provide a closer equivalent to the written text. </w:t>
      </w:r>
    </w:p>
    <w:p w14:paraId="10CF70D9" w14:textId="77777777" w:rsidR="009E4375" w:rsidRDefault="00000000">
      <w:pPr>
        <w:spacing w:before="0" w:after="0"/>
        <w:ind w:firstLine="720"/>
      </w:pPr>
      <w:r>
        <w:t>It was determined that the BIM video recordings should be reviewed and re-recorded to create new signing videos with sign language expansion features identified by Lawrence (1994). The videos were revised to include an increased amount of faceting, sandwiching (i.e., pairing a sign with fingerspelling or a printed word), providing more examples, and using facial expressions and hand gestures. The sign language translations have been revised to address the unique language expansions of this mode as compared to written language. To address the issue of needing additional explanations or faceting, eleven questions were re-recorded.</w:t>
      </w:r>
    </w:p>
    <w:p w14:paraId="10CF70DA" w14:textId="77777777" w:rsidR="009E4375" w:rsidRDefault="009E4375">
      <w:pPr>
        <w:spacing w:before="0" w:after="0"/>
        <w:ind w:firstLine="720"/>
      </w:pPr>
    </w:p>
    <w:p w14:paraId="10CF70DB" w14:textId="77777777" w:rsidR="009E4375" w:rsidRDefault="00000000">
      <w:pPr>
        <w:numPr>
          <w:ilvl w:val="0"/>
          <w:numId w:val="20"/>
        </w:numPr>
        <w:spacing w:before="0" w:after="0"/>
      </w:pPr>
      <w:r>
        <w:rPr>
          <w:b/>
          <w:bCs/>
        </w:rPr>
        <w:t xml:space="preserve">Inaccurate Sign Translation. </w:t>
      </w:r>
      <w:r>
        <w:t xml:space="preserve">The respondents indicated difficulty understanding the BIM translation on 9 of the questions due to the interpreter inaccuracies with signs or phrases. For example, respondents misconstrued the meaning of question #8 to </w:t>
      </w:r>
      <w:proofErr w:type="gramStart"/>
      <w:r>
        <w:t>mean  "</w:t>
      </w:r>
      <w:proofErr w:type="gramEnd"/>
      <w:r>
        <w:t>the public sees me" rather than “public places”. It was interpreted as "I am seen by the public". The respondents suggested that the interpreter spell and use the sign in KTBM for this situation. In question #17, the sign for “treat badly” was understood by the respondents as “serving people.” In question #19, the sign used for “bully” needed to be corrected with accurate sign movement. In question #29, the sign for “limited” also needed to be corrected for handshape and movement.</w:t>
      </w:r>
    </w:p>
    <w:p w14:paraId="10CF70DC" w14:textId="77777777" w:rsidR="009E4375" w:rsidRDefault="009E4375">
      <w:pPr>
        <w:spacing w:before="0" w:after="0"/>
      </w:pPr>
    </w:p>
    <w:p w14:paraId="10CF70DD" w14:textId="77777777" w:rsidR="009E4375" w:rsidRDefault="00000000">
      <w:pPr>
        <w:numPr>
          <w:ilvl w:val="0"/>
          <w:numId w:val="20"/>
        </w:numPr>
        <w:spacing w:before="0" w:after="0"/>
      </w:pPr>
      <w:r>
        <w:rPr>
          <w:b/>
          <w:bCs/>
        </w:rPr>
        <w:lastRenderedPageBreak/>
        <w:t>Missed Concepts Needed to be Reinforced with Additional Signs.</w:t>
      </w:r>
      <w:r>
        <w:t xml:space="preserve"> There were some concepts in the written version of the questions that were omitted in the signed translation. Participants noted that including these concepts would lead to a more accurate understanding.  This occurred on three questions.  On question #11, respondents noted that the sign "youth" was missing in the BIM translation. On question #12, respondents found the sign "deal with others" missing.  They recommended that the signed translation should include “affair” or “business” for greater equivalence with the written question. Lastly, respondents noted that the concept "larger group" was missing from the sign translation on question #28. These excluded concepts have now been added into the revised BIM translations.</w:t>
      </w:r>
    </w:p>
    <w:p w14:paraId="10CF70DE" w14:textId="77777777" w:rsidR="009E4375" w:rsidRDefault="009E4375">
      <w:pPr>
        <w:spacing w:before="0" w:after="0"/>
      </w:pPr>
    </w:p>
    <w:p w14:paraId="548A0541" w14:textId="6177B9EC" w:rsidR="00102D8D" w:rsidRPr="00102D8D" w:rsidRDefault="00000000" w:rsidP="00102D8D">
      <w:pPr>
        <w:numPr>
          <w:ilvl w:val="0"/>
          <w:numId w:val="20"/>
        </w:numPr>
        <w:spacing w:before="0" w:after="0"/>
      </w:pPr>
      <w:r>
        <w:rPr>
          <w:b/>
          <w:bCs/>
        </w:rPr>
        <w:t>The Survey of Structure Techniques.</w:t>
      </w:r>
      <w:r>
        <w:t xml:space="preserve"> There were six additional suggestions that the participants had which were structure-related and therefore clumped together under this theme:  (a) No signing video in some sections of the survey; (b)  two languages in one survey, (c) The rating scale of 0-10; (d) The word “Hard of Hearing”; (e) Signing video speed, and (f) Reorganizing survey sections. These areas of feedback related to survey structure were addressed in ways that enhance survey clarity and understanding.</w:t>
      </w:r>
    </w:p>
    <w:p w14:paraId="10CF70E0" w14:textId="77197996" w:rsidR="009E4375" w:rsidRDefault="00000000" w:rsidP="00102D8D">
      <w:pPr>
        <w:spacing w:before="0" w:after="0"/>
        <w:ind w:left="720"/>
      </w:pPr>
      <w:r w:rsidRPr="00102D8D">
        <w:rPr>
          <w:b/>
          <w:bCs/>
          <w:i/>
          <w:iCs/>
        </w:rPr>
        <w:t xml:space="preserve">(a) No Signing Video in Some Sections of the Survey. </w:t>
      </w:r>
      <w:r>
        <w:t>In the survey section 1 (a measure of satisfaction on the signed languages used by deaf Malaysians and communication mode within families, schools, and dormitories) and section 3 (demographics), there were no sign language videos because it was assumed the deaf respondents could read the Malay version of the survey in section 1 and 3, which consisted of simple and easy to understand sentences. However, the respondents preferred sign language for the entire section of the survey. For example, some respondents did not know what</w:t>
      </w:r>
      <w:r w:rsidRPr="00102D8D">
        <w:rPr>
          <w:i/>
          <w:iCs/>
        </w:rPr>
        <w:t xml:space="preserve"> Implan </w:t>
      </w:r>
      <w:proofErr w:type="spellStart"/>
      <w:r w:rsidRPr="00102D8D">
        <w:rPr>
          <w:i/>
          <w:iCs/>
        </w:rPr>
        <w:t>koklea</w:t>
      </w:r>
      <w:proofErr w:type="spellEnd"/>
      <w:r>
        <w:t xml:space="preserve"> (cochlear implant) was in Malay in the demographic section since it did not have an accompanying video. Several respondents suggested including an embedded image of the cochlear implant or a signing video. The content was improved by </w:t>
      </w:r>
      <w:proofErr w:type="gramStart"/>
      <w:r>
        <w:t>adding  videos</w:t>
      </w:r>
      <w:proofErr w:type="gramEnd"/>
      <w:r>
        <w:t xml:space="preserve"> into both sections 1 and 3. </w:t>
      </w:r>
    </w:p>
    <w:p w14:paraId="10CF70E1" w14:textId="77777777" w:rsidR="009E4375" w:rsidRDefault="00000000" w:rsidP="00102D8D">
      <w:pPr>
        <w:spacing w:before="0" w:after="0"/>
        <w:ind w:left="720"/>
      </w:pPr>
      <w:r>
        <w:rPr>
          <w:b/>
          <w:bCs/>
          <w:i/>
          <w:iCs/>
        </w:rPr>
        <w:lastRenderedPageBreak/>
        <w:t xml:space="preserve">(b) Two Languages in One Survey. </w:t>
      </w:r>
      <w:r>
        <w:t xml:space="preserve">The survey included three languages, two written languages, and one sign language. Because the internet speed was slow, respondents struggled to complete the survey using their mobile phones. The respondents suggested that the surveys be restructured by conducting the surveys separately in two different written languages. The survey is now restructured into two options. The Malay Language and BIM are provided together, while the English and Malay survey are provided without the sign language. The respondents can choose Malay and BIM or English and Malay. English is not their preferred language in </w:t>
      </w:r>
      <w:proofErr w:type="gramStart"/>
      <w:r>
        <w:t>the majority of</w:t>
      </w:r>
      <w:proofErr w:type="gramEnd"/>
      <w:r>
        <w:t xml:space="preserve"> deaf Malaysians, nor is it their national language, therefore, they will not require BIM for the English survey. A minority of deaf Malaysians with college or university education prefer English and Malay to BIM.</w:t>
      </w:r>
    </w:p>
    <w:p w14:paraId="10CF70E2" w14:textId="77777777" w:rsidR="009E4375" w:rsidRDefault="00000000" w:rsidP="00102D8D">
      <w:pPr>
        <w:spacing w:before="0" w:after="0"/>
        <w:ind w:left="720"/>
      </w:pPr>
      <w:r>
        <w:rPr>
          <w:b/>
          <w:bCs/>
          <w:i/>
          <w:iCs/>
        </w:rPr>
        <w:t>(c) The Rating Scale of 0-10.</w:t>
      </w:r>
      <w:r>
        <w:t xml:space="preserve"> Respondents were overwhelmed by the rating scale of 0-10, and they said it was difficult for them to decide which rating to give.  A rating scale of 0-10 created the impression that decisions are complex. Additionally, most respondents responded to the survey using their mobile phones. Because of the size of their mobile phones' screens, it was difficult for them to reply to the lengthy scale. The respondents suggested providing a rating scale of 1-5 rather than a rating scale of 0-10.  However, this revision was not made because the YQOL-DHH is a published survey with reliability and validity, and changing the 0-10 scale would make it difficult to interpret the findings of this study in relation to previous studies that used </w:t>
      </w:r>
      <w:proofErr w:type="gramStart"/>
      <w:r>
        <w:t>the  YQOL</w:t>
      </w:r>
      <w:proofErr w:type="gramEnd"/>
      <w:r>
        <w:t>-DHH survey.</w:t>
      </w:r>
    </w:p>
    <w:p w14:paraId="10CF70E3" w14:textId="77777777" w:rsidR="009E4375" w:rsidRDefault="00000000" w:rsidP="00102D8D">
      <w:pPr>
        <w:spacing w:before="0" w:after="0"/>
        <w:ind w:left="720"/>
      </w:pPr>
      <w:r>
        <w:rPr>
          <w:b/>
          <w:bCs/>
          <w:i/>
          <w:iCs/>
        </w:rPr>
        <w:t>(d) The Word “Hard of Hearing”.</w:t>
      </w:r>
      <w:r>
        <w:t xml:space="preserve"> One respondent felt that he was not comfortable with </w:t>
      </w:r>
      <w:r>
        <w:rPr>
          <w:i/>
          <w:iCs/>
        </w:rPr>
        <w:t>“</w:t>
      </w:r>
      <w:proofErr w:type="spellStart"/>
      <w:r>
        <w:rPr>
          <w:i/>
          <w:iCs/>
        </w:rPr>
        <w:t>kurang</w:t>
      </w:r>
      <w:proofErr w:type="spellEnd"/>
      <w:r>
        <w:rPr>
          <w:i/>
          <w:iCs/>
        </w:rPr>
        <w:t xml:space="preserve"> </w:t>
      </w:r>
      <w:proofErr w:type="spellStart"/>
      <w:r>
        <w:rPr>
          <w:i/>
          <w:iCs/>
        </w:rPr>
        <w:t>pendengaran</w:t>
      </w:r>
      <w:proofErr w:type="spellEnd"/>
      <w:r>
        <w:rPr>
          <w:i/>
          <w:iCs/>
        </w:rPr>
        <w:t>”</w:t>
      </w:r>
      <w:r>
        <w:t xml:space="preserve"> (Hard of Hearing) in printed Malay because it is not </w:t>
      </w:r>
      <w:proofErr w:type="gramStart"/>
      <w:r>
        <w:t>similar to</w:t>
      </w:r>
      <w:proofErr w:type="gramEnd"/>
      <w:r>
        <w:t xml:space="preserve"> the deaf community. The respondent preferred to remove “</w:t>
      </w:r>
      <w:proofErr w:type="spellStart"/>
      <w:r>
        <w:rPr>
          <w:i/>
          <w:iCs/>
        </w:rPr>
        <w:t>kurang</w:t>
      </w:r>
      <w:proofErr w:type="spellEnd"/>
      <w:r>
        <w:rPr>
          <w:i/>
          <w:iCs/>
        </w:rPr>
        <w:t xml:space="preserve"> </w:t>
      </w:r>
      <w:proofErr w:type="spellStart"/>
      <w:r>
        <w:rPr>
          <w:i/>
          <w:iCs/>
        </w:rPr>
        <w:t>pendengaran</w:t>
      </w:r>
      <w:proofErr w:type="spellEnd"/>
      <w:r>
        <w:t>”. The researcher found that academic research articles in the Malay Language widely used the term “</w:t>
      </w:r>
      <w:proofErr w:type="spellStart"/>
      <w:r>
        <w:rPr>
          <w:i/>
          <w:iCs/>
        </w:rPr>
        <w:t>kurang</w:t>
      </w:r>
      <w:proofErr w:type="spellEnd"/>
      <w:r>
        <w:rPr>
          <w:i/>
          <w:iCs/>
        </w:rPr>
        <w:t xml:space="preserve"> </w:t>
      </w:r>
      <w:proofErr w:type="spellStart"/>
      <w:r>
        <w:rPr>
          <w:i/>
          <w:iCs/>
        </w:rPr>
        <w:t>pendengaran</w:t>
      </w:r>
      <w:proofErr w:type="spellEnd"/>
      <w:r>
        <w:rPr>
          <w:i/>
          <w:iCs/>
        </w:rPr>
        <w:t>”</w:t>
      </w:r>
      <w:r>
        <w:t xml:space="preserve"> (hard of hearing), so the researcher made the decision to leave the term in the survey. At the same time, the deaf community prefers to use ‘</w:t>
      </w:r>
      <w:proofErr w:type="spellStart"/>
      <w:r>
        <w:t>pekak</w:t>
      </w:r>
      <w:proofErr w:type="spellEnd"/>
      <w:r>
        <w:t xml:space="preserve">’ (deaf). The term 'deaf' is used to respect the deaf community's needs in Malaysia as a deaf person. There were no changes made to the items </w:t>
      </w:r>
      <w:proofErr w:type="gramStart"/>
      <w:r>
        <w:t>of</w:t>
      </w:r>
      <w:proofErr w:type="gramEnd"/>
      <w:r>
        <w:t xml:space="preserve"> the questionnaire.</w:t>
      </w:r>
    </w:p>
    <w:p w14:paraId="10CF70E4" w14:textId="77777777" w:rsidR="009E4375" w:rsidRDefault="00000000" w:rsidP="00102D8D">
      <w:pPr>
        <w:spacing w:before="0" w:after="0"/>
        <w:ind w:left="720"/>
      </w:pPr>
      <w:r>
        <w:rPr>
          <w:b/>
          <w:bCs/>
          <w:i/>
          <w:iCs/>
        </w:rPr>
        <w:lastRenderedPageBreak/>
        <w:t>(e) Signing Video Speed.</w:t>
      </w:r>
      <w:r>
        <w:t xml:space="preserve"> Some respondents noted that the signed video in question #2 was too fast and easy to miss.  Therefore, the signed video for question #2 has been recorded again to ensure a standard-speed video. </w:t>
      </w:r>
    </w:p>
    <w:p w14:paraId="10CF70E5" w14:textId="77777777" w:rsidR="009E4375" w:rsidRDefault="00000000" w:rsidP="00102D8D">
      <w:pPr>
        <w:spacing w:before="0" w:after="0"/>
        <w:ind w:left="720"/>
      </w:pPr>
      <w:r>
        <w:rPr>
          <w:b/>
          <w:bCs/>
          <w:i/>
          <w:iCs/>
        </w:rPr>
        <w:t>(f) Reorganizing survey sections.</w:t>
      </w:r>
      <w:r>
        <w:t xml:space="preserve"> Originally Section 1 was for demographics, Section 2 was for measuring satisfaction of the use of signed language, and Section 3 was for the YQOL-DHH survey with minor modification. Since the demographics could be completed with very little thought by the participants compared to the other sections, it was determined that it should be last in the survey. It became Section 3, moving the satisfaction questions to Section 1 and YQOL-DHH to Section 2. </w:t>
      </w:r>
    </w:p>
    <w:p w14:paraId="10CF70E6" w14:textId="77777777" w:rsidR="009E4375" w:rsidRDefault="009E4375">
      <w:pPr>
        <w:spacing w:before="0" w:after="0"/>
        <w:ind w:firstLine="720"/>
      </w:pPr>
    </w:p>
    <w:p w14:paraId="10CF70E7" w14:textId="77777777" w:rsidR="009E4375" w:rsidRDefault="00000000">
      <w:pPr>
        <w:spacing w:before="0" w:after="0"/>
        <w:rPr>
          <w:b/>
          <w:bCs/>
        </w:rPr>
      </w:pPr>
      <w:r>
        <w:rPr>
          <w:b/>
          <w:bCs/>
        </w:rPr>
        <w:t>Conclusion</w:t>
      </w:r>
    </w:p>
    <w:p w14:paraId="10CF70E8" w14:textId="77777777" w:rsidR="009E4375" w:rsidRDefault="00000000">
      <w:pPr>
        <w:spacing w:before="0" w:after="0"/>
        <w:ind w:firstLine="720"/>
      </w:pPr>
      <w:r>
        <w:t xml:space="preserve">The participants in the pilot study preferred accessing the survey questions through Malaysian Sign Language (Bahasa </w:t>
      </w:r>
      <w:proofErr w:type="spellStart"/>
      <w:r>
        <w:t>Isyarat</w:t>
      </w:r>
      <w:proofErr w:type="spellEnd"/>
      <w:r>
        <w:t xml:space="preserve"> Malaysia) rather than reading the questions in English or Malaysian (Bahasa Malaysia). “A preferred language is the person’s ‘language of the heart,’ which they want to speak when they feel at their most vulnerable” (Squires et al., 2019, p. 707).  For example, one participant said, “I feel more comfortable using sign language than reading. I feel like I can express myself better that way.” The results of the pilot study indicated that a sign language inclusive design for the online survey supported the translanguaging practices and meaning-making processes (Young et al., 2021) of deaf multilingual Malaysians. </w:t>
      </w:r>
    </w:p>
    <w:p w14:paraId="10CF70E9" w14:textId="77777777" w:rsidR="009E4375" w:rsidRDefault="00000000">
      <w:pPr>
        <w:spacing w:before="0" w:after="0"/>
        <w:ind w:firstLine="720"/>
      </w:pPr>
      <w:r>
        <w:t xml:space="preserve">Several of the BIM videos were videotaped again to correct for the five ways that meaning was misconstrued to the respondents. The interpreter revised the videos so that accurate and widely accessible signs were chosen. Some concepts were expanded to give greater clarity with meaning. The videos have been re-recorded to ensure meaningful understanding of the signed language translations in equivalence to the written language </w:t>
      </w:r>
      <w:proofErr w:type="spellStart"/>
      <w:proofErr w:type="gramStart"/>
      <w:r>
        <w:t>meanings.The</w:t>
      </w:r>
      <w:proofErr w:type="spellEnd"/>
      <w:proofErr w:type="gramEnd"/>
      <w:r>
        <w:t xml:space="preserve"> feedback from the participants’ interviews significantly improved Bahasa </w:t>
      </w:r>
      <w:proofErr w:type="spellStart"/>
      <w:r>
        <w:t>Isyarat</w:t>
      </w:r>
      <w:proofErr w:type="spellEnd"/>
      <w:r>
        <w:t xml:space="preserve"> Malaysia provided in the video formats. </w:t>
      </w:r>
    </w:p>
    <w:p w14:paraId="10CF70EA" w14:textId="77777777" w:rsidR="009E4375" w:rsidRDefault="009E4375" w:rsidP="00102D8D"/>
    <w:p w14:paraId="10CF70EB" w14:textId="77777777" w:rsidR="009E4375" w:rsidRDefault="00000000" w:rsidP="00102D8D">
      <w:bookmarkStart w:id="94" w:name="_ga6uv0oz9axq" w:colFirst="0" w:colLast="0"/>
      <w:bookmarkEnd w:id="94"/>
      <w:r>
        <w:br w:type="page"/>
      </w:r>
    </w:p>
    <w:p w14:paraId="10CF70EC" w14:textId="77777777" w:rsidR="009E4375" w:rsidRDefault="00000000">
      <w:pPr>
        <w:pStyle w:val="Heading2"/>
      </w:pPr>
      <w:bookmarkStart w:id="95" w:name="_Toc214490444"/>
      <w:r>
        <w:lastRenderedPageBreak/>
        <w:t>Appendix B</w:t>
      </w:r>
      <w:bookmarkEnd w:id="95"/>
    </w:p>
    <w:p w14:paraId="182095A7" w14:textId="6D4C865F" w:rsidR="00102D8D" w:rsidRPr="00102D8D" w:rsidRDefault="00000000" w:rsidP="00102D8D">
      <w:pPr>
        <w:pStyle w:val="Heading3"/>
      </w:pPr>
      <w:bookmarkStart w:id="96" w:name="_Toc214490445"/>
      <w:r>
        <w:t>The Adapted Youth Quality of Life - Deaf and Hearing of Hard (AQOL-DHH) Survey</w:t>
      </w:r>
      <w:bookmarkEnd w:id="96"/>
    </w:p>
    <w:tbl>
      <w:tblPr>
        <w:tblStyle w:val="af5"/>
        <w:tblW w:w="1005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85"/>
        <w:gridCol w:w="4590"/>
        <w:gridCol w:w="4575"/>
      </w:tblGrid>
      <w:tr w:rsidR="009E4375" w14:paraId="10CF70F1" w14:textId="77777777">
        <w:tc>
          <w:tcPr>
            <w:tcW w:w="885" w:type="dxa"/>
            <w:tcMar>
              <w:top w:w="100" w:type="dxa"/>
              <w:left w:w="100" w:type="dxa"/>
              <w:bottom w:w="100" w:type="dxa"/>
              <w:right w:w="100" w:type="dxa"/>
            </w:tcMar>
          </w:tcPr>
          <w:p w14:paraId="10CF70EE"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0EF" w14:textId="77777777" w:rsidR="009E4375" w:rsidRDefault="00000000">
            <w:pPr>
              <w:spacing w:before="0" w:after="160" w:line="276" w:lineRule="auto"/>
              <w:jc w:val="center"/>
              <w:rPr>
                <w:rFonts w:ascii="Times New Roman" w:eastAsia="Times New Roman" w:hAnsi="Times New Roman" w:cs="Times New Roman"/>
                <w:b/>
                <w:bCs/>
              </w:rPr>
            </w:pPr>
            <w:r>
              <w:rPr>
                <w:rFonts w:ascii="Times New Roman" w:eastAsia="Times New Roman" w:hAnsi="Times New Roman" w:cs="Times New Roman"/>
                <w:b/>
                <w:bCs/>
              </w:rPr>
              <w:t>English</w:t>
            </w:r>
          </w:p>
        </w:tc>
        <w:tc>
          <w:tcPr>
            <w:tcW w:w="4575" w:type="dxa"/>
            <w:tcMar>
              <w:top w:w="100" w:type="dxa"/>
              <w:left w:w="100" w:type="dxa"/>
              <w:bottom w:w="100" w:type="dxa"/>
              <w:right w:w="100" w:type="dxa"/>
            </w:tcMar>
          </w:tcPr>
          <w:p w14:paraId="10CF70F0" w14:textId="77777777" w:rsidR="009E4375" w:rsidRDefault="00000000">
            <w:pPr>
              <w:widowControl w:val="0"/>
              <w:spacing w:before="0"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Malay Language (Bahasa Malaysia)</w:t>
            </w:r>
          </w:p>
        </w:tc>
      </w:tr>
      <w:tr w:rsidR="009E4375" w14:paraId="10CF70F5" w14:textId="77777777">
        <w:tc>
          <w:tcPr>
            <w:tcW w:w="885" w:type="dxa"/>
            <w:tcMar>
              <w:top w:w="100" w:type="dxa"/>
              <w:left w:w="100" w:type="dxa"/>
              <w:bottom w:w="100" w:type="dxa"/>
              <w:right w:w="100" w:type="dxa"/>
            </w:tcMar>
          </w:tcPr>
          <w:p w14:paraId="10CF70F2" w14:textId="77777777" w:rsidR="009E4375" w:rsidRDefault="009E4375">
            <w:pPr>
              <w:widowControl w:val="0"/>
              <w:spacing w:before="0" w:after="0" w:line="276" w:lineRule="auto"/>
              <w:rPr>
                <w:rFonts w:ascii="Times New Roman" w:eastAsia="Times New Roman" w:hAnsi="Times New Roman" w:cs="Times New Roman"/>
                <w:sz w:val="16"/>
                <w:szCs w:val="16"/>
              </w:rPr>
            </w:pPr>
          </w:p>
        </w:tc>
        <w:tc>
          <w:tcPr>
            <w:tcW w:w="4590" w:type="dxa"/>
            <w:tcMar>
              <w:top w:w="100" w:type="dxa"/>
              <w:left w:w="100" w:type="dxa"/>
              <w:bottom w:w="100" w:type="dxa"/>
              <w:right w:w="100" w:type="dxa"/>
            </w:tcMar>
          </w:tcPr>
          <w:p w14:paraId="10CF70F3" w14:textId="77777777" w:rsidR="009E4375" w:rsidRDefault="00000000">
            <w:pPr>
              <w:spacing w:before="0" w:after="160" w:line="276" w:lineRule="auto"/>
              <w:rPr>
                <w:rFonts w:ascii="Times New Roman" w:eastAsia="Times New Roman" w:hAnsi="Times New Roman" w:cs="Times New Roman"/>
                <w:b/>
                <w:bCs/>
              </w:rPr>
            </w:pPr>
            <w:r>
              <w:rPr>
                <w:rFonts w:ascii="Times New Roman" w:eastAsia="Times New Roman" w:hAnsi="Times New Roman" w:cs="Times New Roman"/>
                <w:b/>
                <w:bCs/>
              </w:rPr>
              <w:t>Section 1</w:t>
            </w:r>
          </w:p>
        </w:tc>
        <w:tc>
          <w:tcPr>
            <w:tcW w:w="4575" w:type="dxa"/>
            <w:tcMar>
              <w:top w:w="100" w:type="dxa"/>
              <w:left w:w="100" w:type="dxa"/>
              <w:bottom w:w="100" w:type="dxa"/>
              <w:right w:w="100" w:type="dxa"/>
            </w:tcMar>
          </w:tcPr>
          <w:p w14:paraId="10CF70F4" w14:textId="77777777" w:rsidR="009E4375" w:rsidRDefault="00000000">
            <w:pPr>
              <w:widowControl w:val="0"/>
              <w:spacing w:before="0" w:after="0" w:line="276" w:lineRule="auto"/>
              <w:rPr>
                <w:rFonts w:ascii="Times New Roman" w:eastAsia="Times New Roman" w:hAnsi="Times New Roman" w:cs="Times New Roman"/>
                <w:b/>
                <w:bCs/>
              </w:rPr>
            </w:pPr>
            <w:proofErr w:type="spellStart"/>
            <w:r>
              <w:rPr>
                <w:rFonts w:ascii="Times New Roman" w:eastAsia="Times New Roman" w:hAnsi="Times New Roman" w:cs="Times New Roman"/>
                <w:b/>
                <w:bCs/>
              </w:rPr>
              <w:t>Bahagian</w:t>
            </w:r>
            <w:proofErr w:type="spellEnd"/>
            <w:r>
              <w:rPr>
                <w:rFonts w:ascii="Times New Roman" w:eastAsia="Times New Roman" w:hAnsi="Times New Roman" w:cs="Times New Roman"/>
                <w:b/>
                <w:bCs/>
              </w:rPr>
              <w:t xml:space="preserve"> 1</w:t>
            </w:r>
          </w:p>
        </w:tc>
      </w:tr>
      <w:tr w:rsidR="009E4375" w14:paraId="10CF7103" w14:textId="77777777">
        <w:tc>
          <w:tcPr>
            <w:tcW w:w="885" w:type="dxa"/>
            <w:tcMar>
              <w:top w:w="100" w:type="dxa"/>
              <w:left w:w="100" w:type="dxa"/>
              <w:bottom w:w="100" w:type="dxa"/>
              <w:right w:w="100" w:type="dxa"/>
            </w:tcMar>
          </w:tcPr>
          <w:p w14:paraId="10CF70F6" w14:textId="77777777" w:rsidR="009E4375" w:rsidRDefault="00000000">
            <w:pPr>
              <w:widowControl w:val="0"/>
              <w:spacing w:before="0" w:after="0" w:line="276" w:lineRule="auto"/>
              <w:rPr>
                <w:rFonts w:ascii="Times New Roman" w:eastAsia="Times New Roman" w:hAnsi="Times New Roman" w:cs="Times New Roman"/>
                <w:b/>
                <w:bCs/>
              </w:rPr>
            </w:pPr>
            <w:r>
              <w:rPr>
                <w:rFonts w:ascii="Times New Roman" w:eastAsia="Times New Roman" w:hAnsi="Times New Roman" w:cs="Times New Roman"/>
                <w:b/>
                <w:bCs/>
              </w:rPr>
              <w:t>A.</w:t>
            </w:r>
          </w:p>
        </w:tc>
        <w:tc>
          <w:tcPr>
            <w:tcW w:w="4590" w:type="dxa"/>
            <w:tcMar>
              <w:top w:w="100" w:type="dxa"/>
              <w:left w:w="100" w:type="dxa"/>
              <w:bottom w:w="100" w:type="dxa"/>
              <w:right w:w="100" w:type="dxa"/>
            </w:tcMar>
          </w:tcPr>
          <w:p w14:paraId="10CF70F7"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In your daily life today, what type of communication do you use </w:t>
            </w:r>
            <w:r>
              <w:rPr>
                <w:rFonts w:ascii="Times New Roman" w:eastAsia="Times New Roman" w:hAnsi="Times New Roman" w:cs="Times New Roman"/>
                <w:b/>
                <w:bCs/>
              </w:rPr>
              <w:t>most often</w:t>
            </w:r>
            <w:r>
              <w:rPr>
                <w:rFonts w:ascii="Times New Roman" w:eastAsia="Times New Roman" w:hAnsi="Times New Roman" w:cs="Times New Roman"/>
              </w:rPr>
              <w:t>?</w:t>
            </w:r>
          </w:p>
          <w:p w14:paraId="10CF70F8" w14:textId="77777777" w:rsidR="009E4375" w:rsidRDefault="009E4375">
            <w:pPr>
              <w:spacing w:before="0" w:after="0" w:line="276" w:lineRule="auto"/>
              <w:rPr>
                <w:rFonts w:ascii="Times New Roman" w:eastAsia="Times New Roman" w:hAnsi="Times New Roman" w:cs="Times New Roman"/>
              </w:rPr>
            </w:pPr>
          </w:p>
          <w:p w14:paraId="10CF70F9"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0FA"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0FB"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Both speaking and </w:t>
            </w:r>
            <w:proofErr w:type="gramStart"/>
            <w:r>
              <w:rPr>
                <w:rFonts w:ascii="Times New Roman" w:eastAsia="Times New Roman" w:hAnsi="Times New Roman" w:cs="Times New Roman"/>
              </w:rPr>
              <w:t>signing</w:t>
            </w:r>
            <w:proofErr w:type="gramEnd"/>
          </w:p>
          <w:p w14:paraId="10CF70FC"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Others: __________________</w:t>
            </w:r>
          </w:p>
        </w:tc>
        <w:tc>
          <w:tcPr>
            <w:tcW w:w="4575" w:type="dxa"/>
            <w:tcMar>
              <w:top w:w="100" w:type="dxa"/>
              <w:left w:w="100" w:type="dxa"/>
              <w:bottom w:w="100" w:type="dxa"/>
              <w:right w:w="100" w:type="dxa"/>
            </w:tcMar>
          </w:tcPr>
          <w:p w14:paraId="10CF70FD"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Dalam </w:t>
            </w:r>
            <w:proofErr w:type="spellStart"/>
            <w:r>
              <w:rPr>
                <w:rFonts w:ascii="Times New Roman" w:eastAsia="Times New Roman" w:hAnsi="Times New Roman" w:cs="Times New Roman"/>
              </w:rPr>
              <w:t>kehidupan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harian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masa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komunikasi</w:t>
            </w:r>
            <w:proofErr w:type="spellEnd"/>
            <w:r>
              <w:rPr>
                <w:rFonts w:ascii="Times New Roman" w:eastAsia="Times New Roman" w:hAnsi="Times New Roman" w:cs="Times New Roman"/>
              </w:rPr>
              <w:t xml:space="preserve"> yang </w:t>
            </w:r>
            <w:r>
              <w:rPr>
                <w:rFonts w:ascii="Times New Roman" w:eastAsia="Times New Roman" w:hAnsi="Times New Roman" w:cs="Times New Roman"/>
                <w:b/>
                <w:bCs/>
              </w:rPr>
              <w:t xml:space="preserve">paling </w:t>
            </w:r>
            <w:proofErr w:type="spellStart"/>
            <w:r>
              <w:rPr>
                <w:rFonts w:ascii="Times New Roman" w:eastAsia="Times New Roman" w:hAnsi="Times New Roman" w:cs="Times New Roman"/>
                <w:b/>
                <w:bCs/>
              </w:rPr>
              <w:t>kerap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gunakan</w:t>
            </w:r>
            <w:proofErr w:type="spellEnd"/>
            <w:r>
              <w:rPr>
                <w:rFonts w:ascii="Times New Roman" w:eastAsia="Times New Roman" w:hAnsi="Times New Roman" w:cs="Times New Roman"/>
              </w:rPr>
              <w:t>?</w:t>
            </w:r>
          </w:p>
          <w:p w14:paraId="10CF70FE" w14:textId="77777777" w:rsidR="009E4375" w:rsidRDefault="009E4375">
            <w:pPr>
              <w:widowControl w:val="0"/>
              <w:spacing w:before="0" w:after="0" w:line="276" w:lineRule="auto"/>
              <w:rPr>
                <w:rFonts w:ascii="Times New Roman" w:eastAsia="Times New Roman" w:hAnsi="Times New Roman" w:cs="Times New Roman"/>
              </w:rPr>
            </w:pPr>
          </w:p>
          <w:p w14:paraId="10CF70FF"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00"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01"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-dua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berisyarat</w:t>
            </w:r>
            <w:proofErr w:type="spellEnd"/>
          </w:p>
          <w:p w14:paraId="10CF7102"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 __________________</w:t>
            </w:r>
          </w:p>
        </w:tc>
      </w:tr>
      <w:tr w:rsidR="009E4375" w14:paraId="10CF7107" w14:textId="77777777">
        <w:trPr>
          <w:trHeight w:val="255"/>
        </w:trPr>
        <w:tc>
          <w:tcPr>
            <w:tcW w:w="885" w:type="dxa"/>
            <w:tcMar>
              <w:top w:w="100" w:type="dxa"/>
              <w:left w:w="100" w:type="dxa"/>
              <w:bottom w:w="100" w:type="dxa"/>
              <w:right w:w="100" w:type="dxa"/>
            </w:tcMar>
          </w:tcPr>
          <w:p w14:paraId="10CF7104" w14:textId="77777777" w:rsidR="009E4375" w:rsidRDefault="009E4375">
            <w:pPr>
              <w:widowControl w:val="0"/>
              <w:spacing w:before="0" w:after="0" w:line="276" w:lineRule="auto"/>
              <w:rPr>
                <w:rFonts w:ascii="Times New Roman" w:eastAsia="Times New Roman" w:hAnsi="Times New Roman" w:cs="Times New Roman"/>
                <w:sz w:val="4"/>
                <w:szCs w:val="4"/>
              </w:rPr>
            </w:pPr>
          </w:p>
        </w:tc>
        <w:tc>
          <w:tcPr>
            <w:tcW w:w="4590" w:type="dxa"/>
            <w:tcMar>
              <w:top w:w="100" w:type="dxa"/>
              <w:left w:w="100" w:type="dxa"/>
              <w:bottom w:w="100" w:type="dxa"/>
              <w:right w:w="100" w:type="dxa"/>
            </w:tcMar>
          </w:tcPr>
          <w:p w14:paraId="10CF7105" w14:textId="77777777" w:rsidR="009E4375" w:rsidRDefault="009E4375">
            <w:pPr>
              <w:spacing w:before="0" w:after="0" w:line="276" w:lineRule="auto"/>
              <w:rPr>
                <w:rFonts w:ascii="Times New Roman" w:eastAsia="Times New Roman" w:hAnsi="Times New Roman" w:cs="Times New Roman"/>
                <w:sz w:val="4"/>
                <w:szCs w:val="4"/>
              </w:rPr>
            </w:pPr>
          </w:p>
        </w:tc>
        <w:tc>
          <w:tcPr>
            <w:tcW w:w="4575" w:type="dxa"/>
            <w:tcMar>
              <w:top w:w="100" w:type="dxa"/>
              <w:left w:w="100" w:type="dxa"/>
              <w:bottom w:w="100" w:type="dxa"/>
              <w:right w:w="100" w:type="dxa"/>
            </w:tcMar>
          </w:tcPr>
          <w:p w14:paraId="10CF7106" w14:textId="77777777" w:rsidR="009E4375" w:rsidRDefault="009E4375">
            <w:pPr>
              <w:widowControl w:val="0"/>
              <w:spacing w:before="0" w:after="0" w:line="276" w:lineRule="auto"/>
              <w:rPr>
                <w:rFonts w:ascii="Times New Roman" w:eastAsia="Times New Roman" w:hAnsi="Times New Roman" w:cs="Times New Roman"/>
                <w:sz w:val="4"/>
                <w:szCs w:val="4"/>
              </w:rPr>
            </w:pPr>
          </w:p>
        </w:tc>
      </w:tr>
      <w:tr w:rsidR="009E4375" w14:paraId="10CF710B" w14:textId="77777777">
        <w:tc>
          <w:tcPr>
            <w:tcW w:w="885" w:type="dxa"/>
            <w:tcMar>
              <w:top w:w="100" w:type="dxa"/>
              <w:left w:w="100" w:type="dxa"/>
              <w:bottom w:w="100" w:type="dxa"/>
              <w:right w:w="100" w:type="dxa"/>
            </w:tcMar>
          </w:tcPr>
          <w:p w14:paraId="10CF7108" w14:textId="77777777" w:rsidR="009E4375" w:rsidRDefault="00000000">
            <w:pPr>
              <w:widowControl w:val="0"/>
              <w:spacing w:before="0" w:after="0" w:line="276" w:lineRule="auto"/>
              <w:rPr>
                <w:rFonts w:ascii="Times New Roman" w:eastAsia="Times New Roman" w:hAnsi="Times New Roman" w:cs="Times New Roman"/>
                <w:b/>
                <w:bCs/>
              </w:rPr>
            </w:pPr>
            <w:r>
              <w:rPr>
                <w:rFonts w:ascii="Times New Roman" w:eastAsia="Times New Roman" w:hAnsi="Times New Roman" w:cs="Times New Roman"/>
                <w:b/>
                <w:bCs/>
              </w:rPr>
              <w:t>B.</w:t>
            </w:r>
          </w:p>
        </w:tc>
        <w:tc>
          <w:tcPr>
            <w:tcW w:w="4590" w:type="dxa"/>
            <w:tcMar>
              <w:top w:w="100" w:type="dxa"/>
              <w:left w:w="100" w:type="dxa"/>
              <w:bottom w:w="100" w:type="dxa"/>
              <w:right w:w="100" w:type="dxa"/>
            </w:tcMar>
          </w:tcPr>
          <w:p w14:paraId="10CF7109" w14:textId="77777777" w:rsidR="009E4375" w:rsidRDefault="00000000">
            <w:pPr>
              <w:shd w:val="clear" w:color="auto" w:fill="FFFFFF"/>
              <w:spacing w:before="0" w:after="0" w:line="276" w:lineRule="auto"/>
              <w:rPr>
                <w:rFonts w:ascii="Times New Roman" w:eastAsia="Times New Roman" w:hAnsi="Times New Roman" w:cs="Times New Roman"/>
                <w:b/>
                <w:bCs/>
              </w:rPr>
            </w:pPr>
            <w:r>
              <w:rPr>
                <w:rFonts w:ascii="Times New Roman" w:eastAsia="Times New Roman" w:hAnsi="Times New Roman" w:cs="Times New Roman"/>
                <w:b/>
                <w:bCs/>
              </w:rPr>
              <w:t>Schooling</w:t>
            </w:r>
          </w:p>
        </w:tc>
        <w:tc>
          <w:tcPr>
            <w:tcW w:w="4575" w:type="dxa"/>
            <w:tcMar>
              <w:top w:w="100" w:type="dxa"/>
              <w:left w:w="100" w:type="dxa"/>
              <w:bottom w:w="100" w:type="dxa"/>
              <w:right w:w="100" w:type="dxa"/>
            </w:tcMar>
          </w:tcPr>
          <w:p w14:paraId="10CF710A" w14:textId="77777777" w:rsidR="009E4375" w:rsidRDefault="00000000">
            <w:pPr>
              <w:widowControl w:val="0"/>
              <w:spacing w:before="0" w:after="0" w:line="276" w:lineRule="auto"/>
              <w:rPr>
                <w:rFonts w:ascii="Times New Roman" w:eastAsia="Times New Roman" w:hAnsi="Times New Roman" w:cs="Times New Roman"/>
                <w:b/>
                <w:bCs/>
              </w:rPr>
            </w:pPr>
            <w:proofErr w:type="spellStart"/>
            <w:r>
              <w:rPr>
                <w:rFonts w:ascii="Times New Roman" w:eastAsia="Times New Roman" w:hAnsi="Times New Roman" w:cs="Times New Roman"/>
                <w:b/>
                <w:bCs/>
              </w:rPr>
              <w:t>Persekolahan</w:t>
            </w:r>
            <w:proofErr w:type="spellEnd"/>
          </w:p>
        </w:tc>
      </w:tr>
      <w:tr w:rsidR="009E4375" w14:paraId="10CF7119" w14:textId="77777777">
        <w:tc>
          <w:tcPr>
            <w:tcW w:w="885" w:type="dxa"/>
            <w:tcMar>
              <w:top w:w="100" w:type="dxa"/>
              <w:left w:w="100" w:type="dxa"/>
              <w:bottom w:w="100" w:type="dxa"/>
              <w:right w:w="100" w:type="dxa"/>
            </w:tcMar>
          </w:tcPr>
          <w:p w14:paraId="10CF710C"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0D"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In your previous schooling, what type of communication did you use </w:t>
            </w:r>
            <w:r>
              <w:rPr>
                <w:rFonts w:ascii="Times New Roman" w:eastAsia="Times New Roman" w:hAnsi="Times New Roman" w:cs="Times New Roman"/>
                <w:b/>
                <w:bCs/>
              </w:rPr>
              <w:t xml:space="preserve">most often </w:t>
            </w:r>
            <w:r>
              <w:rPr>
                <w:rFonts w:ascii="Times New Roman" w:eastAsia="Times New Roman" w:hAnsi="Times New Roman" w:cs="Times New Roman"/>
              </w:rPr>
              <w:t xml:space="preserve">with previous teachers? </w:t>
            </w:r>
          </w:p>
          <w:p w14:paraId="10CF710E" w14:textId="77777777" w:rsidR="009E4375" w:rsidRDefault="009E4375">
            <w:pPr>
              <w:spacing w:before="0" w:after="0" w:line="276" w:lineRule="auto"/>
              <w:rPr>
                <w:rFonts w:ascii="Times New Roman" w:eastAsia="Times New Roman" w:hAnsi="Times New Roman" w:cs="Times New Roman"/>
              </w:rPr>
            </w:pPr>
          </w:p>
          <w:p w14:paraId="10CF710F"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10"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11"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Both speaking and </w:t>
            </w:r>
            <w:proofErr w:type="gramStart"/>
            <w:r>
              <w:rPr>
                <w:rFonts w:ascii="Times New Roman" w:eastAsia="Times New Roman" w:hAnsi="Times New Roman" w:cs="Times New Roman"/>
              </w:rPr>
              <w:t>signing</w:t>
            </w:r>
            <w:proofErr w:type="gramEnd"/>
          </w:p>
          <w:p w14:paraId="10CF7112"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Others: __________________</w:t>
            </w:r>
          </w:p>
        </w:tc>
        <w:tc>
          <w:tcPr>
            <w:tcW w:w="4575" w:type="dxa"/>
            <w:tcMar>
              <w:top w:w="100" w:type="dxa"/>
              <w:left w:w="100" w:type="dxa"/>
              <w:bottom w:w="100" w:type="dxa"/>
              <w:right w:w="100" w:type="dxa"/>
            </w:tcMar>
          </w:tcPr>
          <w:p w14:paraId="10CF7113" w14:textId="77777777" w:rsidR="009E4375" w:rsidRDefault="00000000">
            <w:pPr>
              <w:widowControl w:val="0"/>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Apakah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komunikasi</w:t>
            </w:r>
            <w:proofErr w:type="spellEnd"/>
            <w:r>
              <w:rPr>
                <w:rFonts w:ascii="Times New Roman" w:eastAsia="Times New Roman" w:hAnsi="Times New Roman" w:cs="Times New Roman"/>
              </w:rPr>
              <w:t xml:space="preserve"> yang </w:t>
            </w:r>
            <w:r>
              <w:rPr>
                <w:rFonts w:ascii="Times New Roman" w:eastAsia="Times New Roman" w:hAnsi="Times New Roman" w:cs="Times New Roman"/>
                <w:b/>
                <w:bCs/>
              </w:rPr>
              <w:t xml:space="preserve">paling </w:t>
            </w:r>
            <w:proofErr w:type="spellStart"/>
            <w:r>
              <w:rPr>
                <w:rFonts w:ascii="Times New Roman" w:eastAsia="Times New Roman" w:hAnsi="Times New Roman" w:cs="Times New Roman"/>
                <w:b/>
                <w:bCs/>
              </w:rPr>
              <w:t>kerap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guru-guru </w:t>
            </w:r>
            <w:proofErr w:type="spellStart"/>
            <w:r>
              <w:rPr>
                <w:rFonts w:ascii="Times New Roman" w:eastAsia="Times New Roman" w:hAnsi="Times New Roman" w:cs="Times New Roman"/>
              </w:rPr>
              <w:t>dahulu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semasa</w:t>
            </w:r>
            <w:proofErr w:type="spellEnd"/>
            <w:r>
              <w:rPr>
                <w:rFonts w:ascii="Times New Roman" w:eastAsia="Times New Roman" w:hAnsi="Times New Roman" w:cs="Times New Roman"/>
              </w:rPr>
              <w:t xml:space="preserve"> zaman </w:t>
            </w:r>
            <w:proofErr w:type="spellStart"/>
            <w:r>
              <w:rPr>
                <w:rFonts w:ascii="Times New Roman" w:eastAsia="Times New Roman" w:hAnsi="Times New Roman" w:cs="Times New Roman"/>
              </w:rPr>
              <w:t>persekolahan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p>
          <w:p w14:paraId="10CF7114" w14:textId="77777777" w:rsidR="009E4375" w:rsidRDefault="009E4375">
            <w:pPr>
              <w:widowControl w:val="0"/>
              <w:spacing w:before="0" w:after="0" w:line="276" w:lineRule="auto"/>
              <w:rPr>
                <w:rFonts w:ascii="Times New Roman" w:eastAsia="Times New Roman" w:hAnsi="Times New Roman" w:cs="Times New Roman"/>
              </w:rPr>
            </w:pPr>
          </w:p>
          <w:p w14:paraId="10CF7115"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16"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17"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-dua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berisyarat</w:t>
            </w:r>
            <w:proofErr w:type="spellEnd"/>
          </w:p>
          <w:p w14:paraId="10CF7118"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 __________________</w:t>
            </w:r>
          </w:p>
        </w:tc>
      </w:tr>
      <w:tr w:rsidR="009E4375" w14:paraId="10CF7127" w14:textId="77777777">
        <w:tc>
          <w:tcPr>
            <w:tcW w:w="885" w:type="dxa"/>
            <w:tcMar>
              <w:top w:w="100" w:type="dxa"/>
              <w:left w:w="100" w:type="dxa"/>
              <w:bottom w:w="100" w:type="dxa"/>
              <w:right w:w="100" w:type="dxa"/>
            </w:tcMar>
          </w:tcPr>
          <w:p w14:paraId="10CF711A"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1B"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How satisfied were you with the way </w:t>
            </w:r>
            <w:proofErr w:type="gramStart"/>
            <w:r>
              <w:rPr>
                <w:rFonts w:ascii="Times New Roman" w:eastAsia="Times New Roman" w:hAnsi="Times New Roman" w:cs="Times New Roman"/>
              </w:rPr>
              <w:t>the majority of</w:t>
            </w:r>
            <w:proofErr w:type="gramEnd"/>
            <w:r>
              <w:rPr>
                <w:rFonts w:ascii="Times New Roman" w:eastAsia="Times New Roman" w:hAnsi="Times New Roman" w:cs="Times New Roman"/>
              </w:rPr>
              <w:t xml:space="preserve"> your previous teachers communicated with you?</w:t>
            </w:r>
          </w:p>
          <w:p w14:paraId="10CF711C" w14:textId="77777777" w:rsidR="009E4375" w:rsidRDefault="009E4375">
            <w:pPr>
              <w:widowControl w:val="0"/>
              <w:spacing w:before="0" w:after="0" w:line="276" w:lineRule="auto"/>
              <w:rPr>
                <w:rFonts w:ascii="Times New Roman" w:eastAsia="Times New Roman" w:hAnsi="Times New Roman" w:cs="Times New Roman"/>
              </w:rPr>
            </w:pPr>
          </w:p>
          <w:p w14:paraId="10CF711D"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Very unsatisfied</w:t>
            </w:r>
          </w:p>
          <w:p w14:paraId="10CF711E"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Unsatisfied</w:t>
            </w:r>
          </w:p>
          <w:p w14:paraId="10CF711F"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Satisfied</w:t>
            </w:r>
          </w:p>
          <w:p w14:paraId="10CF7120"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Very Satisfied</w:t>
            </w:r>
          </w:p>
        </w:tc>
        <w:tc>
          <w:tcPr>
            <w:tcW w:w="4575" w:type="dxa"/>
            <w:tcMar>
              <w:top w:w="100" w:type="dxa"/>
              <w:left w:w="100" w:type="dxa"/>
              <w:bottom w:w="100" w:type="dxa"/>
              <w:right w:w="100" w:type="dxa"/>
            </w:tcMar>
          </w:tcPr>
          <w:p w14:paraId="10CF7121" w14:textId="77777777" w:rsidR="009E4375" w:rsidRPr="00D43BCC" w:rsidRDefault="00000000">
            <w:pPr>
              <w:widowControl w:val="0"/>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Sejauh manakah anda berpuas hati dengan cara guru anda sebelum ini berkomunikasi dengan anda?</w:t>
            </w:r>
          </w:p>
          <w:p w14:paraId="10CF7122" w14:textId="77777777" w:rsidR="009E4375" w:rsidRPr="00D43BCC" w:rsidRDefault="009E4375">
            <w:pPr>
              <w:widowControl w:val="0"/>
              <w:spacing w:before="0" w:after="0" w:line="276" w:lineRule="auto"/>
              <w:rPr>
                <w:rFonts w:ascii="Times New Roman" w:eastAsia="Times New Roman" w:hAnsi="Times New Roman" w:cs="Times New Roman"/>
                <w:lang w:val="sv-SE"/>
              </w:rPr>
            </w:pPr>
          </w:p>
          <w:p w14:paraId="10CF7123"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24"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25"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26" w14:textId="77777777" w:rsidR="009E4375" w:rsidRDefault="00000000">
            <w:pPr>
              <w:numPr>
                <w:ilvl w:val="0"/>
                <w:numId w:val="28"/>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tc>
      </w:tr>
      <w:tr w:rsidR="009E4375" w14:paraId="10CF712B" w14:textId="77777777">
        <w:trPr>
          <w:trHeight w:val="347"/>
        </w:trPr>
        <w:tc>
          <w:tcPr>
            <w:tcW w:w="885" w:type="dxa"/>
            <w:tcMar>
              <w:top w:w="100" w:type="dxa"/>
              <w:left w:w="100" w:type="dxa"/>
              <w:bottom w:w="100" w:type="dxa"/>
              <w:right w:w="100" w:type="dxa"/>
            </w:tcMar>
          </w:tcPr>
          <w:p w14:paraId="10CF7128"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29" w14:textId="77777777" w:rsidR="009E4375" w:rsidRDefault="009E4375">
            <w:pPr>
              <w:widowControl w:val="0"/>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2A" w14:textId="77777777" w:rsidR="009E4375" w:rsidRDefault="009E4375">
            <w:pPr>
              <w:widowControl w:val="0"/>
              <w:spacing w:before="0" w:after="0" w:line="276" w:lineRule="auto"/>
              <w:rPr>
                <w:rFonts w:ascii="Times New Roman" w:eastAsia="Times New Roman" w:hAnsi="Times New Roman" w:cs="Times New Roman"/>
              </w:rPr>
            </w:pPr>
          </w:p>
        </w:tc>
      </w:tr>
      <w:tr w:rsidR="009E4375" w14:paraId="10CF712F" w14:textId="77777777">
        <w:tc>
          <w:tcPr>
            <w:tcW w:w="885" w:type="dxa"/>
            <w:tcMar>
              <w:top w:w="100" w:type="dxa"/>
              <w:left w:w="100" w:type="dxa"/>
              <w:bottom w:w="100" w:type="dxa"/>
              <w:right w:w="100" w:type="dxa"/>
            </w:tcMar>
          </w:tcPr>
          <w:p w14:paraId="10CF712C"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C.</w:t>
            </w:r>
          </w:p>
        </w:tc>
        <w:tc>
          <w:tcPr>
            <w:tcW w:w="4590" w:type="dxa"/>
            <w:tcMar>
              <w:top w:w="100" w:type="dxa"/>
              <w:left w:w="100" w:type="dxa"/>
              <w:bottom w:w="100" w:type="dxa"/>
              <w:right w:w="100" w:type="dxa"/>
            </w:tcMar>
          </w:tcPr>
          <w:p w14:paraId="10CF712D"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b/>
                <w:bCs/>
              </w:rPr>
              <w:t>Family</w:t>
            </w:r>
          </w:p>
        </w:tc>
        <w:tc>
          <w:tcPr>
            <w:tcW w:w="4575" w:type="dxa"/>
            <w:tcMar>
              <w:top w:w="100" w:type="dxa"/>
              <w:left w:w="100" w:type="dxa"/>
              <w:bottom w:w="100" w:type="dxa"/>
              <w:right w:w="100" w:type="dxa"/>
            </w:tcMar>
          </w:tcPr>
          <w:p w14:paraId="10CF712E" w14:textId="77777777" w:rsidR="009E4375" w:rsidRDefault="00000000">
            <w:pPr>
              <w:widowControl w:val="0"/>
              <w:spacing w:before="0" w:after="0" w:line="276" w:lineRule="auto"/>
              <w:rPr>
                <w:rFonts w:ascii="Times New Roman" w:eastAsia="Times New Roman" w:hAnsi="Times New Roman" w:cs="Times New Roman"/>
                <w:b/>
                <w:bCs/>
              </w:rPr>
            </w:pPr>
            <w:proofErr w:type="spellStart"/>
            <w:r>
              <w:rPr>
                <w:rFonts w:ascii="Times New Roman" w:eastAsia="Times New Roman" w:hAnsi="Times New Roman" w:cs="Times New Roman"/>
                <w:b/>
                <w:bCs/>
              </w:rPr>
              <w:t>Keluarga</w:t>
            </w:r>
            <w:proofErr w:type="spellEnd"/>
          </w:p>
        </w:tc>
      </w:tr>
      <w:tr w:rsidR="009E4375" w14:paraId="10CF713D" w14:textId="77777777">
        <w:tc>
          <w:tcPr>
            <w:tcW w:w="885" w:type="dxa"/>
            <w:tcMar>
              <w:top w:w="100" w:type="dxa"/>
              <w:left w:w="100" w:type="dxa"/>
              <w:bottom w:w="100" w:type="dxa"/>
              <w:right w:w="100" w:type="dxa"/>
            </w:tcMar>
          </w:tcPr>
          <w:p w14:paraId="10CF7130"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31"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During your school years, what type of communication did you use </w:t>
            </w:r>
            <w:r>
              <w:rPr>
                <w:rFonts w:ascii="Times New Roman" w:eastAsia="Times New Roman" w:hAnsi="Times New Roman" w:cs="Times New Roman"/>
                <w:b/>
                <w:bCs/>
              </w:rPr>
              <w:t>most often</w:t>
            </w:r>
            <w:r>
              <w:rPr>
                <w:rFonts w:ascii="Times New Roman" w:eastAsia="Times New Roman" w:hAnsi="Times New Roman" w:cs="Times New Roman"/>
              </w:rPr>
              <w:t xml:space="preserve"> with your family? </w:t>
            </w:r>
          </w:p>
          <w:p w14:paraId="10CF7132" w14:textId="77777777" w:rsidR="009E4375" w:rsidRDefault="009E4375">
            <w:pPr>
              <w:widowControl w:val="0"/>
              <w:spacing w:before="0" w:after="0" w:line="276" w:lineRule="auto"/>
              <w:rPr>
                <w:rFonts w:ascii="Times New Roman" w:eastAsia="Times New Roman" w:hAnsi="Times New Roman" w:cs="Times New Roman"/>
              </w:rPr>
            </w:pPr>
          </w:p>
          <w:p w14:paraId="10CF7133"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34"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35"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Both speaking and </w:t>
            </w:r>
            <w:proofErr w:type="gramStart"/>
            <w:r>
              <w:rPr>
                <w:rFonts w:ascii="Times New Roman" w:eastAsia="Times New Roman" w:hAnsi="Times New Roman" w:cs="Times New Roman"/>
              </w:rPr>
              <w:t>signing</w:t>
            </w:r>
            <w:proofErr w:type="gramEnd"/>
            <w:r>
              <w:rPr>
                <w:rFonts w:ascii="Times New Roman" w:eastAsia="Times New Roman" w:hAnsi="Times New Roman" w:cs="Times New Roman"/>
              </w:rPr>
              <w:t xml:space="preserve"> (Sim-Com)</w:t>
            </w:r>
          </w:p>
          <w:p w14:paraId="10CF7136"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Others: __________________</w:t>
            </w:r>
          </w:p>
        </w:tc>
        <w:tc>
          <w:tcPr>
            <w:tcW w:w="4575" w:type="dxa"/>
            <w:tcMar>
              <w:top w:w="100" w:type="dxa"/>
              <w:left w:w="100" w:type="dxa"/>
              <w:bottom w:w="100" w:type="dxa"/>
              <w:right w:w="100" w:type="dxa"/>
            </w:tcMar>
          </w:tcPr>
          <w:p w14:paraId="10CF7137" w14:textId="77777777" w:rsidR="009E4375" w:rsidRDefault="00000000">
            <w:pPr>
              <w:widowControl w:val="0"/>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Apakah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komunikasi</w:t>
            </w:r>
            <w:proofErr w:type="spellEnd"/>
            <w:r>
              <w:rPr>
                <w:rFonts w:ascii="Times New Roman" w:eastAsia="Times New Roman" w:hAnsi="Times New Roman" w:cs="Times New Roman"/>
              </w:rPr>
              <w:t xml:space="preserve"> yang </w:t>
            </w:r>
            <w:r>
              <w:rPr>
                <w:rFonts w:ascii="Times New Roman" w:eastAsia="Times New Roman" w:hAnsi="Times New Roman" w:cs="Times New Roman"/>
                <w:b/>
                <w:bCs/>
              </w:rPr>
              <w:t xml:space="preserve">paling </w:t>
            </w:r>
            <w:proofErr w:type="spellStart"/>
            <w:r>
              <w:rPr>
                <w:rFonts w:ascii="Times New Roman" w:eastAsia="Times New Roman" w:hAnsi="Times New Roman" w:cs="Times New Roman"/>
                <w:b/>
                <w:bCs/>
              </w:rPr>
              <w:t>kerap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gunakan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keluarga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semasa</w:t>
            </w:r>
            <w:proofErr w:type="spellEnd"/>
            <w:r>
              <w:rPr>
                <w:rFonts w:ascii="Times New Roman" w:eastAsia="Times New Roman" w:hAnsi="Times New Roman" w:cs="Times New Roman"/>
              </w:rPr>
              <w:t xml:space="preserve"> zaman </w:t>
            </w:r>
            <w:proofErr w:type="spellStart"/>
            <w:r>
              <w:rPr>
                <w:rFonts w:ascii="Times New Roman" w:eastAsia="Times New Roman" w:hAnsi="Times New Roman" w:cs="Times New Roman"/>
              </w:rPr>
              <w:t>persekolahan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w:t>
            </w:r>
          </w:p>
          <w:p w14:paraId="10CF7138" w14:textId="77777777" w:rsidR="009E4375" w:rsidRDefault="009E4375">
            <w:pPr>
              <w:widowControl w:val="0"/>
              <w:spacing w:before="0" w:after="0" w:line="276" w:lineRule="auto"/>
              <w:rPr>
                <w:rFonts w:ascii="Times New Roman" w:eastAsia="Times New Roman" w:hAnsi="Times New Roman" w:cs="Times New Roman"/>
              </w:rPr>
            </w:pPr>
          </w:p>
          <w:p w14:paraId="10CF7139"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3A"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3B"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-dua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berisyarat</w:t>
            </w:r>
            <w:proofErr w:type="spellEnd"/>
          </w:p>
          <w:p w14:paraId="10CF713C"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 __________________</w:t>
            </w:r>
          </w:p>
        </w:tc>
      </w:tr>
      <w:tr w:rsidR="009E4375" w14:paraId="10CF714A" w14:textId="77777777">
        <w:tc>
          <w:tcPr>
            <w:tcW w:w="885" w:type="dxa"/>
            <w:tcMar>
              <w:top w:w="100" w:type="dxa"/>
              <w:left w:w="100" w:type="dxa"/>
              <w:bottom w:w="100" w:type="dxa"/>
              <w:right w:w="100" w:type="dxa"/>
            </w:tcMar>
          </w:tcPr>
          <w:p w14:paraId="10CF713E"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3F"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During your school years, how satisfied were you with your communication with your family? </w:t>
            </w:r>
          </w:p>
          <w:p w14:paraId="10CF7140" w14:textId="77777777" w:rsidR="009E4375" w:rsidRDefault="009E4375">
            <w:pPr>
              <w:widowControl w:val="0"/>
              <w:spacing w:before="0" w:after="0" w:line="276" w:lineRule="auto"/>
              <w:rPr>
                <w:rFonts w:ascii="Times New Roman" w:eastAsia="Times New Roman" w:hAnsi="Times New Roman" w:cs="Times New Roman"/>
              </w:rPr>
            </w:pPr>
          </w:p>
          <w:p w14:paraId="10CF7141"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Very unsatisfied</w:t>
            </w:r>
          </w:p>
          <w:p w14:paraId="10CF7142"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Unsatisfied</w:t>
            </w:r>
          </w:p>
          <w:p w14:paraId="10CF7143"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Satisfied</w:t>
            </w:r>
          </w:p>
          <w:p w14:paraId="10CF7144"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Very Satisfied</w:t>
            </w:r>
          </w:p>
        </w:tc>
        <w:tc>
          <w:tcPr>
            <w:tcW w:w="4575" w:type="dxa"/>
            <w:tcMar>
              <w:top w:w="100" w:type="dxa"/>
              <w:left w:w="100" w:type="dxa"/>
              <w:bottom w:w="100" w:type="dxa"/>
              <w:right w:w="100" w:type="dxa"/>
            </w:tcMar>
          </w:tcPr>
          <w:p w14:paraId="10CF7145"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Sejauh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kepuasan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komunikasi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keluarga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semasa</w:t>
            </w:r>
            <w:proofErr w:type="spellEnd"/>
            <w:r>
              <w:rPr>
                <w:rFonts w:ascii="Times New Roman" w:eastAsia="Times New Roman" w:hAnsi="Times New Roman" w:cs="Times New Roman"/>
              </w:rPr>
              <w:t xml:space="preserve"> zaman </w:t>
            </w:r>
            <w:proofErr w:type="spellStart"/>
            <w:r>
              <w:rPr>
                <w:rFonts w:ascii="Times New Roman" w:eastAsia="Times New Roman" w:hAnsi="Times New Roman" w:cs="Times New Roman"/>
              </w:rPr>
              <w:t>persekolahan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w:t>
            </w:r>
          </w:p>
          <w:p w14:paraId="10CF7146"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47"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48"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49" w14:textId="77777777" w:rsidR="009E4375" w:rsidRDefault="00000000">
            <w:pPr>
              <w:numPr>
                <w:ilvl w:val="0"/>
                <w:numId w:val="28"/>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tc>
      </w:tr>
      <w:tr w:rsidR="009E4375" w14:paraId="10CF714E" w14:textId="77777777">
        <w:tc>
          <w:tcPr>
            <w:tcW w:w="885" w:type="dxa"/>
            <w:tcMar>
              <w:top w:w="100" w:type="dxa"/>
              <w:left w:w="100" w:type="dxa"/>
              <w:bottom w:w="100" w:type="dxa"/>
              <w:right w:w="100" w:type="dxa"/>
            </w:tcMar>
          </w:tcPr>
          <w:p w14:paraId="10CF714B"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4C" w14:textId="77777777" w:rsidR="009E4375" w:rsidRDefault="009E4375">
            <w:pPr>
              <w:widowControl w:val="0"/>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4D" w14:textId="77777777" w:rsidR="009E4375" w:rsidRDefault="009E4375">
            <w:pPr>
              <w:widowControl w:val="0"/>
              <w:spacing w:before="0" w:after="0" w:line="276" w:lineRule="auto"/>
              <w:rPr>
                <w:rFonts w:ascii="Times New Roman" w:eastAsia="Times New Roman" w:hAnsi="Times New Roman" w:cs="Times New Roman"/>
              </w:rPr>
            </w:pPr>
          </w:p>
        </w:tc>
      </w:tr>
      <w:tr w:rsidR="009E4375" w14:paraId="10CF7152" w14:textId="77777777">
        <w:tc>
          <w:tcPr>
            <w:tcW w:w="885" w:type="dxa"/>
            <w:tcMar>
              <w:top w:w="100" w:type="dxa"/>
              <w:left w:w="100" w:type="dxa"/>
              <w:bottom w:w="100" w:type="dxa"/>
              <w:right w:w="100" w:type="dxa"/>
            </w:tcMar>
          </w:tcPr>
          <w:p w14:paraId="10CF714F" w14:textId="77777777" w:rsidR="009E4375" w:rsidRDefault="00000000">
            <w:pPr>
              <w:widowControl w:val="0"/>
              <w:spacing w:before="0" w:after="0" w:line="276" w:lineRule="auto"/>
              <w:rPr>
                <w:rFonts w:ascii="Times New Roman" w:eastAsia="Times New Roman" w:hAnsi="Times New Roman" w:cs="Times New Roman"/>
                <w:b/>
                <w:bCs/>
              </w:rPr>
            </w:pPr>
            <w:r>
              <w:rPr>
                <w:rFonts w:ascii="Times New Roman" w:eastAsia="Times New Roman" w:hAnsi="Times New Roman" w:cs="Times New Roman"/>
                <w:b/>
                <w:bCs/>
              </w:rPr>
              <w:t>D.</w:t>
            </w:r>
          </w:p>
        </w:tc>
        <w:tc>
          <w:tcPr>
            <w:tcW w:w="4590" w:type="dxa"/>
            <w:tcMar>
              <w:top w:w="100" w:type="dxa"/>
              <w:left w:w="100" w:type="dxa"/>
              <w:bottom w:w="100" w:type="dxa"/>
              <w:right w:w="100" w:type="dxa"/>
            </w:tcMar>
          </w:tcPr>
          <w:p w14:paraId="10CF7150" w14:textId="77777777" w:rsidR="009E4375" w:rsidRDefault="00000000">
            <w:pPr>
              <w:widowControl w:val="0"/>
              <w:spacing w:before="0" w:after="0" w:line="276" w:lineRule="auto"/>
              <w:rPr>
                <w:rFonts w:ascii="Times New Roman" w:eastAsia="Times New Roman" w:hAnsi="Times New Roman" w:cs="Times New Roman"/>
                <w:b/>
                <w:bCs/>
              </w:rPr>
            </w:pPr>
            <w:r>
              <w:rPr>
                <w:rFonts w:ascii="Times New Roman" w:eastAsia="Times New Roman" w:hAnsi="Times New Roman" w:cs="Times New Roman"/>
                <w:b/>
                <w:bCs/>
              </w:rPr>
              <w:t>Dormitory</w:t>
            </w:r>
          </w:p>
        </w:tc>
        <w:tc>
          <w:tcPr>
            <w:tcW w:w="4575" w:type="dxa"/>
            <w:tcMar>
              <w:top w:w="100" w:type="dxa"/>
              <w:left w:w="100" w:type="dxa"/>
              <w:bottom w:w="100" w:type="dxa"/>
              <w:right w:w="100" w:type="dxa"/>
            </w:tcMar>
          </w:tcPr>
          <w:p w14:paraId="10CF7151" w14:textId="77777777" w:rsidR="009E4375" w:rsidRDefault="00000000">
            <w:pPr>
              <w:shd w:val="clear" w:color="auto" w:fill="FFFFFF"/>
              <w:spacing w:before="0" w:after="160" w:line="276" w:lineRule="auto"/>
              <w:rPr>
                <w:rFonts w:ascii="Times New Roman" w:eastAsia="Times New Roman" w:hAnsi="Times New Roman" w:cs="Times New Roman"/>
                <w:b/>
                <w:bCs/>
              </w:rPr>
            </w:pPr>
            <w:r>
              <w:rPr>
                <w:rFonts w:ascii="Times New Roman" w:eastAsia="Times New Roman" w:hAnsi="Times New Roman" w:cs="Times New Roman"/>
                <w:b/>
                <w:bCs/>
              </w:rPr>
              <w:t>Asrama</w:t>
            </w:r>
          </w:p>
        </w:tc>
      </w:tr>
      <w:tr w:rsidR="009E4375" w14:paraId="10CF715A" w14:textId="77777777">
        <w:tc>
          <w:tcPr>
            <w:tcW w:w="885" w:type="dxa"/>
            <w:tcMar>
              <w:top w:w="100" w:type="dxa"/>
              <w:left w:w="100" w:type="dxa"/>
              <w:bottom w:w="100" w:type="dxa"/>
              <w:right w:w="100" w:type="dxa"/>
            </w:tcMar>
          </w:tcPr>
          <w:p w14:paraId="10CF7153"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54"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Did you live in a dorm as a child?</w:t>
            </w:r>
          </w:p>
          <w:p w14:paraId="10CF7155" w14:textId="77777777" w:rsidR="009E4375" w:rsidRDefault="00000000">
            <w:pPr>
              <w:numPr>
                <w:ilvl w:val="0"/>
                <w:numId w:val="10"/>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Yes </w:t>
            </w:r>
          </w:p>
          <w:p w14:paraId="10CF7156" w14:textId="77777777" w:rsidR="009E4375" w:rsidRDefault="00000000">
            <w:pPr>
              <w:numPr>
                <w:ilvl w:val="0"/>
                <w:numId w:val="10"/>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No (If no, proceed to Section B)</w:t>
            </w:r>
          </w:p>
        </w:tc>
        <w:tc>
          <w:tcPr>
            <w:tcW w:w="4575" w:type="dxa"/>
            <w:tcMar>
              <w:top w:w="100" w:type="dxa"/>
              <w:left w:w="100" w:type="dxa"/>
              <w:bottom w:w="100" w:type="dxa"/>
              <w:right w:w="100" w:type="dxa"/>
            </w:tcMar>
          </w:tcPr>
          <w:p w14:paraId="10CF7157"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Adakah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tinggal</w:t>
            </w:r>
            <w:proofErr w:type="spellEnd"/>
            <w:r>
              <w:rPr>
                <w:rFonts w:ascii="Times New Roman" w:eastAsia="Times New Roman" w:hAnsi="Times New Roman" w:cs="Times New Roman"/>
              </w:rPr>
              <w:t xml:space="preserve"> di asrama </w:t>
            </w:r>
            <w:proofErr w:type="spellStart"/>
            <w:r>
              <w:rPr>
                <w:rFonts w:ascii="Times New Roman" w:eastAsia="Times New Roman" w:hAnsi="Times New Roman" w:cs="Times New Roman"/>
              </w:rPr>
              <w:t>semasa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kecil</w:t>
            </w:r>
            <w:proofErr w:type="spellEnd"/>
            <w:r>
              <w:rPr>
                <w:rFonts w:ascii="Times New Roman" w:eastAsia="Times New Roman" w:hAnsi="Times New Roman" w:cs="Times New Roman"/>
              </w:rPr>
              <w:t>?</w:t>
            </w:r>
          </w:p>
          <w:p w14:paraId="10CF7158" w14:textId="77777777" w:rsidR="009E4375" w:rsidRDefault="00000000">
            <w:pPr>
              <w:numPr>
                <w:ilvl w:val="0"/>
                <w:numId w:val="2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Ya</w:t>
            </w:r>
          </w:p>
          <w:p w14:paraId="10CF7159" w14:textId="77777777" w:rsidR="009E4375" w:rsidRDefault="00000000">
            <w:pPr>
              <w:numPr>
                <w:ilvl w:val="0"/>
                <w:numId w:val="2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Tidak (Kalau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Bahagian</w:t>
            </w:r>
            <w:proofErr w:type="spellEnd"/>
            <w:r>
              <w:rPr>
                <w:rFonts w:ascii="Times New Roman" w:eastAsia="Times New Roman" w:hAnsi="Times New Roman" w:cs="Times New Roman"/>
              </w:rPr>
              <w:t xml:space="preserve"> B)</w:t>
            </w:r>
          </w:p>
        </w:tc>
      </w:tr>
      <w:tr w:rsidR="009E4375" w14:paraId="10CF7168" w14:textId="77777777">
        <w:tc>
          <w:tcPr>
            <w:tcW w:w="885" w:type="dxa"/>
            <w:tcMar>
              <w:top w:w="100" w:type="dxa"/>
              <w:left w:w="100" w:type="dxa"/>
              <w:bottom w:w="100" w:type="dxa"/>
              <w:right w:w="100" w:type="dxa"/>
            </w:tcMar>
          </w:tcPr>
          <w:p w14:paraId="10CF715B"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5C"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In your previous dormitory, what type of communication did you use </w:t>
            </w:r>
            <w:r>
              <w:rPr>
                <w:rFonts w:ascii="Times New Roman" w:eastAsia="Times New Roman" w:hAnsi="Times New Roman" w:cs="Times New Roman"/>
                <w:b/>
                <w:bCs/>
              </w:rPr>
              <w:t>most often</w:t>
            </w:r>
            <w:r>
              <w:rPr>
                <w:rFonts w:ascii="Times New Roman" w:eastAsia="Times New Roman" w:hAnsi="Times New Roman" w:cs="Times New Roman"/>
              </w:rPr>
              <w:t xml:space="preserve">? </w:t>
            </w:r>
          </w:p>
          <w:p w14:paraId="10CF715D" w14:textId="77777777" w:rsidR="009E4375" w:rsidRDefault="009E4375">
            <w:pPr>
              <w:widowControl w:val="0"/>
              <w:spacing w:before="0" w:after="0" w:line="276" w:lineRule="auto"/>
              <w:rPr>
                <w:rFonts w:ascii="Times New Roman" w:eastAsia="Times New Roman" w:hAnsi="Times New Roman" w:cs="Times New Roman"/>
              </w:rPr>
            </w:pPr>
          </w:p>
          <w:p w14:paraId="10CF715E"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5F"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60"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Both speaking and </w:t>
            </w:r>
            <w:proofErr w:type="gramStart"/>
            <w:r>
              <w:rPr>
                <w:rFonts w:ascii="Times New Roman" w:eastAsia="Times New Roman" w:hAnsi="Times New Roman" w:cs="Times New Roman"/>
              </w:rPr>
              <w:t>signing</w:t>
            </w:r>
            <w:proofErr w:type="gramEnd"/>
            <w:r>
              <w:rPr>
                <w:rFonts w:ascii="Times New Roman" w:eastAsia="Times New Roman" w:hAnsi="Times New Roman" w:cs="Times New Roman"/>
              </w:rPr>
              <w:t xml:space="preserve"> (Sim-Com)</w:t>
            </w:r>
          </w:p>
          <w:p w14:paraId="10CF7161"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Others: __________________</w:t>
            </w:r>
          </w:p>
        </w:tc>
        <w:tc>
          <w:tcPr>
            <w:tcW w:w="4575" w:type="dxa"/>
            <w:tcMar>
              <w:top w:w="100" w:type="dxa"/>
              <w:left w:w="100" w:type="dxa"/>
              <w:bottom w:w="100" w:type="dxa"/>
              <w:right w:w="100" w:type="dxa"/>
            </w:tcMar>
          </w:tcPr>
          <w:p w14:paraId="10CF7162" w14:textId="77777777" w:rsidR="009E4375" w:rsidRDefault="00000000">
            <w:pPr>
              <w:widowControl w:val="0"/>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Apakah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jenis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komunikasi</w:t>
            </w:r>
            <w:proofErr w:type="spellEnd"/>
            <w:r>
              <w:rPr>
                <w:rFonts w:ascii="Times New Roman" w:eastAsia="Times New Roman" w:hAnsi="Times New Roman" w:cs="Times New Roman"/>
              </w:rPr>
              <w:t xml:space="preserve"> yang </w:t>
            </w:r>
            <w:r>
              <w:rPr>
                <w:rFonts w:ascii="Times New Roman" w:eastAsia="Times New Roman" w:hAnsi="Times New Roman" w:cs="Times New Roman"/>
                <w:b/>
                <w:bCs/>
              </w:rPr>
              <w:t xml:space="preserve">paling </w:t>
            </w:r>
            <w:proofErr w:type="spellStart"/>
            <w:r>
              <w:rPr>
                <w:rFonts w:ascii="Times New Roman" w:eastAsia="Times New Roman" w:hAnsi="Times New Roman" w:cs="Times New Roman"/>
                <w:b/>
                <w:bCs/>
              </w:rPr>
              <w:t>kerap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gunakan</w:t>
            </w:r>
            <w:proofErr w:type="spellEnd"/>
            <w:r>
              <w:rPr>
                <w:rFonts w:ascii="Times New Roman" w:eastAsia="Times New Roman" w:hAnsi="Times New Roman" w:cs="Times New Roman"/>
              </w:rPr>
              <w:t xml:space="preserve"> di asrama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p>
          <w:p w14:paraId="10CF7163" w14:textId="77777777" w:rsidR="009E4375" w:rsidRDefault="009E4375">
            <w:pPr>
              <w:widowControl w:val="0"/>
              <w:spacing w:before="0" w:after="0" w:line="276" w:lineRule="auto"/>
              <w:rPr>
                <w:rFonts w:ascii="Times New Roman" w:eastAsia="Times New Roman" w:hAnsi="Times New Roman" w:cs="Times New Roman"/>
              </w:rPr>
            </w:pPr>
          </w:p>
          <w:p w14:paraId="10CF7164"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BIM</w:t>
            </w:r>
          </w:p>
          <w:p w14:paraId="10CF7165"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KTBM</w:t>
            </w:r>
          </w:p>
          <w:p w14:paraId="10CF7166"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Kedua</w:t>
            </w:r>
            <w:proofErr w:type="spellEnd"/>
            <w:r>
              <w:rPr>
                <w:rFonts w:ascii="Times New Roman" w:eastAsia="Times New Roman" w:hAnsi="Times New Roman" w:cs="Times New Roman"/>
              </w:rPr>
              <w:t xml:space="preserve">-dua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berisyarat</w:t>
            </w:r>
            <w:proofErr w:type="spellEnd"/>
          </w:p>
          <w:p w14:paraId="10CF7167"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 __________________</w:t>
            </w:r>
          </w:p>
        </w:tc>
      </w:tr>
      <w:tr w:rsidR="009E4375" w14:paraId="10CF7175" w14:textId="77777777">
        <w:tc>
          <w:tcPr>
            <w:tcW w:w="885" w:type="dxa"/>
            <w:tcMar>
              <w:top w:w="100" w:type="dxa"/>
              <w:left w:w="100" w:type="dxa"/>
              <w:bottom w:w="100" w:type="dxa"/>
              <w:right w:w="100" w:type="dxa"/>
            </w:tcMar>
          </w:tcPr>
          <w:p w14:paraId="10CF7169"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6A"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How satisfied were you with the way communication was happening in your previous dorm?</w:t>
            </w:r>
          </w:p>
          <w:p w14:paraId="10CF716B" w14:textId="77777777" w:rsidR="009E4375" w:rsidRDefault="009E4375">
            <w:pPr>
              <w:widowControl w:val="0"/>
              <w:spacing w:before="0" w:after="0" w:line="276" w:lineRule="auto"/>
              <w:rPr>
                <w:rFonts w:ascii="Times New Roman" w:eastAsia="Times New Roman" w:hAnsi="Times New Roman" w:cs="Times New Roman"/>
              </w:rPr>
            </w:pPr>
          </w:p>
          <w:p w14:paraId="10CF716C"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Very unsatisfied</w:t>
            </w:r>
          </w:p>
          <w:p w14:paraId="10CF716D"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Unsatisfied</w:t>
            </w:r>
          </w:p>
          <w:p w14:paraId="10CF716E" w14:textId="77777777" w:rsidR="009E4375" w:rsidRDefault="00000000">
            <w:pPr>
              <w:numPr>
                <w:ilvl w:val="0"/>
                <w:numId w:val="21"/>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Satisfied</w:t>
            </w:r>
          </w:p>
          <w:p w14:paraId="10CF716F" w14:textId="77777777" w:rsidR="009E4375" w:rsidRDefault="00000000">
            <w:pPr>
              <w:numPr>
                <w:ilvl w:val="0"/>
                <w:numId w:val="21"/>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Very Satisfied</w:t>
            </w:r>
          </w:p>
        </w:tc>
        <w:tc>
          <w:tcPr>
            <w:tcW w:w="4575" w:type="dxa"/>
            <w:tcMar>
              <w:top w:w="100" w:type="dxa"/>
              <w:left w:w="100" w:type="dxa"/>
              <w:bottom w:w="100" w:type="dxa"/>
              <w:right w:w="100" w:type="dxa"/>
            </w:tcMar>
          </w:tcPr>
          <w:p w14:paraId="10CF7170"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Sejauh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komunikasi</w:t>
            </w:r>
            <w:proofErr w:type="spellEnd"/>
            <w:r>
              <w:rPr>
                <w:rFonts w:ascii="Times New Roman" w:eastAsia="Times New Roman" w:hAnsi="Times New Roman" w:cs="Times New Roman"/>
              </w:rPr>
              <w:t xml:space="preserve"> di asrama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w:t>
            </w:r>
          </w:p>
          <w:p w14:paraId="10CF7171"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72"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73"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174" w14:textId="77777777" w:rsidR="009E4375" w:rsidRDefault="00000000">
            <w:pPr>
              <w:numPr>
                <w:ilvl w:val="0"/>
                <w:numId w:val="28"/>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tc>
      </w:tr>
      <w:tr w:rsidR="009E4375" w14:paraId="10CF7179" w14:textId="77777777">
        <w:tc>
          <w:tcPr>
            <w:tcW w:w="885" w:type="dxa"/>
            <w:tcMar>
              <w:top w:w="100" w:type="dxa"/>
              <w:left w:w="100" w:type="dxa"/>
              <w:bottom w:w="100" w:type="dxa"/>
              <w:right w:w="100" w:type="dxa"/>
            </w:tcMar>
          </w:tcPr>
          <w:p w14:paraId="10CF7176"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77" w14:textId="77777777" w:rsidR="009E4375" w:rsidRDefault="00000000">
            <w:pPr>
              <w:shd w:val="clear" w:color="auto" w:fill="FFFFFF"/>
              <w:spacing w:before="0" w:after="160" w:line="240" w:lineRule="auto"/>
              <w:rPr>
                <w:rFonts w:ascii="Times New Roman" w:eastAsia="Times New Roman" w:hAnsi="Times New Roman" w:cs="Times New Roman"/>
              </w:rPr>
            </w:pPr>
            <w:r>
              <w:rPr>
                <w:rFonts w:ascii="Times New Roman" w:eastAsia="Times New Roman" w:hAnsi="Times New Roman" w:cs="Times New Roman"/>
                <w:b/>
                <w:bCs/>
                <w:u w:val="single"/>
              </w:rPr>
              <w:t>Section 2</w:t>
            </w:r>
          </w:p>
        </w:tc>
        <w:tc>
          <w:tcPr>
            <w:tcW w:w="4575" w:type="dxa"/>
            <w:tcMar>
              <w:top w:w="100" w:type="dxa"/>
              <w:left w:w="100" w:type="dxa"/>
              <w:bottom w:w="100" w:type="dxa"/>
              <w:right w:w="100" w:type="dxa"/>
            </w:tcMar>
          </w:tcPr>
          <w:p w14:paraId="10CF7178" w14:textId="77777777" w:rsidR="009E4375" w:rsidRDefault="00000000">
            <w:pPr>
              <w:shd w:val="clear" w:color="auto" w:fill="FFFFFF"/>
              <w:spacing w:before="0" w:after="160" w:line="240" w:lineRule="auto"/>
              <w:rPr>
                <w:rFonts w:ascii="Times New Roman" w:eastAsia="Times New Roman" w:hAnsi="Times New Roman" w:cs="Times New Roman"/>
              </w:rPr>
            </w:pPr>
            <w:proofErr w:type="spellStart"/>
            <w:r>
              <w:rPr>
                <w:rFonts w:ascii="Times New Roman" w:eastAsia="Times New Roman" w:hAnsi="Times New Roman" w:cs="Times New Roman"/>
                <w:b/>
                <w:bCs/>
                <w:u w:val="single"/>
              </w:rPr>
              <w:t>Bahagian</w:t>
            </w:r>
            <w:proofErr w:type="spellEnd"/>
            <w:r>
              <w:rPr>
                <w:rFonts w:ascii="Times New Roman" w:eastAsia="Times New Roman" w:hAnsi="Times New Roman" w:cs="Times New Roman"/>
                <w:b/>
                <w:bCs/>
                <w:u w:val="single"/>
              </w:rPr>
              <w:t xml:space="preserve"> 2</w:t>
            </w:r>
          </w:p>
        </w:tc>
      </w:tr>
      <w:tr w:rsidR="009E4375" w14:paraId="10CF717D" w14:textId="77777777">
        <w:tc>
          <w:tcPr>
            <w:tcW w:w="885" w:type="dxa"/>
            <w:tcMar>
              <w:top w:w="100" w:type="dxa"/>
              <w:left w:w="100" w:type="dxa"/>
              <w:bottom w:w="100" w:type="dxa"/>
              <w:right w:w="100" w:type="dxa"/>
            </w:tcMar>
          </w:tcPr>
          <w:p w14:paraId="10CF717A" w14:textId="77777777" w:rsidR="009E4375" w:rsidRDefault="00000000">
            <w:pPr>
              <w:widowControl w:val="0"/>
              <w:spacing w:before="0"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Items</w:t>
            </w:r>
          </w:p>
        </w:tc>
        <w:tc>
          <w:tcPr>
            <w:tcW w:w="4590" w:type="dxa"/>
            <w:tcMar>
              <w:top w:w="100" w:type="dxa"/>
              <w:left w:w="100" w:type="dxa"/>
              <w:bottom w:w="100" w:type="dxa"/>
              <w:right w:w="100" w:type="dxa"/>
            </w:tcMar>
          </w:tcPr>
          <w:p w14:paraId="10CF717B" w14:textId="77777777" w:rsidR="009E4375" w:rsidRDefault="009E4375">
            <w:pPr>
              <w:shd w:val="clear" w:color="auto" w:fill="FFFFFF"/>
              <w:spacing w:before="0" w:after="160" w:line="240" w:lineRule="auto"/>
              <w:rPr>
                <w:rFonts w:ascii="Times New Roman" w:eastAsia="Times New Roman" w:hAnsi="Times New Roman" w:cs="Times New Roman"/>
                <w:b/>
                <w:bCs/>
                <w:u w:val="single"/>
              </w:rPr>
            </w:pPr>
          </w:p>
        </w:tc>
        <w:tc>
          <w:tcPr>
            <w:tcW w:w="4575" w:type="dxa"/>
            <w:tcMar>
              <w:top w:w="100" w:type="dxa"/>
              <w:left w:w="100" w:type="dxa"/>
              <w:bottom w:w="100" w:type="dxa"/>
              <w:right w:w="100" w:type="dxa"/>
            </w:tcMar>
          </w:tcPr>
          <w:p w14:paraId="10CF717C" w14:textId="77777777" w:rsidR="009E4375" w:rsidRDefault="009E4375">
            <w:pPr>
              <w:shd w:val="clear" w:color="auto" w:fill="FFFFFF"/>
              <w:spacing w:before="0" w:after="160" w:line="240" w:lineRule="auto"/>
              <w:rPr>
                <w:rFonts w:ascii="Times New Roman" w:eastAsia="Times New Roman" w:hAnsi="Times New Roman" w:cs="Times New Roman"/>
              </w:rPr>
            </w:pPr>
          </w:p>
        </w:tc>
      </w:tr>
      <w:tr w:rsidR="009E4375" w14:paraId="10CF7181" w14:textId="77777777">
        <w:tc>
          <w:tcPr>
            <w:tcW w:w="885" w:type="dxa"/>
            <w:tcMar>
              <w:top w:w="100" w:type="dxa"/>
              <w:left w:w="100" w:type="dxa"/>
              <w:bottom w:w="100" w:type="dxa"/>
              <w:right w:w="100" w:type="dxa"/>
            </w:tcMar>
          </w:tcPr>
          <w:p w14:paraId="10CF717E"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17F"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b/>
                <w:bCs/>
              </w:rPr>
              <w:t>Domain: Self-acceptance/advocacy</w:t>
            </w:r>
          </w:p>
        </w:tc>
        <w:tc>
          <w:tcPr>
            <w:tcW w:w="4575" w:type="dxa"/>
            <w:tcMar>
              <w:top w:w="100" w:type="dxa"/>
              <w:left w:w="100" w:type="dxa"/>
              <w:bottom w:w="100" w:type="dxa"/>
              <w:right w:w="100" w:type="dxa"/>
            </w:tcMar>
          </w:tcPr>
          <w:p w14:paraId="10CF7180"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b/>
                <w:bCs/>
              </w:rPr>
              <w:t xml:space="preserve">Domain: Penerimaan </w:t>
            </w:r>
            <w:proofErr w:type="spellStart"/>
            <w:r>
              <w:rPr>
                <w:rFonts w:ascii="Times New Roman" w:eastAsia="Times New Roman" w:hAnsi="Times New Roman" w:cs="Times New Roman"/>
                <w:b/>
                <w:bCs/>
              </w:rPr>
              <w:t>diri</w:t>
            </w:r>
            <w:proofErr w:type="spellEnd"/>
            <w:r>
              <w:rPr>
                <w:rFonts w:ascii="Times New Roman" w:eastAsia="Times New Roman" w:hAnsi="Times New Roman" w:cs="Times New Roman"/>
                <w:b/>
                <w:bCs/>
              </w:rPr>
              <w:t>/</w:t>
            </w:r>
            <w:proofErr w:type="spellStart"/>
            <w:r>
              <w:rPr>
                <w:rFonts w:ascii="Times New Roman" w:eastAsia="Times New Roman" w:hAnsi="Times New Roman" w:cs="Times New Roman"/>
                <w:b/>
                <w:bCs/>
              </w:rPr>
              <w:t>advokasi</w:t>
            </w:r>
            <w:proofErr w:type="spellEnd"/>
          </w:p>
        </w:tc>
      </w:tr>
      <w:tr w:rsidR="009E4375" w:rsidRPr="00603D09" w14:paraId="10CF718C" w14:textId="77777777">
        <w:tc>
          <w:tcPr>
            <w:tcW w:w="885" w:type="dxa"/>
            <w:tcMar>
              <w:top w:w="100" w:type="dxa"/>
              <w:left w:w="100" w:type="dxa"/>
              <w:bottom w:w="100" w:type="dxa"/>
              <w:right w:w="100" w:type="dxa"/>
            </w:tcMar>
          </w:tcPr>
          <w:p w14:paraId="10CF7182"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590" w:type="dxa"/>
            <w:tcMar>
              <w:top w:w="100" w:type="dxa"/>
              <w:left w:w="100" w:type="dxa"/>
              <w:bottom w:w="100" w:type="dxa"/>
              <w:right w:w="100" w:type="dxa"/>
            </w:tcMar>
          </w:tcPr>
          <w:p w14:paraId="10CF718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As a person who is deaf or hard of hearing, I feel my parents give me the same amount of independence as others my age.</w:t>
            </w:r>
          </w:p>
          <w:p w14:paraId="10CF7184"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85"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86"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87" w14:textId="77777777" w:rsidR="009E4375" w:rsidRDefault="009E4375">
            <w:pPr>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88"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ibu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kebebasan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berdikari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saksama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sebaya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w:t>
            </w:r>
          </w:p>
          <w:p w14:paraId="10CF7189"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8A"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(Sila bulatkan satu nombor)</w:t>
            </w:r>
          </w:p>
          <w:p w14:paraId="10CF718B"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198" w14:textId="77777777">
        <w:tc>
          <w:tcPr>
            <w:tcW w:w="885" w:type="dxa"/>
            <w:tcMar>
              <w:top w:w="100" w:type="dxa"/>
              <w:left w:w="100" w:type="dxa"/>
              <w:bottom w:w="100" w:type="dxa"/>
              <w:right w:w="100" w:type="dxa"/>
            </w:tcMar>
          </w:tcPr>
          <w:p w14:paraId="10CF718D"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590" w:type="dxa"/>
            <w:tcMar>
              <w:top w:w="100" w:type="dxa"/>
              <w:left w:w="100" w:type="dxa"/>
              <w:bottom w:w="100" w:type="dxa"/>
              <w:right w:w="100" w:type="dxa"/>
            </w:tcMar>
          </w:tcPr>
          <w:p w14:paraId="10CF718E"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I feel included in the things my family does together.</w:t>
            </w:r>
          </w:p>
          <w:p w14:paraId="10CF718F"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90"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91"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92" w14:textId="77777777" w:rsidR="009E4375" w:rsidRDefault="00000000">
            <w:pPr>
              <w:widowControl w:val="0"/>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93" w14:textId="77777777" w:rsidR="009E4375" w:rsidRDefault="009E4375">
            <w:pPr>
              <w:widowControl w:val="0"/>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94" w14:textId="77777777" w:rsidR="009E4375" w:rsidRPr="00D43BCC" w:rsidRDefault="00000000">
            <w:pPr>
              <w:widowControl w:val="0"/>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Saya rasa terlibat dalam pengurusan hal ehwal yang keluarga saya.</w:t>
            </w:r>
          </w:p>
          <w:p w14:paraId="10CF7195" w14:textId="77777777" w:rsidR="009E4375" w:rsidRPr="00D43BCC" w:rsidRDefault="009E4375">
            <w:pPr>
              <w:widowControl w:val="0"/>
              <w:spacing w:before="0" w:after="0" w:line="276" w:lineRule="auto"/>
              <w:rPr>
                <w:rFonts w:ascii="Times New Roman" w:eastAsia="Times New Roman" w:hAnsi="Times New Roman" w:cs="Times New Roman"/>
                <w:lang w:val="sv-SE"/>
              </w:rPr>
            </w:pPr>
          </w:p>
          <w:p w14:paraId="10CF7196"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(Sila bulatkan satu nombor)</w:t>
            </w:r>
          </w:p>
          <w:p w14:paraId="10CF7197"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1A4" w14:textId="77777777">
        <w:tc>
          <w:tcPr>
            <w:tcW w:w="885" w:type="dxa"/>
            <w:tcMar>
              <w:top w:w="100" w:type="dxa"/>
              <w:left w:w="100" w:type="dxa"/>
              <w:bottom w:w="100" w:type="dxa"/>
              <w:right w:w="100" w:type="dxa"/>
            </w:tcMar>
          </w:tcPr>
          <w:p w14:paraId="10CF7199"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590" w:type="dxa"/>
            <w:tcMar>
              <w:top w:w="100" w:type="dxa"/>
              <w:left w:w="100" w:type="dxa"/>
              <w:bottom w:w="100" w:type="dxa"/>
              <w:right w:w="100" w:type="dxa"/>
            </w:tcMar>
          </w:tcPr>
          <w:p w14:paraId="10CF719A"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okay telling my teacher about my needs.</w:t>
            </w:r>
          </w:p>
          <w:p w14:paraId="10CF719B"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9C"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9D"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9E"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9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okay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memberitahu</w:t>
            </w:r>
            <w:proofErr w:type="spellEnd"/>
            <w:r>
              <w:rPr>
                <w:rFonts w:ascii="Times New Roman" w:eastAsia="Times New Roman" w:hAnsi="Times New Roman" w:cs="Times New Roman"/>
              </w:rPr>
              <w:t xml:space="preserve"> guru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tentang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keperluan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w:t>
            </w:r>
          </w:p>
          <w:p w14:paraId="10CF71A0"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A1"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A2"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1A3"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1B0" w14:textId="77777777">
        <w:tc>
          <w:tcPr>
            <w:tcW w:w="885" w:type="dxa"/>
            <w:tcMar>
              <w:top w:w="100" w:type="dxa"/>
              <w:left w:w="100" w:type="dxa"/>
              <w:bottom w:w="100" w:type="dxa"/>
              <w:right w:w="100" w:type="dxa"/>
            </w:tcMar>
          </w:tcPr>
          <w:p w14:paraId="10CF71A5"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4590" w:type="dxa"/>
            <w:tcMar>
              <w:top w:w="100" w:type="dxa"/>
              <w:left w:w="100" w:type="dxa"/>
              <w:bottom w:w="100" w:type="dxa"/>
              <w:right w:w="100" w:type="dxa"/>
            </w:tcMar>
          </w:tcPr>
          <w:p w14:paraId="10CF71A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I have enough technology, such as WhatsApp, Telegram, Instagram, FB Messenger, videophones, texting, and/or the internet, to communicate as a person who is deaf or hard of hearing.</w:t>
            </w:r>
          </w:p>
          <w:p w14:paraId="10CF71A7"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A8" w14:textId="77777777" w:rsidR="009E4375" w:rsidRDefault="00000000">
            <w:pPr>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A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AA"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A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mempunyai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teknologi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mantap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seperti</w:t>
            </w:r>
            <w:proofErr w:type="spellEnd"/>
            <w:r>
              <w:rPr>
                <w:rFonts w:ascii="Times New Roman" w:eastAsia="Times New Roman" w:hAnsi="Times New Roman" w:cs="Times New Roman"/>
              </w:rPr>
              <w:t xml:space="preserve"> WhatsApp, Telegram, Instagram, FB Messenger, </w:t>
            </w:r>
            <w:proofErr w:type="spellStart"/>
            <w:r>
              <w:rPr>
                <w:rFonts w:ascii="Times New Roman" w:eastAsia="Times New Roman" w:hAnsi="Times New Roman" w:cs="Times New Roman"/>
              </w:rPr>
              <w:t>telefon</w:t>
            </w:r>
            <w:proofErr w:type="spellEnd"/>
            <w:r>
              <w:rPr>
                <w:rFonts w:ascii="Times New Roman" w:eastAsia="Times New Roman" w:hAnsi="Times New Roman" w:cs="Times New Roman"/>
              </w:rPr>
              <w:t xml:space="preserve"> video, </w:t>
            </w:r>
            <w:proofErr w:type="spellStart"/>
            <w:r>
              <w:rPr>
                <w:rFonts w:ascii="Times New Roman" w:eastAsia="Times New Roman" w:hAnsi="Times New Roman" w:cs="Times New Roman"/>
              </w:rPr>
              <w:t>teks</w:t>
            </w:r>
            <w:proofErr w:type="spellEnd"/>
            <w:r>
              <w:rPr>
                <w:rFonts w:ascii="Times New Roman" w:eastAsia="Times New Roman" w:hAnsi="Times New Roman" w:cs="Times New Roman"/>
              </w:rPr>
              <w:t xml:space="preserve"> dan/</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internet,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berkomunikasi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orang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1AC"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AD"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AE"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1AF"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1BB" w14:textId="77777777">
        <w:tc>
          <w:tcPr>
            <w:tcW w:w="885" w:type="dxa"/>
            <w:tcMar>
              <w:top w:w="100" w:type="dxa"/>
              <w:left w:w="100" w:type="dxa"/>
              <w:bottom w:w="100" w:type="dxa"/>
              <w:right w:w="100" w:type="dxa"/>
            </w:tcMar>
          </w:tcPr>
          <w:p w14:paraId="10CF71B1"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590" w:type="dxa"/>
            <w:tcMar>
              <w:top w:w="100" w:type="dxa"/>
              <w:left w:w="100" w:type="dxa"/>
              <w:bottom w:w="100" w:type="dxa"/>
              <w:right w:w="100" w:type="dxa"/>
            </w:tcMar>
          </w:tcPr>
          <w:p w14:paraId="10CF71B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okay explaining to others that I am deaf or hard of hearing.</w:t>
            </w:r>
          </w:p>
          <w:p w14:paraId="10CF71B3"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B4"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B5"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B6"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B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okay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menerangkan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kepada</w:t>
            </w:r>
            <w:proofErr w:type="spellEnd"/>
            <w:r>
              <w:rPr>
                <w:rFonts w:ascii="Times New Roman" w:eastAsia="Times New Roman" w:hAnsi="Times New Roman" w:cs="Times New Roman"/>
              </w:rPr>
              <w:t xml:space="preserve"> orang lain </w:t>
            </w:r>
            <w:proofErr w:type="spellStart"/>
            <w:r>
              <w:rPr>
                <w:rFonts w:ascii="Times New Roman" w:eastAsia="Times New Roman" w:hAnsi="Times New Roman" w:cs="Times New Roman"/>
              </w:rPr>
              <w:t>bahawa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1B8"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B9"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BA"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1C7" w14:textId="77777777">
        <w:tc>
          <w:tcPr>
            <w:tcW w:w="885" w:type="dxa"/>
            <w:tcMar>
              <w:top w:w="100" w:type="dxa"/>
              <w:left w:w="100" w:type="dxa"/>
              <w:bottom w:w="100" w:type="dxa"/>
              <w:right w:w="100" w:type="dxa"/>
            </w:tcMar>
          </w:tcPr>
          <w:p w14:paraId="10CF71BC"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590" w:type="dxa"/>
            <w:tcMar>
              <w:top w:w="100" w:type="dxa"/>
              <w:left w:w="100" w:type="dxa"/>
              <w:bottom w:w="100" w:type="dxa"/>
              <w:right w:w="100" w:type="dxa"/>
            </w:tcMar>
          </w:tcPr>
          <w:p w14:paraId="10CF71BD"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As a person who is deaf or hard of hearing, I feel okay asking for help when I need it.</w:t>
            </w:r>
          </w:p>
          <w:p w14:paraId="10CF71BE"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BF"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C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C1"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C2"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C3"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berasa</w:t>
            </w:r>
            <w:proofErr w:type="spellEnd"/>
            <w:r>
              <w:rPr>
                <w:rFonts w:ascii="Times New Roman" w:eastAsia="Times New Roman" w:hAnsi="Times New Roman" w:cs="Times New Roman"/>
              </w:rPr>
              <w:t xml:space="preserve"> okay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bantuan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memerlukannya</w:t>
            </w:r>
            <w:proofErr w:type="spellEnd"/>
            <w:r>
              <w:rPr>
                <w:rFonts w:ascii="Times New Roman" w:eastAsia="Times New Roman" w:hAnsi="Times New Roman" w:cs="Times New Roman"/>
              </w:rPr>
              <w:t>.</w:t>
            </w:r>
          </w:p>
          <w:p w14:paraId="10CF71C4"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C5"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C6"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1D4" w14:textId="77777777">
        <w:tc>
          <w:tcPr>
            <w:tcW w:w="885" w:type="dxa"/>
            <w:tcMar>
              <w:top w:w="100" w:type="dxa"/>
              <w:left w:w="100" w:type="dxa"/>
              <w:bottom w:w="100" w:type="dxa"/>
              <w:right w:w="100" w:type="dxa"/>
            </w:tcMar>
          </w:tcPr>
          <w:p w14:paraId="10CF71C8"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590" w:type="dxa"/>
            <w:tcMar>
              <w:top w:w="100" w:type="dxa"/>
              <w:left w:w="100" w:type="dxa"/>
              <w:bottom w:w="100" w:type="dxa"/>
              <w:right w:w="100" w:type="dxa"/>
            </w:tcMar>
          </w:tcPr>
          <w:p w14:paraId="10CF71C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know how to stand up or speak up for myself as a person who is deaf or hard of hearing.</w:t>
            </w:r>
          </w:p>
          <w:p w14:paraId="10CF71C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CB"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C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CD"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CE"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C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w:t>
            </w:r>
            <w:proofErr w:type="spellStart"/>
            <w:r>
              <w:rPr>
                <w:rFonts w:ascii="Times New Roman" w:eastAsia="Times New Roman" w:hAnsi="Times New Roman" w:cs="Times New Roman"/>
              </w:rPr>
              <w:t>tahu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bagaimana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1D0"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D1"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D2"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1D3"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1E1" w14:textId="77777777">
        <w:tc>
          <w:tcPr>
            <w:tcW w:w="885" w:type="dxa"/>
            <w:tcMar>
              <w:top w:w="100" w:type="dxa"/>
              <w:left w:w="100" w:type="dxa"/>
              <w:bottom w:w="100" w:type="dxa"/>
              <w:right w:w="100" w:type="dxa"/>
            </w:tcMar>
          </w:tcPr>
          <w:p w14:paraId="10CF71D5"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590" w:type="dxa"/>
            <w:tcMar>
              <w:top w:w="100" w:type="dxa"/>
              <w:left w:w="100" w:type="dxa"/>
              <w:bottom w:w="100" w:type="dxa"/>
              <w:right w:w="100" w:type="dxa"/>
            </w:tcMar>
          </w:tcPr>
          <w:p w14:paraId="10CF71D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As a person who is deaf or hard of hearing, I feel okay asking for what I want in public places.</w:t>
            </w:r>
          </w:p>
          <w:p w14:paraId="10CF71D7"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D8"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D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DA"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DB"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DC"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rasa okay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meminta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perlukan</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tempat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awam</w:t>
            </w:r>
            <w:proofErr w:type="spellEnd"/>
            <w:r>
              <w:rPr>
                <w:rFonts w:ascii="Times New Roman" w:eastAsia="Times New Roman" w:hAnsi="Times New Roman" w:cs="Times New Roman"/>
              </w:rPr>
              <w:t>.</w:t>
            </w:r>
          </w:p>
          <w:p w14:paraId="10CF71DD"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DE"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DF"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1E0"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1ED" w14:textId="77777777">
        <w:tc>
          <w:tcPr>
            <w:tcW w:w="885" w:type="dxa"/>
            <w:tcMar>
              <w:top w:w="100" w:type="dxa"/>
              <w:left w:w="100" w:type="dxa"/>
              <w:bottom w:w="100" w:type="dxa"/>
              <w:right w:w="100" w:type="dxa"/>
            </w:tcMar>
          </w:tcPr>
          <w:p w14:paraId="10CF71E2"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590" w:type="dxa"/>
            <w:tcMar>
              <w:top w:w="100" w:type="dxa"/>
              <w:left w:w="100" w:type="dxa"/>
              <w:bottom w:w="100" w:type="dxa"/>
              <w:right w:w="100" w:type="dxa"/>
            </w:tcMar>
          </w:tcPr>
          <w:p w14:paraId="10CF71E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As a person who is deaf or hard of hearing, it is easy for me to start talking to people I do not know.</w:t>
            </w:r>
          </w:p>
          <w:p w14:paraId="10CF71E4"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E5"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E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E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E8"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E9"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mudah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orang yang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kenali</w:t>
            </w:r>
            <w:proofErr w:type="spellEnd"/>
            <w:r>
              <w:rPr>
                <w:rFonts w:ascii="Times New Roman" w:eastAsia="Times New Roman" w:hAnsi="Times New Roman" w:cs="Times New Roman"/>
              </w:rPr>
              <w:t>.</w:t>
            </w:r>
          </w:p>
          <w:p w14:paraId="10CF71E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EB"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EC"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1FA" w14:textId="77777777">
        <w:tc>
          <w:tcPr>
            <w:tcW w:w="885" w:type="dxa"/>
            <w:tcMar>
              <w:top w:w="100" w:type="dxa"/>
              <w:left w:w="100" w:type="dxa"/>
              <w:bottom w:w="100" w:type="dxa"/>
              <w:right w:w="100" w:type="dxa"/>
            </w:tcMar>
          </w:tcPr>
          <w:p w14:paraId="10CF71EE"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590" w:type="dxa"/>
            <w:tcMar>
              <w:top w:w="100" w:type="dxa"/>
              <w:left w:w="100" w:type="dxa"/>
              <w:bottom w:w="100" w:type="dxa"/>
              <w:right w:w="100" w:type="dxa"/>
            </w:tcMar>
          </w:tcPr>
          <w:p w14:paraId="10CF71E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As a person who is deaf or hard </w:t>
            </w:r>
            <w:proofErr w:type="gramStart"/>
            <w:r>
              <w:rPr>
                <w:rFonts w:ascii="Times New Roman" w:eastAsia="Times New Roman" w:hAnsi="Times New Roman" w:cs="Times New Roman"/>
              </w:rPr>
              <w:t>of hearing</w:t>
            </w:r>
            <w:proofErr w:type="gramEnd"/>
            <w:r>
              <w:rPr>
                <w:rFonts w:ascii="Times New Roman" w:eastAsia="Times New Roman" w:hAnsi="Times New Roman" w:cs="Times New Roman"/>
              </w:rPr>
              <w:t xml:space="preserve">, I am satisfied with the ways I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communicate.</w:t>
            </w:r>
          </w:p>
          <w:p w14:paraId="10CF71F0"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F1"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F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1F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1F4"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1F5"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sedia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berkomunikasi</w:t>
            </w:r>
            <w:proofErr w:type="spellEnd"/>
            <w:r>
              <w:rPr>
                <w:rFonts w:ascii="Times New Roman" w:eastAsia="Times New Roman" w:hAnsi="Times New Roman" w:cs="Times New Roman"/>
              </w:rPr>
              <w:t>.</w:t>
            </w:r>
          </w:p>
          <w:p w14:paraId="10CF71F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F7"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1F8"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1F9"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07" w14:textId="77777777">
        <w:tc>
          <w:tcPr>
            <w:tcW w:w="885" w:type="dxa"/>
            <w:tcMar>
              <w:top w:w="100" w:type="dxa"/>
              <w:left w:w="100" w:type="dxa"/>
              <w:bottom w:w="100" w:type="dxa"/>
              <w:right w:w="100" w:type="dxa"/>
            </w:tcMar>
          </w:tcPr>
          <w:p w14:paraId="10CF71FB"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590" w:type="dxa"/>
            <w:tcMar>
              <w:top w:w="100" w:type="dxa"/>
              <w:left w:w="100" w:type="dxa"/>
              <w:bottom w:w="100" w:type="dxa"/>
              <w:right w:w="100" w:type="dxa"/>
            </w:tcMar>
          </w:tcPr>
          <w:p w14:paraId="10CF71F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other youths are willing to help me when I need it as a person who is deaf or hard of hearing.</w:t>
            </w:r>
          </w:p>
          <w:p w14:paraId="10CF71FD"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FE" w14:textId="77777777" w:rsidR="009E4375" w:rsidRDefault="009E4375">
            <w:pPr>
              <w:shd w:val="clear" w:color="auto" w:fill="FFFFFF"/>
              <w:spacing w:before="0" w:after="0" w:line="276" w:lineRule="auto"/>
              <w:rPr>
                <w:rFonts w:ascii="Times New Roman" w:eastAsia="Times New Roman" w:hAnsi="Times New Roman" w:cs="Times New Roman"/>
              </w:rPr>
            </w:pPr>
          </w:p>
          <w:p w14:paraId="10CF71F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0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01"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02"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Saya rasa </w:t>
            </w:r>
            <w:proofErr w:type="spellStart"/>
            <w:r>
              <w:rPr>
                <w:rFonts w:ascii="Times New Roman" w:eastAsia="Times New Roman" w:hAnsi="Times New Roman" w:cs="Times New Roman"/>
              </w:rPr>
              <w:t>terdapat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belia</w:t>
            </w:r>
            <w:proofErr w:type="spellEnd"/>
            <w:r>
              <w:rPr>
                <w:rFonts w:ascii="Times New Roman" w:eastAsia="Times New Roman" w:hAnsi="Times New Roman" w:cs="Times New Roman"/>
              </w:rPr>
              <w:t xml:space="preserve"> lain yang </w:t>
            </w:r>
            <w:proofErr w:type="spellStart"/>
            <w:r>
              <w:rPr>
                <w:rFonts w:ascii="Times New Roman" w:eastAsia="Times New Roman" w:hAnsi="Times New Roman" w:cs="Times New Roman"/>
              </w:rPr>
              <w:t>sudi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w:t>
            </w:r>
          </w:p>
          <w:p w14:paraId="10CF7203"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04"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05"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06"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12" w14:textId="77777777">
        <w:tc>
          <w:tcPr>
            <w:tcW w:w="885" w:type="dxa"/>
            <w:tcMar>
              <w:top w:w="100" w:type="dxa"/>
              <w:left w:w="100" w:type="dxa"/>
              <w:bottom w:w="100" w:type="dxa"/>
              <w:right w:w="100" w:type="dxa"/>
            </w:tcMar>
          </w:tcPr>
          <w:p w14:paraId="10CF7208"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590" w:type="dxa"/>
            <w:tcMar>
              <w:top w:w="100" w:type="dxa"/>
              <w:left w:w="100" w:type="dxa"/>
              <w:bottom w:w="100" w:type="dxa"/>
              <w:right w:w="100" w:type="dxa"/>
            </w:tcMar>
          </w:tcPr>
          <w:p w14:paraId="10CF720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My previous teacher(s) helped me to communicate easier in the classroom as a person who is deaf or hard of hearing.</w:t>
            </w:r>
          </w:p>
          <w:p w14:paraId="10CF720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0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(Please circle one number) </w:t>
            </w:r>
          </w:p>
          <w:p w14:paraId="10CF720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0D"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0E"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lastRenderedPageBreak/>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guru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sebelum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membantu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berkomunikasi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mudah</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dalam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bilik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darjah</w:t>
            </w:r>
            <w:proofErr w:type="spellEnd"/>
            <w:r>
              <w:rPr>
                <w:rFonts w:ascii="Times New Roman" w:eastAsia="Times New Roman" w:hAnsi="Times New Roman" w:cs="Times New Roman"/>
              </w:rPr>
              <w:t>.</w:t>
            </w:r>
          </w:p>
          <w:p w14:paraId="10CF720F" w14:textId="77777777" w:rsidR="009E4375" w:rsidRDefault="009E4375">
            <w:pPr>
              <w:spacing w:before="0" w:after="0" w:line="276" w:lineRule="auto"/>
              <w:rPr>
                <w:rFonts w:ascii="Times New Roman" w:eastAsia="Times New Roman" w:hAnsi="Times New Roman" w:cs="Times New Roman"/>
              </w:rPr>
            </w:pPr>
          </w:p>
          <w:p w14:paraId="10CF7210"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11"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21E" w14:textId="77777777">
        <w:tc>
          <w:tcPr>
            <w:tcW w:w="885" w:type="dxa"/>
            <w:tcMar>
              <w:top w:w="100" w:type="dxa"/>
              <w:left w:w="100" w:type="dxa"/>
              <w:bottom w:w="100" w:type="dxa"/>
              <w:right w:w="100" w:type="dxa"/>
            </w:tcMar>
          </w:tcPr>
          <w:p w14:paraId="10CF7213"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590" w:type="dxa"/>
            <w:tcMar>
              <w:top w:w="100" w:type="dxa"/>
              <w:left w:w="100" w:type="dxa"/>
              <w:bottom w:w="100" w:type="dxa"/>
              <w:right w:w="100" w:type="dxa"/>
            </w:tcMar>
          </w:tcPr>
          <w:p w14:paraId="10CF7214"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As a person who is deaf or hard of hearing, I feel there are enough things to do with people other than my family.</w:t>
            </w:r>
          </w:p>
          <w:p w14:paraId="10CF7215"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1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1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18"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19"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1A"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rasa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urusan</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baik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orang </w:t>
            </w:r>
            <w:proofErr w:type="spellStart"/>
            <w:r>
              <w:rPr>
                <w:rFonts w:ascii="Times New Roman" w:eastAsia="Times New Roman" w:hAnsi="Times New Roman" w:cs="Times New Roman"/>
              </w:rPr>
              <w:t>selain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keluarga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w:t>
            </w:r>
          </w:p>
          <w:p w14:paraId="10CF721B"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1C"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1D"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229" w14:textId="77777777">
        <w:tc>
          <w:tcPr>
            <w:tcW w:w="885" w:type="dxa"/>
            <w:tcMar>
              <w:top w:w="100" w:type="dxa"/>
              <w:left w:w="100" w:type="dxa"/>
              <w:bottom w:w="100" w:type="dxa"/>
              <w:right w:w="100" w:type="dxa"/>
            </w:tcMar>
          </w:tcPr>
          <w:p w14:paraId="10CF721F"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590" w:type="dxa"/>
            <w:tcMar>
              <w:top w:w="100" w:type="dxa"/>
              <w:left w:w="100" w:type="dxa"/>
              <w:bottom w:w="100" w:type="dxa"/>
              <w:right w:w="100" w:type="dxa"/>
            </w:tcMar>
          </w:tcPr>
          <w:p w14:paraId="10CF722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As a person who is deaf or hard of hearing, I feel accepted by students at my school.</w:t>
            </w:r>
          </w:p>
          <w:p w14:paraId="10CF7221"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2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2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24"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25" w14:textId="77777777" w:rsidR="009E4375" w:rsidRDefault="00000000">
            <w:p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Sebagai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seorang</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rasa </w:t>
            </w:r>
            <w:proofErr w:type="spellStart"/>
            <w:r>
              <w:rPr>
                <w:rFonts w:ascii="Times New Roman" w:eastAsia="Times New Roman" w:hAnsi="Times New Roman" w:cs="Times New Roman"/>
              </w:rPr>
              <w:t>diterima</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pelajar</w:t>
            </w:r>
            <w:proofErr w:type="spellEnd"/>
            <w:r>
              <w:rPr>
                <w:rFonts w:ascii="Times New Roman" w:eastAsia="Times New Roman" w:hAnsi="Times New Roman" w:cs="Times New Roman"/>
              </w:rPr>
              <w:t xml:space="preserve"> di </w:t>
            </w: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w:t>
            </w:r>
          </w:p>
          <w:p w14:paraId="10CF722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27"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28"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tc>
      </w:tr>
      <w:tr w:rsidR="009E4375" w:rsidRPr="00603D09" w14:paraId="10CF722D" w14:textId="77777777">
        <w:tc>
          <w:tcPr>
            <w:tcW w:w="885" w:type="dxa"/>
            <w:tcMar>
              <w:top w:w="100" w:type="dxa"/>
              <w:left w:w="100" w:type="dxa"/>
              <w:bottom w:w="100" w:type="dxa"/>
              <w:right w:w="100" w:type="dxa"/>
            </w:tcMar>
          </w:tcPr>
          <w:p w14:paraId="10CF722A" w14:textId="77777777" w:rsidR="009E4375" w:rsidRPr="00D43BCC" w:rsidRDefault="009E4375">
            <w:pPr>
              <w:widowControl w:val="0"/>
              <w:spacing w:before="0" w:after="0" w:line="276" w:lineRule="auto"/>
              <w:jc w:val="center"/>
              <w:rPr>
                <w:rFonts w:ascii="Times New Roman" w:eastAsia="Times New Roman" w:hAnsi="Times New Roman" w:cs="Times New Roman"/>
                <w:lang w:val="sv-SE"/>
              </w:rPr>
            </w:pPr>
          </w:p>
        </w:tc>
        <w:tc>
          <w:tcPr>
            <w:tcW w:w="4590" w:type="dxa"/>
            <w:tcMar>
              <w:top w:w="100" w:type="dxa"/>
              <w:left w:w="100" w:type="dxa"/>
              <w:bottom w:w="100" w:type="dxa"/>
              <w:right w:w="100" w:type="dxa"/>
            </w:tcMar>
          </w:tcPr>
          <w:p w14:paraId="10CF722B" w14:textId="77777777" w:rsidR="009E4375" w:rsidRPr="00D43BCC" w:rsidRDefault="009E4375">
            <w:pPr>
              <w:widowControl w:val="0"/>
              <w:spacing w:before="0" w:after="0" w:line="276" w:lineRule="auto"/>
              <w:rPr>
                <w:rFonts w:ascii="Times New Roman" w:eastAsia="Times New Roman" w:hAnsi="Times New Roman" w:cs="Times New Roman"/>
                <w:lang w:val="sv-SE"/>
              </w:rPr>
            </w:pPr>
          </w:p>
        </w:tc>
        <w:tc>
          <w:tcPr>
            <w:tcW w:w="4575" w:type="dxa"/>
            <w:tcMar>
              <w:top w:w="100" w:type="dxa"/>
              <w:left w:w="100" w:type="dxa"/>
              <w:bottom w:w="100" w:type="dxa"/>
              <w:right w:w="100" w:type="dxa"/>
            </w:tcMar>
          </w:tcPr>
          <w:p w14:paraId="10CF722C" w14:textId="77777777" w:rsidR="009E4375" w:rsidRPr="00D43BCC" w:rsidRDefault="009E4375">
            <w:pPr>
              <w:widowControl w:val="0"/>
              <w:spacing w:before="0" w:after="0" w:line="276" w:lineRule="auto"/>
              <w:rPr>
                <w:rFonts w:ascii="Times New Roman" w:eastAsia="Times New Roman" w:hAnsi="Times New Roman" w:cs="Times New Roman"/>
                <w:lang w:val="sv-SE"/>
              </w:rPr>
            </w:pPr>
          </w:p>
        </w:tc>
      </w:tr>
      <w:tr w:rsidR="009E4375" w14:paraId="10CF7231" w14:textId="77777777">
        <w:tc>
          <w:tcPr>
            <w:tcW w:w="885" w:type="dxa"/>
            <w:tcMar>
              <w:top w:w="100" w:type="dxa"/>
              <w:left w:w="100" w:type="dxa"/>
              <w:bottom w:w="100" w:type="dxa"/>
              <w:right w:w="100" w:type="dxa"/>
            </w:tcMar>
          </w:tcPr>
          <w:p w14:paraId="10CF722E" w14:textId="77777777" w:rsidR="009E4375" w:rsidRPr="00D43BCC" w:rsidRDefault="009E4375">
            <w:pPr>
              <w:widowControl w:val="0"/>
              <w:spacing w:before="0" w:after="0" w:line="276" w:lineRule="auto"/>
              <w:jc w:val="center"/>
              <w:rPr>
                <w:rFonts w:ascii="Times New Roman" w:eastAsia="Times New Roman" w:hAnsi="Times New Roman" w:cs="Times New Roman"/>
                <w:lang w:val="sv-SE"/>
              </w:rPr>
            </w:pPr>
          </w:p>
        </w:tc>
        <w:tc>
          <w:tcPr>
            <w:tcW w:w="4590" w:type="dxa"/>
            <w:tcMar>
              <w:top w:w="100" w:type="dxa"/>
              <w:left w:w="100" w:type="dxa"/>
              <w:bottom w:w="100" w:type="dxa"/>
              <w:right w:w="100" w:type="dxa"/>
            </w:tcMar>
          </w:tcPr>
          <w:p w14:paraId="10CF722F"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b/>
                <w:bCs/>
              </w:rPr>
              <w:t>Domain: Perceived Stigma</w:t>
            </w:r>
          </w:p>
        </w:tc>
        <w:tc>
          <w:tcPr>
            <w:tcW w:w="4575" w:type="dxa"/>
            <w:tcMar>
              <w:top w:w="100" w:type="dxa"/>
              <w:left w:w="100" w:type="dxa"/>
              <w:bottom w:w="100" w:type="dxa"/>
              <w:right w:w="100" w:type="dxa"/>
            </w:tcMar>
          </w:tcPr>
          <w:p w14:paraId="10CF7230"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b/>
                <w:bCs/>
              </w:rPr>
              <w:t xml:space="preserve">Domain: </w:t>
            </w:r>
            <w:proofErr w:type="spellStart"/>
            <w:r>
              <w:rPr>
                <w:rFonts w:ascii="Times New Roman" w:eastAsia="Times New Roman" w:hAnsi="Times New Roman" w:cs="Times New Roman"/>
                <w:b/>
                <w:bCs/>
              </w:rPr>
              <w:t>Persepsi</w:t>
            </w:r>
            <w:proofErr w:type="spellEnd"/>
            <w:r>
              <w:rPr>
                <w:rFonts w:ascii="Times New Roman" w:eastAsia="Times New Roman" w:hAnsi="Times New Roman" w:cs="Times New Roman"/>
                <w:b/>
                <w:bCs/>
              </w:rPr>
              <w:t xml:space="preserve"> Stigma</w:t>
            </w:r>
          </w:p>
        </w:tc>
      </w:tr>
      <w:tr w:rsidR="009E4375" w:rsidRPr="00603D09" w14:paraId="10CF723E" w14:textId="77777777">
        <w:tc>
          <w:tcPr>
            <w:tcW w:w="885" w:type="dxa"/>
            <w:tcMar>
              <w:top w:w="100" w:type="dxa"/>
              <w:left w:w="100" w:type="dxa"/>
              <w:bottom w:w="100" w:type="dxa"/>
              <w:right w:w="100" w:type="dxa"/>
            </w:tcMar>
          </w:tcPr>
          <w:p w14:paraId="10CF7232"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590" w:type="dxa"/>
            <w:tcMar>
              <w:top w:w="100" w:type="dxa"/>
              <w:left w:w="100" w:type="dxa"/>
              <w:bottom w:w="100" w:type="dxa"/>
              <w:right w:w="100" w:type="dxa"/>
            </w:tcMar>
          </w:tcPr>
          <w:p w14:paraId="10CF723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 get upset when people do not understand what I am saying because I am deaf or hard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hearing.</w:t>
            </w:r>
          </w:p>
          <w:p w14:paraId="10CF7234"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35"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3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3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38"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3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w:t>
            </w:r>
            <w:proofErr w:type="spellStart"/>
            <w:r>
              <w:rPr>
                <w:rFonts w:ascii="Times New Roman" w:eastAsia="Times New Roman" w:hAnsi="Times New Roman" w:cs="Times New Roman"/>
              </w:rPr>
              <w:t>marah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w:t>
            </w:r>
            <w:proofErr w:type="spellEnd"/>
            <w:r>
              <w:rPr>
                <w:rFonts w:ascii="Times New Roman" w:eastAsia="Times New Roman" w:hAnsi="Times New Roman" w:cs="Times New Roman"/>
              </w:rPr>
              <w:t xml:space="preserve"> orang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memahami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katakan</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3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3B"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3C"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3D"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4A" w14:textId="77777777">
        <w:tc>
          <w:tcPr>
            <w:tcW w:w="885" w:type="dxa"/>
            <w:tcMar>
              <w:top w:w="100" w:type="dxa"/>
              <w:left w:w="100" w:type="dxa"/>
              <w:bottom w:w="100" w:type="dxa"/>
              <w:right w:w="100" w:type="dxa"/>
            </w:tcMar>
          </w:tcPr>
          <w:p w14:paraId="10CF723F"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590" w:type="dxa"/>
            <w:tcMar>
              <w:top w:w="100" w:type="dxa"/>
              <w:left w:w="100" w:type="dxa"/>
              <w:bottom w:w="100" w:type="dxa"/>
              <w:right w:w="100" w:type="dxa"/>
            </w:tcMar>
          </w:tcPr>
          <w:p w14:paraId="10CF724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like my parents protect me too much because I am deaf or hard of hearing.</w:t>
            </w:r>
          </w:p>
          <w:p w14:paraId="10CF7241"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4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4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NOT AT ALL 0 1 2 3 4 5 6 7 8 9 10 VERY MUCH)</w:t>
            </w:r>
          </w:p>
          <w:p w14:paraId="10CF7244"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45"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Saya rasa </w:t>
            </w:r>
            <w:proofErr w:type="spellStart"/>
            <w:r>
              <w:rPr>
                <w:rFonts w:ascii="Times New Roman" w:eastAsia="Times New Roman" w:hAnsi="Times New Roman" w:cs="Times New Roman"/>
              </w:rPr>
              <w:t>ibu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melindungi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mendengar</w:t>
            </w:r>
            <w:proofErr w:type="spellEnd"/>
            <w:r>
              <w:rPr>
                <w:rFonts w:ascii="Times New Roman" w:eastAsia="Times New Roman" w:hAnsi="Times New Roman" w:cs="Times New Roman"/>
              </w:rPr>
              <w:t>.</w:t>
            </w:r>
          </w:p>
          <w:p w14:paraId="10CF724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47"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lastRenderedPageBreak/>
              <w:t xml:space="preserve">(Sila bulatkan satu nombor) </w:t>
            </w:r>
          </w:p>
          <w:p w14:paraId="10CF7248"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49"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56" w14:textId="77777777">
        <w:tc>
          <w:tcPr>
            <w:tcW w:w="885" w:type="dxa"/>
            <w:tcMar>
              <w:top w:w="100" w:type="dxa"/>
              <w:left w:w="100" w:type="dxa"/>
              <w:bottom w:w="100" w:type="dxa"/>
              <w:right w:w="100" w:type="dxa"/>
            </w:tcMar>
          </w:tcPr>
          <w:p w14:paraId="10CF724B"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590" w:type="dxa"/>
            <w:tcMar>
              <w:top w:w="100" w:type="dxa"/>
              <w:left w:w="100" w:type="dxa"/>
              <w:bottom w:w="100" w:type="dxa"/>
              <w:right w:w="100" w:type="dxa"/>
            </w:tcMar>
          </w:tcPr>
          <w:p w14:paraId="10CF724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people who are hearing treat me badly because I am deaf or hard of hearing.</w:t>
            </w:r>
          </w:p>
          <w:p w14:paraId="10CF724D"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4E"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4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50"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51"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Saya merasakan orang yang mendengar melayan saya dengan teruk kerana saya pekak atau kurang mendengar.</w:t>
            </w:r>
          </w:p>
          <w:p w14:paraId="10CF7252"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p w14:paraId="10CF7253"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54"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55"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62" w14:textId="77777777">
        <w:tc>
          <w:tcPr>
            <w:tcW w:w="885" w:type="dxa"/>
            <w:tcMar>
              <w:top w:w="100" w:type="dxa"/>
              <w:left w:w="100" w:type="dxa"/>
              <w:bottom w:w="100" w:type="dxa"/>
              <w:right w:w="100" w:type="dxa"/>
            </w:tcMar>
          </w:tcPr>
          <w:p w14:paraId="10CF7257"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590" w:type="dxa"/>
            <w:tcMar>
              <w:top w:w="100" w:type="dxa"/>
              <w:left w:w="100" w:type="dxa"/>
              <w:bottom w:w="100" w:type="dxa"/>
              <w:right w:w="100" w:type="dxa"/>
            </w:tcMar>
          </w:tcPr>
          <w:p w14:paraId="10CF7258"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people think I am dumb because I am deaf or hard of hearing.</w:t>
            </w:r>
          </w:p>
          <w:p w14:paraId="10CF7259"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5A"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5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5C"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5D"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orang </w:t>
            </w:r>
            <w:proofErr w:type="spellStart"/>
            <w:r>
              <w:rPr>
                <w:rFonts w:ascii="Times New Roman" w:eastAsia="Times New Roman" w:hAnsi="Times New Roman" w:cs="Times New Roman"/>
              </w:rPr>
              <w:t>anggap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bodoh</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5E"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5F"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60"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61"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6E" w14:textId="77777777">
        <w:tc>
          <w:tcPr>
            <w:tcW w:w="885" w:type="dxa"/>
            <w:tcMar>
              <w:top w:w="100" w:type="dxa"/>
              <w:left w:w="100" w:type="dxa"/>
              <w:bottom w:w="100" w:type="dxa"/>
              <w:right w:w="100" w:type="dxa"/>
            </w:tcMar>
          </w:tcPr>
          <w:p w14:paraId="10CF7263"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590" w:type="dxa"/>
            <w:tcMar>
              <w:top w:w="100" w:type="dxa"/>
              <w:left w:w="100" w:type="dxa"/>
              <w:bottom w:w="100" w:type="dxa"/>
              <w:right w:w="100" w:type="dxa"/>
            </w:tcMar>
          </w:tcPr>
          <w:p w14:paraId="10CF7264"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people bully me because I am deaf or hard of hearing.</w:t>
            </w:r>
          </w:p>
          <w:p w14:paraId="10CF7265"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6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6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68"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6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orang </w:t>
            </w:r>
            <w:proofErr w:type="spellStart"/>
            <w:r>
              <w:rPr>
                <w:rFonts w:ascii="Times New Roman" w:eastAsia="Times New Roman" w:hAnsi="Times New Roman" w:cs="Times New Roman"/>
              </w:rPr>
              <w:t>membuli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6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6B"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6C"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6D"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7A" w14:textId="77777777">
        <w:tc>
          <w:tcPr>
            <w:tcW w:w="885" w:type="dxa"/>
            <w:tcMar>
              <w:top w:w="100" w:type="dxa"/>
              <w:left w:w="100" w:type="dxa"/>
              <w:bottom w:w="100" w:type="dxa"/>
              <w:right w:w="100" w:type="dxa"/>
            </w:tcMar>
          </w:tcPr>
          <w:p w14:paraId="10CF726F"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590" w:type="dxa"/>
            <w:tcMar>
              <w:top w:w="100" w:type="dxa"/>
              <w:left w:w="100" w:type="dxa"/>
              <w:bottom w:w="100" w:type="dxa"/>
              <w:right w:w="100" w:type="dxa"/>
            </w:tcMar>
          </w:tcPr>
          <w:p w14:paraId="10CF727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people make fun of me because I am deaf or hard of hearing.</w:t>
            </w:r>
          </w:p>
          <w:p w14:paraId="10CF7271"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7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7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74"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75"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orang </w:t>
            </w:r>
            <w:proofErr w:type="spellStart"/>
            <w:r>
              <w:rPr>
                <w:rFonts w:ascii="Times New Roman" w:eastAsia="Times New Roman" w:hAnsi="Times New Roman" w:cs="Times New Roman"/>
              </w:rPr>
              <w:t>mengejek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7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77"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78"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79"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86" w14:textId="77777777">
        <w:tc>
          <w:tcPr>
            <w:tcW w:w="885" w:type="dxa"/>
            <w:tcMar>
              <w:top w:w="100" w:type="dxa"/>
              <w:left w:w="100" w:type="dxa"/>
              <w:bottom w:w="100" w:type="dxa"/>
              <w:right w:w="100" w:type="dxa"/>
            </w:tcMar>
          </w:tcPr>
          <w:p w14:paraId="10CF727B"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590" w:type="dxa"/>
            <w:tcMar>
              <w:top w:w="100" w:type="dxa"/>
              <w:left w:w="100" w:type="dxa"/>
              <w:bottom w:w="100" w:type="dxa"/>
              <w:right w:w="100" w:type="dxa"/>
            </w:tcMar>
          </w:tcPr>
          <w:p w14:paraId="10CF727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 feel embarrassed when people stare at me because I am deaf or hard </w:t>
            </w:r>
            <w:proofErr w:type="gramStart"/>
            <w:r>
              <w:rPr>
                <w:rFonts w:ascii="Times New Roman" w:eastAsia="Times New Roman" w:hAnsi="Times New Roman" w:cs="Times New Roman"/>
              </w:rPr>
              <w:t>of hearing</w:t>
            </w:r>
            <w:proofErr w:type="gramEnd"/>
            <w:r>
              <w:rPr>
                <w:rFonts w:ascii="Times New Roman" w:eastAsia="Times New Roman" w:hAnsi="Times New Roman" w:cs="Times New Roman"/>
              </w:rPr>
              <w:t>.</w:t>
            </w:r>
          </w:p>
          <w:p w14:paraId="10CF727D"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7E"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7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NOT AT ALL 0 1 2 3 4 5 6 7 8 9 10 VERY MUCH)</w:t>
            </w:r>
          </w:p>
          <w:p w14:paraId="10CF7280"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81"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Saya </w:t>
            </w:r>
            <w:proofErr w:type="spellStart"/>
            <w:r>
              <w:rPr>
                <w:rFonts w:ascii="Times New Roman" w:eastAsia="Times New Roman" w:hAnsi="Times New Roman" w:cs="Times New Roman"/>
              </w:rPr>
              <w:t>berasa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orang </w:t>
            </w:r>
            <w:proofErr w:type="spellStart"/>
            <w:r>
              <w:rPr>
                <w:rFonts w:ascii="Times New Roman" w:eastAsia="Times New Roman" w:hAnsi="Times New Roman" w:cs="Times New Roman"/>
              </w:rPr>
              <w:t>merenung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82"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83"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84"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lastRenderedPageBreak/>
              <w:t>TIADA 0 1 2 3 4 5 6 7 8 9 10 BANYAK)</w:t>
            </w:r>
          </w:p>
          <w:p w14:paraId="10CF7285"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92" w14:textId="77777777">
        <w:tc>
          <w:tcPr>
            <w:tcW w:w="885" w:type="dxa"/>
            <w:tcMar>
              <w:top w:w="100" w:type="dxa"/>
              <w:left w:w="100" w:type="dxa"/>
              <w:bottom w:w="100" w:type="dxa"/>
              <w:right w:w="100" w:type="dxa"/>
            </w:tcMar>
          </w:tcPr>
          <w:p w14:paraId="10CF7287"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590" w:type="dxa"/>
            <w:tcMar>
              <w:top w:w="100" w:type="dxa"/>
              <w:left w:w="100" w:type="dxa"/>
              <w:bottom w:w="100" w:type="dxa"/>
              <w:right w:w="100" w:type="dxa"/>
            </w:tcMar>
          </w:tcPr>
          <w:p w14:paraId="10CF7288"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 feel embarrassed to ask people to repeat themselves because I am deaf or hard </w:t>
            </w:r>
            <w:proofErr w:type="gramStart"/>
            <w:r>
              <w:rPr>
                <w:rFonts w:ascii="Times New Roman" w:eastAsia="Times New Roman" w:hAnsi="Times New Roman" w:cs="Times New Roman"/>
              </w:rPr>
              <w:t>of hearing</w:t>
            </w:r>
            <w:proofErr w:type="gramEnd"/>
            <w:r>
              <w:rPr>
                <w:rFonts w:ascii="Times New Roman" w:eastAsia="Times New Roman" w:hAnsi="Times New Roman" w:cs="Times New Roman"/>
              </w:rPr>
              <w:t>.</w:t>
            </w:r>
          </w:p>
          <w:p w14:paraId="10CF7289"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8A"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8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8C"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8D"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w:t>
            </w:r>
            <w:proofErr w:type="spellStart"/>
            <w:r>
              <w:rPr>
                <w:rFonts w:ascii="Times New Roman" w:eastAsia="Times New Roman" w:hAnsi="Times New Roman" w:cs="Times New Roman"/>
              </w:rPr>
              <w:t>berasa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meminta</w:t>
            </w:r>
            <w:proofErr w:type="spellEnd"/>
            <w:r>
              <w:rPr>
                <w:rFonts w:ascii="Times New Roman" w:eastAsia="Times New Roman" w:hAnsi="Times New Roman" w:cs="Times New Roman"/>
              </w:rPr>
              <w:t xml:space="preserve"> orang </w:t>
            </w:r>
            <w:proofErr w:type="spellStart"/>
            <w:r>
              <w:rPr>
                <w:rFonts w:ascii="Times New Roman" w:eastAsia="Times New Roman" w:hAnsi="Times New Roman" w:cs="Times New Roman"/>
              </w:rPr>
              <w:t>ramai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mengulangi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mereka</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sukar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mendengar</w:t>
            </w:r>
            <w:proofErr w:type="spellEnd"/>
            <w:r>
              <w:rPr>
                <w:rFonts w:ascii="Times New Roman" w:eastAsia="Times New Roman" w:hAnsi="Times New Roman" w:cs="Times New Roman"/>
              </w:rPr>
              <w:t>.</w:t>
            </w:r>
          </w:p>
          <w:p w14:paraId="10CF728E"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8F"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90"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91"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96" w14:textId="77777777">
        <w:tc>
          <w:tcPr>
            <w:tcW w:w="885" w:type="dxa"/>
            <w:tcMar>
              <w:top w:w="100" w:type="dxa"/>
              <w:left w:w="100" w:type="dxa"/>
              <w:bottom w:w="100" w:type="dxa"/>
              <w:right w:w="100" w:type="dxa"/>
            </w:tcMar>
          </w:tcPr>
          <w:p w14:paraId="10CF7293" w14:textId="77777777" w:rsidR="009E4375" w:rsidRPr="00D43BCC" w:rsidRDefault="009E4375">
            <w:pPr>
              <w:widowControl w:val="0"/>
              <w:spacing w:before="0" w:after="0" w:line="276" w:lineRule="auto"/>
              <w:jc w:val="center"/>
              <w:rPr>
                <w:rFonts w:ascii="Times New Roman" w:eastAsia="Times New Roman" w:hAnsi="Times New Roman" w:cs="Times New Roman"/>
                <w:lang w:val="sv-SE"/>
              </w:rPr>
            </w:pPr>
          </w:p>
        </w:tc>
        <w:tc>
          <w:tcPr>
            <w:tcW w:w="4590" w:type="dxa"/>
            <w:tcMar>
              <w:top w:w="100" w:type="dxa"/>
              <w:left w:w="100" w:type="dxa"/>
              <w:bottom w:w="100" w:type="dxa"/>
              <w:right w:w="100" w:type="dxa"/>
            </w:tcMar>
          </w:tcPr>
          <w:p w14:paraId="10CF7294" w14:textId="77777777" w:rsidR="009E4375" w:rsidRPr="00D43BCC" w:rsidRDefault="009E4375">
            <w:pPr>
              <w:widowControl w:val="0"/>
              <w:spacing w:before="0" w:after="0" w:line="276" w:lineRule="auto"/>
              <w:rPr>
                <w:rFonts w:ascii="Times New Roman" w:eastAsia="Times New Roman" w:hAnsi="Times New Roman" w:cs="Times New Roman"/>
                <w:lang w:val="sv-SE"/>
              </w:rPr>
            </w:pPr>
          </w:p>
        </w:tc>
        <w:tc>
          <w:tcPr>
            <w:tcW w:w="4575" w:type="dxa"/>
            <w:tcMar>
              <w:top w:w="100" w:type="dxa"/>
              <w:left w:w="100" w:type="dxa"/>
              <w:bottom w:w="100" w:type="dxa"/>
              <w:right w:w="100" w:type="dxa"/>
            </w:tcMar>
          </w:tcPr>
          <w:p w14:paraId="10CF7295" w14:textId="77777777" w:rsidR="009E4375" w:rsidRPr="00D43BCC" w:rsidRDefault="009E4375">
            <w:pPr>
              <w:widowControl w:val="0"/>
              <w:spacing w:before="0" w:after="0" w:line="276" w:lineRule="auto"/>
              <w:rPr>
                <w:rFonts w:ascii="Times New Roman" w:eastAsia="Times New Roman" w:hAnsi="Times New Roman" w:cs="Times New Roman"/>
                <w:lang w:val="sv-SE"/>
              </w:rPr>
            </w:pPr>
          </w:p>
        </w:tc>
      </w:tr>
      <w:tr w:rsidR="009E4375" w14:paraId="10CF729A" w14:textId="77777777">
        <w:tc>
          <w:tcPr>
            <w:tcW w:w="885" w:type="dxa"/>
            <w:tcMar>
              <w:top w:w="100" w:type="dxa"/>
              <w:left w:w="100" w:type="dxa"/>
              <w:bottom w:w="100" w:type="dxa"/>
              <w:right w:w="100" w:type="dxa"/>
            </w:tcMar>
          </w:tcPr>
          <w:p w14:paraId="10CF7297" w14:textId="77777777" w:rsidR="009E4375" w:rsidRPr="00D43BCC" w:rsidRDefault="009E4375">
            <w:pPr>
              <w:widowControl w:val="0"/>
              <w:spacing w:before="0" w:after="0" w:line="276" w:lineRule="auto"/>
              <w:jc w:val="center"/>
              <w:rPr>
                <w:rFonts w:ascii="Times New Roman" w:eastAsia="Times New Roman" w:hAnsi="Times New Roman" w:cs="Times New Roman"/>
                <w:lang w:val="sv-SE"/>
              </w:rPr>
            </w:pPr>
          </w:p>
        </w:tc>
        <w:tc>
          <w:tcPr>
            <w:tcW w:w="4590" w:type="dxa"/>
            <w:tcMar>
              <w:top w:w="100" w:type="dxa"/>
              <w:left w:w="100" w:type="dxa"/>
              <w:bottom w:w="100" w:type="dxa"/>
              <w:right w:w="100" w:type="dxa"/>
            </w:tcMar>
          </w:tcPr>
          <w:p w14:paraId="10CF7298"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b/>
                <w:bCs/>
              </w:rPr>
              <w:t>Domain: Participation</w:t>
            </w:r>
          </w:p>
        </w:tc>
        <w:tc>
          <w:tcPr>
            <w:tcW w:w="4575" w:type="dxa"/>
            <w:tcMar>
              <w:top w:w="100" w:type="dxa"/>
              <w:left w:w="100" w:type="dxa"/>
              <w:bottom w:w="100" w:type="dxa"/>
              <w:right w:w="100" w:type="dxa"/>
            </w:tcMar>
          </w:tcPr>
          <w:p w14:paraId="10CF7299"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b/>
                <w:bCs/>
              </w:rPr>
              <w:t xml:space="preserve">Domain: </w:t>
            </w:r>
            <w:proofErr w:type="spellStart"/>
            <w:r>
              <w:rPr>
                <w:rFonts w:ascii="Times New Roman" w:eastAsia="Times New Roman" w:hAnsi="Times New Roman" w:cs="Times New Roman"/>
                <w:b/>
                <w:bCs/>
              </w:rPr>
              <w:t>Penyertaan</w:t>
            </w:r>
            <w:proofErr w:type="spellEnd"/>
          </w:p>
        </w:tc>
      </w:tr>
      <w:tr w:rsidR="009E4375" w:rsidRPr="00603D09" w14:paraId="10CF72A6" w14:textId="77777777">
        <w:tc>
          <w:tcPr>
            <w:tcW w:w="885" w:type="dxa"/>
            <w:tcMar>
              <w:top w:w="100" w:type="dxa"/>
              <w:left w:w="100" w:type="dxa"/>
              <w:bottom w:w="100" w:type="dxa"/>
              <w:right w:w="100" w:type="dxa"/>
            </w:tcMar>
          </w:tcPr>
          <w:p w14:paraId="10CF729B"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590" w:type="dxa"/>
            <w:tcMar>
              <w:top w:w="100" w:type="dxa"/>
              <w:left w:w="100" w:type="dxa"/>
              <w:bottom w:w="100" w:type="dxa"/>
              <w:right w:w="100" w:type="dxa"/>
            </w:tcMar>
          </w:tcPr>
          <w:p w14:paraId="10CF729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Because I am deaf or hard of hearing, I feel left out of family conversations.</w:t>
            </w:r>
          </w:p>
          <w:p w14:paraId="10CF729D"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9E"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9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A0"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A1"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Saya rasa terpinggir daripada perbualan keluarga kerana saya pekak atau kurang pendengaran.</w:t>
            </w:r>
          </w:p>
          <w:p w14:paraId="10CF72A2"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p w14:paraId="10CF72A3"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A4"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A5"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B2" w14:textId="77777777">
        <w:tc>
          <w:tcPr>
            <w:tcW w:w="885" w:type="dxa"/>
            <w:tcMar>
              <w:top w:w="100" w:type="dxa"/>
              <w:left w:w="100" w:type="dxa"/>
              <w:bottom w:w="100" w:type="dxa"/>
              <w:right w:w="100" w:type="dxa"/>
            </w:tcMar>
          </w:tcPr>
          <w:p w14:paraId="10CF72A7"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590" w:type="dxa"/>
            <w:tcMar>
              <w:top w:w="100" w:type="dxa"/>
              <w:left w:w="100" w:type="dxa"/>
              <w:bottom w:w="100" w:type="dxa"/>
              <w:right w:w="100" w:type="dxa"/>
            </w:tcMar>
          </w:tcPr>
          <w:p w14:paraId="10CF72A8"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I miss things when talking with people who are deaf or hard of hearing.</w:t>
            </w:r>
          </w:p>
          <w:p w14:paraId="10CF72A9"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AA"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A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AC"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AD"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Saya rasa saya tidak dapat apa-apa apabila bercakap dengan orang yang pekak atau kurang pendengaran.</w:t>
            </w:r>
          </w:p>
          <w:p w14:paraId="10CF72AE"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p w14:paraId="10CF72AF"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B0"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B1"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BE" w14:textId="77777777">
        <w:tc>
          <w:tcPr>
            <w:tcW w:w="885" w:type="dxa"/>
            <w:tcMar>
              <w:top w:w="100" w:type="dxa"/>
              <w:left w:w="100" w:type="dxa"/>
              <w:bottom w:w="100" w:type="dxa"/>
              <w:right w:w="100" w:type="dxa"/>
            </w:tcMar>
          </w:tcPr>
          <w:p w14:paraId="10CF72B3"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590" w:type="dxa"/>
            <w:tcMar>
              <w:top w:w="100" w:type="dxa"/>
              <w:left w:w="100" w:type="dxa"/>
              <w:bottom w:w="100" w:type="dxa"/>
              <w:right w:w="100" w:type="dxa"/>
            </w:tcMar>
          </w:tcPr>
          <w:p w14:paraId="10CF72B4"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Because I am deaf or hard of hearing, I feel I miss out on activities and things I want to do.</w:t>
            </w:r>
          </w:p>
          <w:p w14:paraId="10CF72B5"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B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B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B8"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B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terlepas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aktiviti</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ingin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lakukan</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B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BB"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BC"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BD"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CA" w14:textId="77777777">
        <w:tc>
          <w:tcPr>
            <w:tcW w:w="885" w:type="dxa"/>
            <w:tcMar>
              <w:top w:w="100" w:type="dxa"/>
              <w:left w:w="100" w:type="dxa"/>
              <w:bottom w:w="100" w:type="dxa"/>
              <w:right w:w="100" w:type="dxa"/>
            </w:tcMar>
          </w:tcPr>
          <w:p w14:paraId="10CF72BF"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lastRenderedPageBreak/>
              <w:t>26</w:t>
            </w:r>
          </w:p>
        </w:tc>
        <w:tc>
          <w:tcPr>
            <w:tcW w:w="4590" w:type="dxa"/>
            <w:tcMar>
              <w:top w:w="100" w:type="dxa"/>
              <w:left w:w="100" w:type="dxa"/>
              <w:bottom w:w="100" w:type="dxa"/>
              <w:right w:w="100" w:type="dxa"/>
            </w:tcMar>
          </w:tcPr>
          <w:p w14:paraId="10CF72C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I miss what is important for me to know because I am deaf or hard of hearing.</w:t>
            </w:r>
          </w:p>
          <w:p w14:paraId="10CF72C1"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C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C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C4"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C5"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terlepas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penting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ketahui</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C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C7"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C8"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C9"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D7" w14:textId="77777777">
        <w:tc>
          <w:tcPr>
            <w:tcW w:w="885" w:type="dxa"/>
            <w:tcMar>
              <w:top w:w="100" w:type="dxa"/>
              <w:left w:w="100" w:type="dxa"/>
              <w:bottom w:w="100" w:type="dxa"/>
              <w:right w:w="100" w:type="dxa"/>
            </w:tcMar>
          </w:tcPr>
          <w:p w14:paraId="10CF72CB"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590" w:type="dxa"/>
            <w:tcMar>
              <w:top w:w="100" w:type="dxa"/>
              <w:left w:w="100" w:type="dxa"/>
              <w:bottom w:w="100" w:type="dxa"/>
              <w:right w:w="100" w:type="dxa"/>
            </w:tcMar>
          </w:tcPr>
          <w:p w14:paraId="10CF72C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Because I am deaf or hard of hearing, I </w:t>
            </w:r>
            <w:proofErr w:type="gramStart"/>
            <w:r>
              <w:rPr>
                <w:rFonts w:ascii="Times New Roman" w:eastAsia="Times New Roman" w:hAnsi="Times New Roman" w:cs="Times New Roman"/>
              </w:rPr>
              <w:t>have to</w:t>
            </w:r>
            <w:proofErr w:type="gramEnd"/>
            <w:r>
              <w:rPr>
                <w:rFonts w:ascii="Times New Roman" w:eastAsia="Times New Roman" w:hAnsi="Times New Roman" w:cs="Times New Roman"/>
              </w:rPr>
              <w:t xml:space="preserve"> work harder than other youth to do the things I want to do.</w:t>
            </w:r>
          </w:p>
          <w:p w14:paraId="10CF72CD"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CE"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C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D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D1"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D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w:t>
            </w:r>
            <w:proofErr w:type="spellStart"/>
            <w:r>
              <w:rPr>
                <w:rFonts w:ascii="Times New Roman" w:eastAsia="Times New Roman" w:hAnsi="Times New Roman" w:cs="Times New Roman"/>
              </w:rPr>
              <w:t>perlu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bekerja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keras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belia</w:t>
            </w:r>
            <w:proofErr w:type="spellEnd"/>
            <w:r>
              <w:rPr>
                <w:rFonts w:ascii="Times New Roman" w:eastAsia="Times New Roman" w:hAnsi="Times New Roman" w:cs="Times New Roman"/>
              </w:rPr>
              <w:t xml:space="preserve"> lain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melakukan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perkara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mahu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lakukan</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D3"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D4"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D5"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D6"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E3" w14:textId="77777777">
        <w:tc>
          <w:tcPr>
            <w:tcW w:w="885" w:type="dxa"/>
            <w:tcMar>
              <w:top w:w="100" w:type="dxa"/>
              <w:left w:w="100" w:type="dxa"/>
              <w:bottom w:w="100" w:type="dxa"/>
              <w:right w:w="100" w:type="dxa"/>
            </w:tcMar>
          </w:tcPr>
          <w:p w14:paraId="10CF72D8"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590" w:type="dxa"/>
            <w:tcMar>
              <w:top w:w="100" w:type="dxa"/>
              <w:left w:w="100" w:type="dxa"/>
              <w:bottom w:w="100" w:type="dxa"/>
              <w:right w:w="100" w:type="dxa"/>
            </w:tcMar>
          </w:tcPr>
          <w:p w14:paraId="10CF72D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Because I am deaf or hard of hearing, I feel it is hard to participate in large groups.</w:t>
            </w:r>
          </w:p>
          <w:p w14:paraId="10CF72D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D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D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DD"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DE"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sukar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menyertai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kumpulan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besar</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DF"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E0"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E1"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E2"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EF" w14:textId="77777777">
        <w:tc>
          <w:tcPr>
            <w:tcW w:w="885" w:type="dxa"/>
            <w:tcMar>
              <w:top w:w="100" w:type="dxa"/>
              <w:left w:w="100" w:type="dxa"/>
              <w:bottom w:w="100" w:type="dxa"/>
              <w:right w:w="100" w:type="dxa"/>
            </w:tcMar>
          </w:tcPr>
          <w:p w14:paraId="10CF72E4"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590" w:type="dxa"/>
            <w:tcMar>
              <w:top w:w="100" w:type="dxa"/>
              <w:left w:w="100" w:type="dxa"/>
              <w:bottom w:w="100" w:type="dxa"/>
              <w:right w:w="100" w:type="dxa"/>
            </w:tcMar>
          </w:tcPr>
          <w:p w14:paraId="10CF72E5"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Because I am deaf or hard of hearing, I feel what I want to do in the future is limited. </w:t>
            </w:r>
          </w:p>
          <w:p w14:paraId="10CF72E6"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E7"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E8"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E9"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EA"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mahu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lakukan</w:t>
            </w:r>
            <w:proofErr w:type="spellEnd"/>
            <w:r>
              <w:rPr>
                <w:rFonts w:ascii="Times New Roman" w:eastAsia="Times New Roman" w:hAnsi="Times New Roman" w:cs="Times New Roman"/>
              </w:rPr>
              <w:t xml:space="preserve"> pada masa </w:t>
            </w:r>
            <w:proofErr w:type="spellStart"/>
            <w:r>
              <w:rPr>
                <w:rFonts w:ascii="Times New Roman" w:eastAsia="Times New Roman" w:hAnsi="Times New Roman" w:cs="Times New Roman"/>
              </w:rPr>
              <w:t>hadapan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adalah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terhad</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EB"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EC"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ED"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EE"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2FB" w14:textId="77777777">
        <w:tc>
          <w:tcPr>
            <w:tcW w:w="885" w:type="dxa"/>
            <w:tcMar>
              <w:top w:w="100" w:type="dxa"/>
              <w:left w:w="100" w:type="dxa"/>
              <w:bottom w:w="100" w:type="dxa"/>
              <w:right w:w="100" w:type="dxa"/>
            </w:tcMar>
          </w:tcPr>
          <w:p w14:paraId="10CF72F0"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590" w:type="dxa"/>
            <w:tcMar>
              <w:top w:w="100" w:type="dxa"/>
              <w:left w:w="100" w:type="dxa"/>
              <w:bottom w:w="100" w:type="dxa"/>
              <w:right w:w="100" w:type="dxa"/>
            </w:tcMar>
          </w:tcPr>
          <w:p w14:paraId="10CF72F1"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 feel it is hard for me to understand what people are saying because I am deaf or hard </w:t>
            </w:r>
            <w:proofErr w:type="gramStart"/>
            <w:r>
              <w:rPr>
                <w:rFonts w:ascii="Times New Roman" w:eastAsia="Times New Roman" w:hAnsi="Times New Roman" w:cs="Times New Roman"/>
              </w:rPr>
              <w:t>of hearing</w:t>
            </w:r>
            <w:proofErr w:type="gramEnd"/>
            <w:r>
              <w:rPr>
                <w:rFonts w:ascii="Times New Roman" w:eastAsia="Times New Roman" w:hAnsi="Times New Roman" w:cs="Times New Roman"/>
              </w:rPr>
              <w:t>.</w:t>
            </w:r>
          </w:p>
          <w:p w14:paraId="10CF72F2"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F3"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2F4"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2F5"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2F6"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Saya rasa </w:t>
            </w:r>
            <w:proofErr w:type="spellStart"/>
            <w:r>
              <w:rPr>
                <w:rFonts w:ascii="Times New Roman" w:eastAsia="Times New Roman" w:hAnsi="Times New Roman" w:cs="Times New Roman"/>
              </w:rPr>
              <w:t>sukar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memahami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w:t>
            </w:r>
            <w:proofErr w:type="spellEnd"/>
            <w:r>
              <w:rPr>
                <w:rFonts w:ascii="Times New Roman" w:eastAsia="Times New Roman" w:hAnsi="Times New Roman" w:cs="Times New Roman"/>
              </w:rPr>
              <w:t xml:space="preserve"> yang orang </w:t>
            </w:r>
            <w:proofErr w:type="spellStart"/>
            <w:r>
              <w:rPr>
                <w:rFonts w:ascii="Times New Roman" w:eastAsia="Times New Roman" w:hAnsi="Times New Roman" w:cs="Times New Roman"/>
              </w:rPr>
              <w:t>cakap</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2F7"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F8"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2F9"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2FA"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307" w14:textId="77777777">
        <w:trPr>
          <w:trHeight w:val="2538"/>
        </w:trPr>
        <w:tc>
          <w:tcPr>
            <w:tcW w:w="885" w:type="dxa"/>
            <w:tcMar>
              <w:top w:w="100" w:type="dxa"/>
              <w:left w:w="100" w:type="dxa"/>
              <w:bottom w:w="100" w:type="dxa"/>
              <w:right w:w="100" w:type="dxa"/>
            </w:tcMar>
          </w:tcPr>
          <w:p w14:paraId="10CF72FC"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590" w:type="dxa"/>
            <w:tcMar>
              <w:top w:w="100" w:type="dxa"/>
              <w:left w:w="100" w:type="dxa"/>
              <w:bottom w:w="100" w:type="dxa"/>
              <w:right w:w="100" w:type="dxa"/>
            </w:tcMar>
          </w:tcPr>
          <w:p w14:paraId="10CF72FD"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Because I am deaf or hard of hearing, I feel I miss things when talking with people who are hearing.</w:t>
            </w:r>
          </w:p>
          <w:p w14:paraId="10CF72FE" w14:textId="77777777" w:rsidR="009E4375" w:rsidRDefault="009E4375">
            <w:pPr>
              <w:shd w:val="clear" w:color="auto" w:fill="FFFFFF"/>
              <w:spacing w:before="0" w:after="0" w:line="276" w:lineRule="auto"/>
              <w:rPr>
                <w:rFonts w:ascii="Times New Roman" w:eastAsia="Times New Roman" w:hAnsi="Times New Roman" w:cs="Times New Roman"/>
              </w:rPr>
            </w:pPr>
          </w:p>
          <w:p w14:paraId="10CF72FF"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300"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301"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302"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dapat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apabila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bercakap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orang yang </w:t>
            </w:r>
            <w:proofErr w:type="spellStart"/>
            <w:r>
              <w:rPr>
                <w:rFonts w:ascii="Times New Roman" w:eastAsia="Times New Roman" w:hAnsi="Times New Roman" w:cs="Times New Roman"/>
              </w:rPr>
              <w:t>mendengar</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303" w14:textId="77777777" w:rsidR="009E4375" w:rsidRDefault="009E4375">
            <w:pPr>
              <w:shd w:val="clear" w:color="auto" w:fill="FFFFFF"/>
              <w:spacing w:before="0" w:after="0" w:line="276" w:lineRule="auto"/>
              <w:rPr>
                <w:rFonts w:ascii="Times New Roman" w:eastAsia="Times New Roman" w:hAnsi="Times New Roman" w:cs="Times New Roman"/>
              </w:rPr>
            </w:pPr>
          </w:p>
          <w:p w14:paraId="10CF7304"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305"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306"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rsidRPr="00603D09" w14:paraId="10CF7313" w14:textId="77777777">
        <w:tc>
          <w:tcPr>
            <w:tcW w:w="885" w:type="dxa"/>
            <w:tcMar>
              <w:top w:w="100" w:type="dxa"/>
              <w:left w:w="100" w:type="dxa"/>
              <w:bottom w:w="100" w:type="dxa"/>
              <w:right w:w="100" w:type="dxa"/>
            </w:tcMar>
          </w:tcPr>
          <w:p w14:paraId="10CF7308" w14:textId="77777777" w:rsidR="009E4375" w:rsidRDefault="00000000">
            <w:pPr>
              <w:widowControl w:val="0"/>
              <w:spacing w:before="0" w:after="0" w:line="276"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590" w:type="dxa"/>
            <w:tcMar>
              <w:top w:w="100" w:type="dxa"/>
              <w:left w:w="100" w:type="dxa"/>
              <w:bottom w:w="100" w:type="dxa"/>
              <w:right w:w="100" w:type="dxa"/>
            </w:tcMar>
          </w:tcPr>
          <w:p w14:paraId="10CF7309"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 feel life is harder for me because I am deaf or hard of hearing.</w:t>
            </w:r>
          </w:p>
          <w:p w14:paraId="10CF730A" w14:textId="77777777" w:rsidR="009E4375" w:rsidRDefault="009E4375">
            <w:pPr>
              <w:shd w:val="clear" w:color="auto" w:fill="FFFFFF"/>
              <w:spacing w:before="0" w:after="0" w:line="276" w:lineRule="auto"/>
              <w:rPr>
                <w:rFonts w:ascii="Times New Roman" w:eastAsia="Times New Roman" w:hAnsi="Times New Roman" w:cs="Times New Roman"/>
              </w:rPr>
            </w:pPr>
          </w:p>
          <w:p w14:paraId="10CF730B"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(Please circle one number) </w:t>
            </w:r>
          </w:p>
          <w:p w14:paraId="10CF730C"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NOT AT ALL 0 1 2 3 4 5 6 7 8 9 10 VERY MUCH)</w:t>
            </w:r>
          </w:p>
          <w:p w14:paraId="10CF730D" w14:textId="77777777" w:rsidR="009E4375" w:rsidRDefault="009E4375">
            <w:pPr>
              <w:shd w:val="clear" w:color="auto" w:fill="FFFFFF"/>
              <w:spacing w:before="0" w:after="0" w:line="276" w:lineRule="auto"/>
              <w:rPr>
                <w:rFonts w:ascii="Times New Roman" w:eastAsia="Times New Roman" w:hAnsi="Times New Roman" w:cs="Times New Roman"/>
              </w:rPr>
            </w:pPr>
          </w:p>
        </w:tc>
        <w:tc>
          <w:tcPr>
            <w:tcW w:w="4575" w:type="dxa"/>
            <w:tcMar>
              <w:top w:w="100" w:type="dxa"/>
              <w:left w:w="100" w:type="dxa"/>
              <w:bottom w:w="100" w:type="dxa"/>
              <w:right w:w="100" w:type="dxa"/>
            </w:tcMar>
          </w:tcPr>
          <w:p w14:paraId="10CF730E" w14:textId="77777777" w:rsidR="009E4375" w:rsidRDefault="00000000">
            <w:p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Saya rasa </w:t>
            </w:r>
            <w:proofErr w:type="spellStart"/>
            <w:r>
              <w:rPr>
                <w:rFonts w:ascii="Times New Roman" w:eastAsia="Times New Roman" w:hAnsi="Times New Roman" w:cs="Times New Roman"/>
              </w:rPr>
              <w:t>kehidupan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menjadi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sukar</w:t>
            </w:r>
            <w:proofErr w:type="spellEnd"/>
            <w:r>
              <w:rPr>
                <w:rFonts w:ascii="Times New Roman" w:eastAsia="Times New Roman" w:hAnsi="Times New Roman" w:cs="Times New Roman"/>
              </w:rPr>
              <w:t xml:space="preserve"> kerana </w:t>
            </w:r>
            <w:proofErr w:type="spellStart"/>
            <w:r>
              <w:rPr>
                <w:rFonts w:ascii="Times New Roman" w:eastAsia="Times New Roman" w:hAnsi="Times New Roman" w:cs="Times New Roman"/>
              </w:rPr>
              <w:t>saya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pekak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kurang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30F" w14:textId="77777777" w:rsidR="009E4375" w:rsidRDefault="009E4375">
            <w:pPr>
              <w:shd w:val="clear" w:color="auto" w:fill="FFFFFF"/>
              <w:spacing w:before="0" w:after="0" w:line="276" w:lineRule="auto"/>
              <w:rPr>
                <w:rFonts w:ascii="Times New Roman" w:eastAsia="Times New Roman" w:hAnsi="Times New Roman" w:cs="Times New Roman"/>
              </w:rPr>
            </w:pPr>
          </w:p>
          <w:p w14:paraId="10CF7310" w14:textId="77777777" w:rsidR="009E4375" w:rsidRPr="00D43BCC" w:rsidRDefault="00000000">
            <w:pPr>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 xml:space="preserve">(Sila bulatkan satu nombor) </w:t>
            </w:r>
          </w:p>
          <w:p w14:paraId="10CF7311" w14:textId="77777777" w:rsidR="009E4375" w:rsidRPr="00D43BCC" w:rsidRDefault="00000000">
            <w:pPr>
              <w:shd w:val="clear" w:color="auto" w:fill="FFFFFF"/>
              <w:spacing w:before="0" w:after="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TIADA 0 1 2 3 4 5 6 7 8 9 10 BANYAK)</w:t>
            </w:r>
          </w:p>
          <w:p w14:paraId="10CF7312" w14:textId="77777777" w:rsidR="009E4375" w:rsidRPr="00D43BCC" w:rsidRDefault="009E4375">
            <w:pPr>
              <w:shd w:val="clear" w:color="auto" w:fill="FFFFFF"/>
              <w:spacing w:before="0" w:after="0" w:line="276" w:lineRule="auto"/>
              <w:rPr>
                <w:rFonts w:ascii="Times New Roman" w:eastAsia="Times New Roman" w:hAnsi="Times New Roman" w:cs="Times New Roman"/>
                <w:lang w:val="sv-SE"/>
              </w:rPr>
            </w:pPr>
          </w:p>
        </w:tc>
      </w:tr>
      <w:tr w:rsidR="009E4375" w14:paraId="10CF7317" w14:textId="77777777">
        <w:tc>
          <w:tcPr>
            <w:tcW w:w="885" w:type="dxa"/>
            <w:tcMar>
              <w:top w:w="100" w:type="dxa"/>
              <w:left w:w="100" w:type="dxa"/>
              <w:bottom w:w="100" w:type="dxa"/>
              <w:right w:w="100" w:type="dxa"/>
            </w:tcMar>
          </w:tcPr>
          <w:p w14:paraId="10CF7314" w14:textId="77777777" w:rsidR="009E4375" w:rsidRPr="00D43BCC" w:rsidRDefault="009E4375">
            <w:pPr>
              <w:widowControl w:val="0"/>
              <w:spacing w:before="0" w:after="0" w:line="276" w:lineRule="auto"/>
              <w:rPr>
                <w:rFonts w:ascii="Times New Roman" w:eastAsia="Times New Roman" w:hAnsi="Times New Roman" w:cs="Times New Roman"/>
                <w:lang w:val="sv-SE"/>
              </w:rPr>
            </w:pPr>
          </w:p>
        </w:tc>
        <w:tc>
          <w:tcPr>
            <w:tcW w:w="4590" w:type="dxa"/>
            <w:tcMar>
              <w:top w:w="100" w:type="dxa"/>
              <w:left w:w="100" w:type="dxa"/>
              <w:bottom w:w="100" w:type="dxa"/>
              <w:right w:w="100" w:type="dxa"/>
            </w:tcMar>
          </w:tcPr>
          <w:p w14:paraId="10CF7315" w14:textId="77777777" w:rsidR="009E4375" w:rsidRDefault="00000000">
            <w:pPr>
              <w:spacing w:before="0" w:after="0" w:line="276" w:lineRule="auto"/>
              <w:rPr>
                <w:rFonts w:ascii="Times New Roman" w:eastAsia="Times New Roman" w:hAnsi="Times New Roman" w:cs="Times New Roman"/>
                <w:b/>
                <w:bCs/>
              </w:rPr>
            </w:pPr>
            <w:r>
              <w:rPr>
                <w:rFonts w:ascii="Times New Roman" w:eastAsia="Times New Roman" w:hAnsi="Times New Roman" w:cs="Times New Roman"/>
                <w:b/>
                <w:bCs/>
              </w:rPr>
              <w:t>Section 3</w:t>
            </w:r>
          </w:p>
        </w:tc>
        <w:tc>
          <w:tcPr>
            <w:tcW w:w="4575" w:type="dxa"/>
            <w:tcMar>
              <w:top w:w="100" w:type="dxa"/>
              <w:left w:w="100" w:type="dxa"/>
              <w:bottom w:w="100" w:type="dxa"/>
              <w:right w:w="100" w:type="dxa"/>
            </w:tcMar>
          </w:tcPr>
          <w:p w14:paraId="10CF7316" w14:textId="77777777" w:rsidR="009E4375" w:rsidRDefault="00000000">
            <w:pPr>
              <w:spacing w:before="0" w:after="0" w:line="276" w:lineRule="auto"/>
              <w:rPr>
                <w:rFonts w:ascii="Times New Roman" w:eastAsia="Times New Roman" w:hAnsi="Times New Roman" w:cs="Times New Roman"/>
                <w:b/>
                <w:bCs/>
              </w:rPr>
            </w:pPr>
            <w:proofErr w:type="spellStart"/>
            <w:r>
              <w:rPr>
                <w:rFonts w:ascii="Times New Roman" w:eastAsia="Times New Roman" w:hAnsi="Times New Roman" w:cs="Times New Roman"/>
                <w:b/>
                <w:bCs/>
              </w:rPr>
              <w:t>Bahagian</w:t>
            </w:r>
            <w:proofErr w:type="spellEnd"/>
            <w:r>
              <w:rPr>
                <w:rFonts w:ascii="Times New Roman" w:eastAsia="Times New Roman" w:hAnsi="Times New Roman" w:cs="Times New Roman"/>
                <w:b/>
                <w:bCs/>
              </w:rPr>
              <w:t xml:space="preserve"> 3</w:t>
            </w:r>
          </w:p>
        </w:tc>
      </w:tr>
      <w:tr w:rsidR="009E4375" w14:paraId="10CF731D" w14:textId="77777777">
        <w:tc>
          <w:tcPr>
            <w:tcW w:w="885" w:type="dxa"/>
            <w:tcMar>
              <w:top w:w="100" w:type="dxa"/>
              <w:left w:w="100" w:type="dxa"/>
              <w:bottom w:w="100" w:type="dxa"/>
              <w:right w:w="100" w:type="dxa"/>
            </w:tcMar>
          </w:tcPr>
          <w:p w14:paraId="10CF7318" w14:textId="77777777" w:rsidR="009E4375" w:rsidRDefault="009E4375">
            <w:pPr>
              <w:shd w:val="clear" w:color="auto" w:fill="FFFFFF"/>
              <w:spacing w:before="0" w:after="16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19"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Demographic Items:</w:t>
            </w:r>
          </w:p>
          <w:p w14:paraId="10CF731A"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Age: ____________</w:t>
            </w:r>
          </w:p>
        </w:tc>
        <w:tc>
          <w:tcPr>
            <w:tcW w:w="4575" w:type="dxa"/>
            <w:tcMar>
              <w:top w:w="100" w:type="dxa"/>
              <w:left w:w="100" w:type="dxa"/>
              <w:bottom w:w="100" w:type="dxa"/>
              <w:right w:w="100" w:type="dxa"/>
            </w:tcMar>
          </w:tcPr>
          <w:p w14:paraId="10CF731B"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Item </w:t>
            </w:r>
            <w:proofErr w:type="spellStart"/>
            <w:r>
              <w:rPr>
                <w:rFonts w:ascii="Times New Roman" w:eastAsia="Times New Roman" w:hAnsi="Times New Roman" w:cs="Times New Roman"/>
              </w:rPr>
              <w:t>Demografi</w:t>
            </w:r>
            <w:proofErr w:type="spellEnd"/>
            <w:r>
              <w:rPr>
                <w:rFonts w:ascii="Times New Roman" w:eastAsia="Times New Roman" w:hAnsi="Times New Roman" w:cs="Times New Roman"/>
              </w:rPr>
              <w:t>:</w:t>
            </w:r>
          </w:p>
          <w:p w14:paraId="10CF731C"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Umur</w:t>
            </w:r>
            <w:proofErr w:type="spellEnd"/>
            <w:r>
              <w:rPr>
                <w:rFonts w:ascii="Times New Roman" w:eastAsia="Times New Roman" w:hAnsi="Times New Roman" w:cs="Times New Roman"/>
              </w:rPr>
              <w:t>: __________</w:t>
            </w:r>
          </w:p>
        </w:tc>
      </w:tr>
      <w:tr w:rsidR="009E4375" w14:paraId="10CF7325" w14:textId="77777777">
        <w:tc>
          <w:tcPr>
            <w:tcW w:w="885" w:type="dxa"/>
            <w:tcMar>
              <w:top w:w="100" w:type="dxa"/>
              <w:left w:w="100" w:type="dxa"/>
              <w:bottom w:w="100" w:type="dxa"/>
              <w:right w:w="100" w:type="dxa"/>
            </w:tcMar>
          </w:tcPr>
          <w:p w14:paraId="10CF731E" w14:textId="77777777" w:rsidR="009E4375" w:rsidRDefault="009E4375">
            <w:pPr>
              <w:shd w:val="clear" w:color="auto" w:fill="FFFFFF"/>
              <w:spacing w:before="0" w:after="16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1F"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Sex:</w:t>
            </w:r>
          </w:p>
          <w:p w14:paraId="10CF7320" w14:textId="77777777" w:rsidR="009E4375" w:rsidRDefault="00000000">
            <w:pPr>
              <w:numPr>
                <w:ilvl w:val="0"/>
                <w:numId w:val="5"/>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Male</w:t>
            </w:r>
          </w:p>
          <w:p w14:paraId="10CF7321" w14:textId="77777777" w:rsidR="009E4375" w:rsidRDefault="00000000">
            <w:pPr>
              <w:numPr>
                <w:ilvl w:val="0"/>
                <w:numId w:val="5"/>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Female</w:t>
            </w:r>
          </w:p>
        </w:tc>
        <w:tc>
          <w:tcPr>
            <w:tcW w:w="4575" w:type="dxa"/>
            <w:tcMar>
              <w:top w:w="100" w:type="dxa"/>
              <w:left w:w="100" w:type="dxa"/>
              <w:bottom w:w="100" w:type="dxa"/>
              <w:right w:w="100" w:type="dxa"/>
            </w:tcMar>
          </w:tcPr>
          <w:p w14:paraId="10CF7322"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Jantina:</w:t>
            </w:r>
          </w:p>
          <w:p w14:paraId="10CF7323" w14:textId="77777777" w:rsidR="009E4375" w:rsidRDefault="00000000">
            <w:pPr>
              <w:numPr>
                <w:ilvl w:val="0"/>
                <w:numId w:val="5"/>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Lelaki</w:t>
            </w:r>
            <w:proofErr w:type="spellEnd"/>
          </w:p>
          <w:p w14:paraId="10CF7324" w14:textId="77777777" w:rsidR="009E4375" w:rsidRDefault="00000000">
            <w:pPr>
              <w:numPr>
                <w:ilvl w:val="0"/>
                <w:numId w:val="5"/>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Perempuan</w:t>
            </w:r>
          </w:p>
        </w:tc>
      </w:tr>
      <w:tr w:rsidR="009E4375" w14:paraId="10CF7333" w14:textId="77777777">
        <w:tc>
          <w:tcPr>
            <w:tcW w:w="885" w:type="dxa"/>
            <w:tcMar>
              <w:top w:w="100" w:type="dxa"/>
              <w:left w:w="100" w:type="dxa"/>
              <w:bottom w:w="100" w:type="dxa"/>
              <w:right w:w="100" w:type="dxa"/>
            </w:tcMar>
          </w:tcPr>
          <w:p w14:paraId="10CF7326" w14:textId="77777777" w:rsidR="009E4375" w:rsidRDefault="009E4375">
            <w:pPr>
              <w:shd w:val="clear" w:color="auto" w:fill="FFFFFF"/>
              <w:spacing w:before="0" w:after="16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27"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Race:</w:t>
            </w:r>
          </w:p>
          <w:p w14:paraId="10CF7328"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Malay</w:t>
            </w:r>
          </w:p>
          <w:p w14:paraId="10CF7329"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Chinese</w:t>
            </w:r>
          </w:p>
          <w:p w14:paraId="10CF732A"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Indian</w:t>
            </w:r>
          </w:p>
          <w:p w14:paraId="10CF732B"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Indigenous: ______________</w:t>
            </w:r>
          </w:p>
          <w:p w14:paraId="10CF732C" w14:textId="77777777" w:rsidR="009E4375" w:rsidRDefault="00000000">
            <w:pPr>
              <w:numPr>
                <w:ilvl w:val="0"/>
                <w:numId w:val="12"/>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Others: _________________</w:t>
            </w:r>
          </w:p>
        </w:tc>
        <w:tc>
          <w:tcPr>
            <w:tcW w:w="4575" w:type="dxa"/>
            <w:tcMar>
              <w:top w:w="100" w:type="dxa"/>
              <w:left w:w="100" w:type="dxa"/>
              <w:bottom w:w="100" w:type="dxa"/>
              <w:right w:w="100" w:type="dxa"/>
            </w:tcMar>
          </w:tcPr>
          <w:p w14:paraId="10CF732D"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Bangsa</w:t>
            </w:r>
            <w:proofErr w:type="spellEnd"/>
            <w:r>
              <w:rPr>
                <w:rFonts w:ascii="Times New Roman" w:eastAsia="Times New Roman" w:hAnsi="Times New Roman" w:cs="Times New Roman"/>
              </w:rPr>
              <w:t>:</w:t>
            </w:r>
          </w:p>
          <w:p w14:paraId="10CF732E"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Melayu</w:t>
            </w:r>
            <w:proofErr w:type="spellEnd"/>
          </w:p>
          <w:p w14:paraId="10CF732F"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Cina</w:t>
            </w:r>
          </w:p>
          <w:p w14:paraId="10CF7330"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India</w:t>
            </w:r>
          </w:p>
          <w:p w14:paraId="10CF7331" w14:textId="77777777" w:rsidR="009E4375" w:rsidRDefault="00000000">
            <w:pPr>
              <w:numPr>
                <w:ilvl w:val="0"/>
                <w:numId w:val="1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Orang Asli: ______________</w:t>
            </w:r>
          </w:p>
          <w:p w14:paraId="10CF7332" w14:textId="77777777" w:rsidR="009E4375" w:rsidRDefault="00000000">
            <w:pPr>
              <w:numPr>
                <w:ilvl w:val="0"/>
                <w:numId w:val="12"/>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Lain-lain: _________________</w:t>
            </w:r>
          </w:p>
        </w:tc>
      </w:tr>
      <w:tr w:rsidR="009E4375" w14:paraId="10CF733B" w14:textId="77777777">
        <w:tc>
          <w:tcPr>
            <w:tcW w:w="885" w:type="dxa"/>
            <w:tcMar>
              <w:top w:w="100" w:type="dxa"/>
              <w:left w:w="100" w:type="dxa"/>
              <w:bottom w:w="100" w:type="dxa"/>
              <w:right w:w="100" w:type="dxa"/>
            </w:tcMar>
          </w:tcPr>
          <w:p w14:paraId="10CF7334" w14:textId="77777777" w:rsidR="009E4375" w:rsidRDefault="009E4375">
            <w:pPr>
              <w:shd w:val="clear" w:color="auto" w:fill="FFFFFF"/>
              <w:spacing w:before="0" w:after="16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35"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Hearing Status:</w:t>
            </w:r>
          </w:p>
          <w:p w14:paraId="10CF7336" w14:textId="77777777" w:rsidR="009E4375" w:rsidRDefault="00000000">
            <w:pPr>
              <w:numPr>
                <w:ilvl w:val="0"/>
                <w:numId w:val="15"/>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Deaf</w:t>
            </w:r>
          </w:p>
          <w:p w14:paraId="10CF7337" w14:textId="77777777" w:rsidR="009E4375" w:rsidRDefault="00000000">
            <w:pPr>
              <w:numPr>
                <w:ilvl w:val="0"/>
                <w:numId w:val="15"/>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Hard of hearing</w:t>
            </w:r>
          </w:p>
        </w:tc>
        <w:tc>
          <w:tcPr>
            <w:tcW w:w="4575" w:type="dxa"/>
            <w:tcMar>
              <w:top w:w="100" w:type="dxa"/>
              <w:left w:w="100" w:type="dxa"/>
              <w:bottom w:w="100" w:type="dxa"/>
              <w:right w:w="100" w:type="dxa"/>
            </w:tcMar>
          </w:tcPr>
          <w:p w14:paraId="10CF7338"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Status </w:t>
            </w:r>
            <w:proofErr w:type="spellStart"/>
            <w:r>
              <w:rPr>
                <w:rFonts w:ascii="Times New Roman" w:eastAsia="Times New Roman" w:hAnsi="Times New Roman" w:cs="Times New Roman"/>
              </w:rPr>
              <w:t>Pendengaran</w:t>
            </w:r>
            <w:proofErr w:type="spellEnd"/>
            <w:r>
              <w:rPr>
                <w:rFonts w:ascii="Times New Roman" w:eastAsia="Times New Roman" w:hAnsi="Times New Roman" w:cs="Times New Roman"/>
              </w:rPr>
              <w:t>:</w:t>
            </w:r>
          </w:p>
          <w:p w14:paraId="10CF7339" w14:textId="77777777" w:rsidR="009E4375" w:rsidRDefault="00000000">
            <w:pPr>
              <w:numPr>
                <w:ilvl w:val="0"/>
                <w:numId w:val="15"/>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Pekak</w:t>
            </w:r>
            <w:proofErr w:type="spellEnd"/>
          </w:p>
          <w:p w14:paraId="10CF733A" w14:textId="77777777" w:rsidR="009E4375" w:rsidRDefault="00000000">
            <w:pPr>
              <w:numPr>
                <w:ilvl w:val="0"/>
                <w:numId w:val="15"/>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Kurang Upaya </w:t>
            </w:r>
            <w:proofErr w:type="spellStart"/>
            <w:r>
              <w:rPr>
                <w:rFonts w:ascii="Times New Roman" w:eastAsia="Times New Roman" w:hAnsi="Times New Roman" w:cs="Times New Roman"/>
              </w:rPr>
              <w:t>Pendengaran</w:t>
            </w:r>
            <w:proofErr w:type="spellEnd"/>
          </w:p>
        </w:tc>
      </w:tr>
      <w:tr w:rsidR="009E4375" w14:paraId="10CF7345" w14:textId="77777777">
        <w:tc>
          <w:tcPr>
            <w:tcW w:w="885" w:type="dxa"/>
            <w:tcMar>
              <w:top w:w="100" w:type="dxa"/>
              <w:left w:w="100" w:type="dxa"/>
              <w:bottom w:w="100" w:type="dxa"/>
              <w:right w:w="100" w:type="dxa"/>
            </w:tcMar>
          </w:tcPr>
          <w:p w14:paraId="10CF733C" w14:textId="77777777" w:rsidR="009E4375" w:rsidRDefault="009E4375">
            <w:pPr>
              <w:shd w:val="clear" w:color="auto" w:fill="FFFFFF"/>
              <w:spacing w:before="0" w:after="16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3D"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Do you currently use:</w:t>
            </w:r>
          </w:p>
          <w:p w14:paraId="10CF733E" w14:textId="77777777" w:rsidR="009E4375" w:rsidRDefault="00000000">
            <w:pPr>
              <w:numPr>
                <w:ilvl w:val="0"/>
                <w:numId w:val="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Cochlear Implant</w:t>
            </w:r>
          </w:p>
          <w:p w14:paraId="10CF733F" w14:textId="77777777" w:rsidR="009E4375" w:rsidRDefault="00000000">
            <w:pPr>
              <w:numPr>
                <w:ilvl w:val="0"/>
                <w:numId w:val="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Hearing aids</w:t>
            </w:r>
          </w:p>
          <w:p w14:paraId="10CF7340" w14:textId="77777777" w:rsidR="009E4375" w:rsidRDefault="00000000">
            <w:pPr>
              <w:numPr>
                <w:ilvl w:val="0"/>
                <w:numId w:val="3"/>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None</w:t>
            </w:r>
          </w:p>
        </w:tc>
        <w:tc>
          <w:tcPr>
            <w:tcW w:w="4575" w:type="dxa"/>
            <w:tcMar>
              <w:top w:w="100" w:type="dxa"/>
              <w:left w:w="100" w:type="dxa"/>
              <w:bottom w:w="100" w:type="dxa"/>
              <w:right w:w="100" w:type="dxa"/>
            </w:tcMar>
          </w:tcPr>
          <w:p w14:paraId="10CF7341"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Anda </w:t>
            </w:r>
            <w:proofErr w:type="spellStart"/>
            <w:r>
              <w:rPr>
                <w:rFonts w:ascii="Times New Roman" w:eastAsia="Times New Roman" w:hAnsi="Times New Roman" w:cs="Times New Roman"/>
              </w:rPr>
              <w:t>sedang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menggunakan</w:t>
            </w:r>
            <w:proofErr w:type="spellEnd"/>
            <w:r>
              <w:rPr>
                <w:rFonts w:ascii="Times New Roman" w:eastAsia="Times New Roman" w:hAnsi="Times New Roman" w:cs="Times New Roman"/>
              </w:rPr>
              <w:t>:</w:t>
            </w:r>
          </w:p>
          <w:p w14:paraId="10CF7342" w14:textId="77777777" w:rsidR="009E4375" w:rsidRDefault="00000000">
            <w:pPr>
              <w:numPr>
                <w:ilvl w:val="0"/>
                <w:numId w:val="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Implan </w:t>
            </w:r>
            <w:proofErr w:type="spellStart"/>
            <w:r>
              <w:rPr>
                <w:rFonts w:ascii="Times New Roman" w:eastAsia="Times New Roman" w:hAnsi="Times New Roman" w:cs="Times New Roman"/>
              </w:rPr>
              <w:t>koklea</w:t>
            </w:r>
            <w:proofErr w:type="spellEnd"/>
          </w:p>
          <w:p w14:paraId="10CF7343" w14:textId="77777777" w:rsidR="009E4375" w:rsidRDefault="00000000">
            <w:pPr>
              <w:numPr>
                <w:ilvl w:val="0"/>
                <w:numId w:val="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Alat </w:t>
            </w:r>
            <w:proofErr w:type="spellStart"/>
            <w:r>
              <w:rPr>
                <w:rFonts w:ascii="Times New Roman" w:eastAsia="Times New Roman" w:hAnsi="Times New Roman" w:cs="Times New Roman"/>
              </w:rPr>
              <w:t>pendengaran</w:t>
            </w:r>
            <w:proofErr w:type="spellEnd"/>
          </w:p>
          <w:p w14:paraId="10CF7344" w14:textId="77777777" w:rsidR="009E4375" w:rsidRDefault="00000000">
            <w:pPr>
              <w:numPr>
                <w:ilvl w:val="0"/>
                <w:numId w:val="3"/>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Tiada</w:t>
            </w:r>
          </w:p>
        </w:tc>
      </w:tr>
      <w:tr w:rsidR="009E4375" w14:paraId="10CF7353" w14:textId="77777777">
        <w:tc>
          <w:tcPr>
            <w:tcW w:w="885" w:type="dxa"/>
            <w:tcMar>
              <w:top w:w="100" w:type="dxa"/>
              <w:left w:w="100" w:type="dxa"/>
              <w:bottom w:w="100" w:type="dxa"/>
              <w:right w:w="100" w:type="dxa"/>
            </w:tcMar>
          </w:tcPr>
          <w:p w14:paraId="10CF7346" w14:textId="77777777" w:rsidR="009E4375" w:rsidRDefault="009E4375">
            <w:pPr>
              <w:shd w:val="clear" w:color="auto" w:fill="FFFFFF"/>
              <w:spacing w:before="0" w:after="16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47"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What school did you attend for </w:t>
            </w:r>
            <w:proofErr w:type="gramStart"/>
            <w:r>
              <w:rPr>
                <w:rFonts w:ascii="Times New Roman" w:eastAsia="Times New Roman" w:hAnsi="Times New Roman" w:cs="Times New Roman"/>
              </w:rPr>
              <w:t>elementary, and</w:t>
            </w:r>
            <w:proofErr w:type="gramEnd"/>
            <w:r>
              <w:rPr>
                <w:rFonts w:ascii="Times New Roman" w:eastAsia="Times New Roman" w:hAnsi="Times New Roman" w:cs="Times New Roman"/>
              </w:rPr>
              <w:t xml:space="preserve"> middle school/high school? </w:t>
            </w:r>
          </w:p>
          <w:p w14:paraId="10CF7348"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(You can choose more than one if applicable)</w:t>
            </w:r>
          </w:p>
          <w:p w14:paraId="10CF7349" w14:textId="77777777" w:rsidR="009E4375" w:rsidRDefault="00000000">
            <w:pPr>
              <w:numPr>
                <w:ilvl w:val="0"/>
                <w:numId w:val="4"/>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School for the Deaf (Stay at residential)</w:t>
            </w:r>
          </w:p>
          <w:p w14:paraId="10CF734A" w14:textId="77777777" w:rsidR="009E4375" w:rsidRDefault="00000000">
            <w:pPr>
              <w:numPr>
                <w:ilvl w:val="0"/>
                <w:numId w:val="4"/>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School for the Deaf (Day school)</w:t>
            </w:r>
          </w:p>
          <w:p w14:paraId="10CF734B" w14:textId="77777777" w:rsidR="009E4375" w:rsidRDefault="00000000">
            <w:pPr>
              <w:numPr>
                <w:ilvl w:val="0"/>
                <w:numId w:val="4"/>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Integration Education Program</w:t>
            </w:r>
          </w:p>
          <w:p w14:paraId="10CF734C" w14:textId="77777777" w:rsidR="009E4375" w:rsidRDefault="00000000">
            <w:pPr>
              <w:numPr>
                <w:ilvl w:val="0"/>
                <w:numId w:val="4"/>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Mainstreaming Education Program</w:t>
            </w:r>
          </w:p>
        </w:tc>
        <w:tc>
          <w:tcPr>
            <w:tcW w:w="4575" w:type="dxa"/>
            <w:tcMar>
              <w:top w:w="100" w:type="dxa"/>
              <w:left w:w="100" w:type="dxa"/>
              <w:bottom w:w="100" w:type="dxa"/>
              <w:right w:w="100" w:type="dxa"/>
            </w:tcMar>
          </w:tcPr>
          <w:p w14:paraId="10CF734D"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Apakah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hadiri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untuk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rendah</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menengah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rendah</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menengah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atas</w:t>
            </w:r>
            <w:proofErr w:type="spellEnd"/>
            <w:r>
              <w:rPr>
                <w:rFonts w:ascii="Times New Roman" w:eastAsia="Times New Roman" w:hAnsi="Times New Roman" w:cs="Times New Roman"/>
              </w:rPr>
              <w:t xml:space="preserve">? </w:t>
            </w:r>
          </w:p>
          <w:p w14:paraId="10CF734E"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(Anda </w:t>
            </w:r>
            <w:proofErr w:type="spellStart"/>
            <w:r>
              <w:rPr>
                <w:rFonts w:ascii="Times New Roman" w:eastAsia="Times New Roman" w:hAnsi="Times New Roman" w:cs="Times New Roman"/>
              </w:rPr>
              <w:t>boleh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memilih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lebih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daripada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satu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jika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berkenaan</w:t>
            </w:r>
            <w:proofErr w:type="spellEnd"/>
            <w:r>
              <w:rPr>
                <w:rFonts w:ascii="Times New Roman" w:eastAsia="Times New Roman" w:hAnsi="Times New Roman" w:cs="Times New Roman"/>
              </w:rPr>
              <w:t>)</w:t>
            </w:r>
          </w:p>
          <w:p w14:paraId="10CF734F" w14:textId="77777777" w:rsidR="009E4375" w:rsidRDefault="00000000">
            <w:pPr>
              <w:numPr>
                <w:ilvl w:val="0"/>
                <w:numId w:val="4"/>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Pendidikan Khas (Duduk di asrama)</w:t>
            </w:r>
          </w:p>
          <w:p w14:paraId="10CF7350" w14:textId="77777777" w:rsidR="009E4375" w:rsidRDefault="00000000">
            <w:pPr>
              <w:numPr>
                <w:ilvl w:val="0"/>
                <w:numId w:val="4"/>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Pendidikan Khas (Harian)</w:t>
            </w:r>
          </w:p>
          <w:p w14:paraId="10CF7351" w14:textId="77777777" w:rsidR="009E4375" w:rsidRDefault="00000000">
            <w:pPr>
              <w:numPr>
                <w:ilvl w:val="0"/>
                <w:numId w:val="4"/>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Program Pendidikan Khas Integrasi (PPKI)</w:t>
            </w:r>
          </w:p>
          <w:p w14:paraId="10CF7352" w14:textId="77777777" w:rsidR="009E4375" w:rsidRDefault="00000000">
            <w:pPr>
              <w:numPr>
                <w:ilvl w:val="0"/>
                <w:numId w:val="4"/>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Program Pendidikan </w:t>
            </w:r>
            <w:proofErr w:type="spellStart"/>
            <w:r>
              <w:rPr>
                <w:rFonts w:ascii="Times New Roman" w:eastAsia="Times New Roman" w:hAnsi="Times New Roman" w:cs="Times New Roman"/>
              </w:rPr>
              <w:t>Inklusif</w:t>
            </w:r>
            <w:proofErr w:type="spellEnd"/>
          </w:p>
        </w:tc>
      </w:tr>
      <w:tr w:rsidR="009E4375" w14:paraId="10CF7365" w14:textId="77777777">
        <w:tc>
          <w:tcPr>
            <w:tcW w:w="885" w:type="dxa"/>
            <w:tcMar>
              <w:top w:w="100" w:type="dxa"/>
              <w:left w:w="100" w:type="dxa"/>
              <w:bottom w:w="100" w:type="dxa"/>
              <w:right w:w="100" w:type="dxa"/>
            </w:tcMar>
          </w:tcPr>
          <w:p w14:paraId="10CF7354"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55"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What is the highest educational degree you have obtained?</w:t>
            </w:r>
          </w:p>
          <w:p w14:paraId="10CF7356"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Elementary school/Primary school</w:t>
            </w:r>
          </w:p>
          <w:p w14:paraId="10CF7357"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High school/Secondary school</w:t>
            </w:r>
          </w:p>
          <w:p w14:paraId="10CF7358"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Malaysian Skills Certificate (Skim Kemahiran Malaysia)</w:t>
            </w:r>
          </w:p>
          <w:p w14:paraId="10CF7359"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Malaysian Certificate of Education (Sijil Pelajaran Malaysia) </w:t>
            </w:r>
          </w:p>
          <w:p w14:paraId="10CF735A"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gramStart"/>
            <w:r>
              <w:rPr>
                <w:rFonts w:ascii="Times New Roman" w:eastAsia="Times New Roman" w:hAnsi="Times New Roman" w:cs="Times New Roman"/>
              </w:rPr>
              <w:t>Bachelor</w:t>
            </w:r>
            <w:proofErr w:type="gramEnd"/>
            <w:r>
              <w:rPr>
                <w:rFonts w:ascii="Times New Roman" w:eastAsia="Times New Roman" w:hAnsi="Times New Roman" w:cs="Times New Roman"/>
              </w:rPr>
              <w:t xml:space="preserve"> degree</w:t>
            </w:r>
          </w:p>
          <w:p w14:paraId="10CF735B" w14:textId="77777777" w:rsidR="009E4375" w:rsidRDefault="00000000">
            <w:pPr>
              <w:numPr>
                <w:ilvl w:val="0"/>
                <w:numId w:val="1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 _________________</w:t>
            </w:r>
          </w:p>
        </w:tc>
        <w:tc>
          <w:tcPr>
            <w:tcW w:w="4575" w:type="dxa"/>
            <w:tcMar>
              <w:top w:w="100" w:type="dxa"/>
              <w:left w:w="100" w:type="dxa"/>
              <w:bottom w:w="100" w:type="dxa"/>
              <w:right w:w="100" w:type="dxa"/>
            </w:tcMar>
          </w:tcPr>
          <w:p w14:paraId="10CF735C"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Apa </w:t>
            </w:r>
            <w:proofErr w:type="spellStart"/>
            <w:r>
              <w:rPr>
                <w:rFonts w:ascii="Times New Roman" w:eastAsia="Times New Roman" w:hAnsi="Times New Roman" w:cs="Times New Roman"/>
              </w:rPr>
              <w:t>tahap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pendidikan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tertinggi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peroleh</w:t>
            </w:r>
            <w:proofErr w:type="spellEnd"/>
            <w:r>
              <w:rPr>
                <w:rFonts w:ascii="Times New Roman" w:eastAsia="Times New Roman" w:hAnsi="Times New Roman" w:cs="Times New Roman"/>
              </w:rPr>
              <w:t>?</w:t>
            </w:r>
          </w:p>
          <w:p w14:paraId="10CF735D"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Rendah</w:t>
            </w:r>
            <w:proofErr w:type="spellEnd"/>
          </w:p>
          <w:p w14:paraId="10CF735E"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Menengah</w:t>
            </w:r>
            <w:proofErr w:type="spellEnd"/>
          </w:p>
          <w:p w14:paraId="10CF735F"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Skim Kemahiran Malaysia (SKM)</w:t>
            </w:r>
          </w:p>
          <w:p w14:paraId="10CF7360" w14:textId="77777777" w:rsidR="009E4375" w:rsidRDefault="009E4375">
            <w:pPr>
              <w:shd w:val="clear" w:color="auto" w:fill="FFFFFF"/>
              <w:spacing w:before="0" w:after="0" w:line="276" w:lineRule="auto"/>
              <w:ind w:left="720"/>
              <w:rPr>
                <w:rFonts w:ascii="Times New Roman" w:eastAsia="Times New Roman" w:hAnsi="Times New Roman" w:cs="Times New Roman"/>
              </w:rPr>
            </w:pPr>
          </w:p>
          <w:p w14:paraId="10CF7361"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Sijil Pelajaran Malaysia (SPM)</w:t>
            </w:r>
          </w:p>
          <w:p w14:paraId="10CF7362" w14:textId="77777777" w:rsidR="009E4375" w:rsidRDefault="009E4375">
            <w:pPr>
              <w:shd w:val="clear" w:color="auto" w:fill="FFFFFF"/>
              <w:spacing w:before="0" w:after="0" w:line="276" w:lineRule="auto"/>
              <w:rPr>
                <w:rFonts w:ascii="Times New Roman" w:eastAsia="Times New Roman" w:hAnsi="Times New Roman" w:cs="Times New Roman"/>
              </w:rPr>
            </w:pPr>
          </w:p>
          <w:p w14:paraId="10CF7363"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Ijazah Sarjana Muda</w:t>
            </w:r>
          </w:p>
          <w:p w14:paraId="10CF7364" w14:textId="77777777" w:rsidR="009E4375" w:rsidRDefault="00000000">
            <w:pPr>
              <w:numPr>
                <w:ilvl w:val="0"/>
                <w:numId w:val="1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 _______________</w:t>
            </w:r>
          </w:p>
        </w:tc>
      </w:tr>
      <w:tr w:rsidR="009E4375" w14:paraId="10CF7371" w14:textId="77777777">
        <w:tc>
          <w:tcPr>
            <w:tcW w:w="885" w:type="dxa"/>
            <w:tcMar>
              <w:top w:w="100" w:type="dxa"/>
              <w:left w:w="100" w:type="dxa"/>
              <w:bottom w:w="100" w:type="dxa"/>
              <w:right w:w="100" w:type="dxa"/>
            </w:tcMar>
          </w:tcPr>
          <w:p w14:paraId="10CF7366"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67"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How satisfied were you with your relationship with your parents and siblings while growing up?</w:t>
            </w:r>
          </w:p>
          <w:p w14:paraId="10CF7368"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Very unsatisfied</w:t>
            </w:r>
          </w:p>
          <w:p w14:paraId="10CF7369"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Unsatisfied</w:t>
            </w:r>
          </w:p>
          <w:p w14:paraId="10CF736A"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Satisfied</w:t>
            </w:r>
          </w:p>
          <w:p w14:paraId="10CF736B" w14:textId="77777777" w:rsidR="009E4375" w:rsidRDefault="00000000">
            <w:pPr>
              <w:numPr>
                <w:ilvl w:val="0"/>
                <w:numId w:val="28"/>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Very satisfied</w:t>
            </w:r>
          </w:p>
        </w:tc>
        <w:tc>
          <w:tcPr>
            <w:tcW w:w="4575" w:type="dxa"/>
            <w:tcMar>
              <w:top w:w="100" w:type="dxa"/>
              <w:left w:w="100" w:type="dxa"/>
              <w:bottom w:w="100" w:type="dxa"/>
              <w:right w:w="100" w:type="dxa"/>
            </w:tcMar>
          </w:tcPr>
          <w:p w14:paraId="10CF736C" w14:textId="77777777" w:rsidR="009E4375" w:rsidRDefault="00000000">
            <w:pPr>
              <w:shd w:val="clear" w:color="auto" w:fill="FFFFFF"/>
              <w:spacing w:before="0" w:after="160" w:line="276" w:lineRule="auto"/>
              <w:rPr>
                <w:rFonts w:ascii="Times New Roman" w:eastAsia="Times New Roman" w:hAnsi="Times New Roman" w:cs="Times New Roman"/>
              </w:rPr>
            </w:pPr>
            <w:proofErr w:type="spellStart"/>
            <w:r>
              <w:rPr>
                <w:rFonts w:ascii="Times New Roman" w:eastAsia="Times New Roman" w:hAnsi="Times New Roman" w:cs="Times New Roman"/>
              </w:rPr>
              <w:t>Sejauh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manakah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hubungan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dengan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ibu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bapa</w:t>
            </w:r>
            <w:proofErr w:type="spellEnd"/>
            <w:r>
              <w:rPr>
                <w:rFonts w:ascii="Times New Roman" w:eastAsia="Times New Roman" w:hAnsi="Times New Roman" w:cs="Times New Roman"/>
              </w:rPr>
              <w:t xml:space="preserve"> dan </w:t>
            </w:r>
            <w:proofErr w:type="spellStart"/>
            <w:r>
              <w:rPr>
                <w:rFonts w:ascii="Times New Roman" w:eastAsia="Times New Roman" w:hAnsi="Times New Roman" w:cs="Times New Roman"/>
              </w:rPr>
              <w:t>adik-beradik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semasa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membesar</w:t>
            </w:r>
            <w:proofErr w:type="spellEnd"/>
            <w:r>
              <w:rPr>
                <w:rFonts w:ascii="Times New Roman" w:eastAsia="Times New Roman" w:hAnsi="Times New Roman" w:cs="Times New Roman"/>
              </w:rPr>
              <w:t>?</w:t>
            </w:r>
          </w:p>
          <w:p w14:paraId="10CF736D"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tidak</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36E"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36F" w14:textId="77777777" w:rsidR="009E4375" w:rsidRDefault="00000000">
            <w:pPr>
              <w:numPr>
                <w:ilvl w:val="0"/>
                <w:numId w:val="28"/>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p w14:paraId="10CF7370" w14:textId="77777777" w:rsidR="009E4375" w:rsidRDefault="00000000">
            <w:pPr>
              <w:numPr>
                <w:ilvl w:val="0"/>
                <w:numId w:val="28"/>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Sangat </w:t>
            </w:r>
            <w:proofErr w:type="spellStart"/>
            <w:r>
              <w:rPr>
                <w:rFonts w:ascii="Times New Roman" w:eastAsia="Times New Roman" w:hAnsi="Times New Roman" w:cs="Times New Roman"/>
              </w:rPr>
              <w:t>berpuas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hati</w:t>
            </w:r>
            <w:proofErr w:type="spellEnd"/>
          </w:p>
        </w:tc>
      </w:tr>
      <w:tr w:rsidR="009E4375" w14:paraId="10CF737D" w14:textId="77777777">
        <w:tc>
          <w:tcPr>
            <w:tcW w:w="885" w:type="dxa"/>
            <w:tcMar>
              <w:top w:w="100" w:type="dxa"/>
              <w:left w:w="100" w:type="dxa"/>
              <w:bottom w:w="100" w:type="dxa"/>
              <w:right w:w="100" w:type="dxa"/>
            </w:tcMar>
          </w:tcPr>
          <w:p w14:paraId="10CF7372"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73"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Your current job status:</w:t>
            </w:r>
          </w:p>
          <w:p w14:paraId="10CF7374" w14:textId="77777777" w:rsidR="009E4375" w:rsidRDefault="00000000">
            <w:pPr>
              <w:numPr>
                <w:ilvl w:val="0"/>
                <w:numId w:val="6"/>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Full-time employment</w:t>
            </w:r>
          </w:p>
          <w:p w14:paraId="10CF7375" w14:textId="77777777" w:rsidR="009E4375" w:rsidRDefault="00000000">
            <w:pPr>
              <w:numPr>
                <w:ilvl w:val="0"/>
                <w:numId w:val="6"/>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Part-time employment</w:t>
            </w:r>
          </w:p>
          <w:p w14:paraId="10CF7376" w14:textId="77777777" w:rsidR="009E4375" w:rsidRDefault="00000000">
            <w:pPr>
              <w:numPr>
                <w:ilvl w:val="0"/>
                <w:numId w:val="6"/>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Unemployment</w:t>
            </w:r>
          </w:p>
          <w:p w14:paraId="10CF7377" w14:textId="77777777" w:rsidR="009E4375" w:rsidRDefault="00000000">
            <w:pPr>
              <w:numPr>
                <w:ilvl w:val="0"/>
                <w:numId w:val="6"/>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 ____________</w:t>
            </w:r>
          </w:p>
        </w:tc>
        <w:tc>
          <w:tcPr>
            <w:tcW w:w="4575" w:type="dxa"/>
            <w:tcMar>
              <w:top w:w="100" w:type="dxa"/>
              <w:left w:w="100" w:type="dxa"/>
              <w:bottom w:w="100" w:type="dxa"/>
              <w:right w:w="100" w:type="dxa"/>
            </w:tcMar>
          </w:tcPr>
          <w:p w14:paraId="10CF7378"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Status </w:t>
            </w:r>
            <w:proofErr w:type="spellStart"/>
            <w:r>
              <w:rPr>
                <w:rFonts w:ascii="Times New Roman" w:eastAsia="Times New Roman" w:hAnsi="Times New Roman" w:cs="Times New Roman"/>
              </w:rPr>
              <w:t>pekerjaan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sekarang</w:t>
            </w:r>
            <w:proofErr w:type="spellEnd"/>
            <w:r>
              <w:rPr>
                <w:rFonts w:ascii="Times New Roman" w:eastAsia="Times New Roman" w:hAnsi="Times New Roman" w:cs="Times New Roman"/>
              </w:rPr>
              <w:t>:</w:t>
            </w:r>
          </w:p>
          <w:p w14:paraId="10CF7379" w14:textId="77777777" w:rsidR="009E4375" w:rsidRDefault="00000000">
            <w:pPr>
              <w:numPr>
                <w:ilvl w:val="0"/>
                <w:numId w:val="6"/>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Bekerja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sepenuh</w:t>
            </w:r>
            <w:proofErr w:type="spellEnd"/>
            <w:r>
              <w:rPr>
                <w:rFonts w:ascii="Times New Roman" w:eastAsia="Times New Roman" w:hAnsi="Times New Roman" w:cs="Times New Roman"/>
              </w:rPr>
              <w:t xml:space="preserve"> masa</w:t>
            </w:r>
          </w:p>
          <w:p w14:paraId="10CF737A" w14:textId="77777777" w:rsidR="009E4375" w:rsidRDefault="00000000">
            <w:pPr>
              <w:numPr>
                <w:ilvl w:val="0"/>
                <w:numId w:val="6"/>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Bekerja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sambilan</w:t>
            </w:r>
            <w:proofErr w:type="spellEnd"/>
          </w:p>
          <w:p w14:paraId="10CF737B" w14:textId="77777777" w:rsidR="009E4375" w:rsidRDefault="00000000">
            <w:pPr>
              <w:numPr>
                <w:ilvl w:val="0"/>
                <w:numId w:val="6"/>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Pengangguran</w:t>
            </w:r>
            <w:proofErr w:type="spellEnd"/>
          </w:p>
          <w:p w14:paraId="10CF737C" w14:textId="77777777" w:rsidR="009E4375" w:rsidRDefault="00000000">
            <w:pPr>
              <w:numPr>
                <w:ilvl w:val="0"/>
                <w:numId w:val="6"/>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Lain: ____________</w:t>
            </w:r>
          </w:p>
        </w:tc>
      </w:tr>
      <w:tr w:rsidR="009E4375" w14:paraId="10CF7389" w14:textId="77777777">
        <w:tc>
          <w:tcPr>
            <w:tcW w:w="885" w:type="dxa"/>
            <w:tcMar>
              <w:top w:w="100" w:type="dxa"/>
              <w:left w:w="100" w:type="dxa"/>
              <w:bottom w:w="100" w:type="dxa"/>
              <w:right w:w="100" w:type="dxa"/>
            </w:tcMar>
          </w:tcPr>
          <w:p w14:paraId="10CF737E"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7F"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What is your father’s hearing status?</w:t>
            </w:r>
          </w:p>
          <w:p w14:paraId="10CF7380"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Deaf</w:t>
            </w:r>
          </w:p>
          <w:p w14:paraId="10CF7381"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Hard of hearing</w:t>
            </w:r>
          </w:p>
          <w:p w14:paraId="10CF7382"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Hearing</w:t>
            </w:r>
          </w:p>
          <w:p w14:paraId="10CF7383" w14:textId="77777777" w:rsidR="009E4375" w:rsidRDefault="00000000">
            <w:pPr>
              <w:numPr>
                <w:ilvl w:val="0"/>
                <w:numId w:val="2"/>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Unknown</w:t>
            </w:r>
          </w:p>
        </w:tc>
        <w:tc>
          <w:tcPr>
            <w:tcW w:w="4575" w:type="dxa"/>
            <w:tcMar>
              <w:top w:w="100" w:type="dxa"/>
              <w:left w:w="100" w:type="dxa"/>
              <w:bottom w:w="100" w:type="dxa"/>
              <w:right w:w="100" w:type="dxa"/>
            </w:tcMar>
          </w:tcPr>
          <w:p w14:paraId="10CF7384" w14:textId="77777777" w:rsidR="009E4375" w:rsidRPr="00D43BCC" w:rsidRDefault="00000000">
            <w:pPr>
              <w:shd w:val="clear" w:color="auto" w:fill="FFFFFF"/>
              <w:spacing w:before="0" w:after="16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Apakah status pendengaran bapa anda?</w:t>
            </w:r>
          </w:p>
          <w:p w14:paraId="10CF7385"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Pekak</w:t>
            </w:r>
            <w:proofErr w:type="spellEnd"/>
          </w:p>
          <w:p w14:paraId="10CF7386"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Kurang </w:t>
            </w:r>
            <w:proofErr w:type="spellStart"/>
            <w:r>
              <w:rPr>
                <w:rFonts w:ascii="Times New Roman" w:eastAsia="Times New Roman" w:hAnsi="Times New Roman" w:cs="Times New Roman"/>
              </w:rPr>
              <w:t>pendengaran</w:t>
            </w:r>
            <w:proofErr w:type="spellEnd"/>
          </w:p>
          <w:p w14:paraId="10CF7387"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Pendengaran</w:t>
            </w:r>
            <w:proofErr w:type="spellEnd"/>
          </w:p>
          <w:p w14:paraId="10CF7388" w14:textId="77777777" w:rsidR="009E4375" w:rsidRDefault="00000000">
            <w:pPr>
              <w:numPr>
                <w:ilvl w:val="0"/>
                <w:numId w:val="2"/>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diketahui</w:t>
            </w:r>
            <w:proofErr w:type="spellEnd"/>
          </w:p>
        </w:tc>
      </w:tr>
      <w:tr w:rsidR="009E4375" w14:paraId="10CF739A" w14:textId="77777777">
        <w:tc>
          <w:tcPr>
            <w:tcW w:w="885" w:type="dxa"/>
            <w:tcMar>
              <w:top w:w="100" w:type="dxa"/>
              <w:left w:w="100" w:type="dxa"/>
              <w:bottom w:w="100" w:type="dxa"/>
              <w:right w:w="100" w:type="dxa"/>
            </w:tcMar>
          </w:tcPr>
          <w:p w14:paraId="10CF738A"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8B"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What is the highest educational degree your father has obtained?</w:t>
            </w:r>
          </w:p>
          <w:p w14:paraId="10CF738C"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 school</w:t>
            </w:r>
          </w:p>
          <w:p w14:paraId="10CF738D"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Elementary school/primary school</w:t>
            </w:r>
          </w:p>
          <w:p w14:paraId="10CF738E"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High school/secondary school</w:t>
            </w:r>
          </w:p>
          <w:p w14:paraId="10CF738F"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Malaysian Certificate of Education (Sijil Pelajaran Malaysia)</w:t>
            </w:r>
          </w:p>
          <w:p w14:paraId="10CF7390"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proofErr w:type="gramStart"/>
            <w:r>
              <w:rPr>
                <w:rFonts w:ascii="Times New Roman" w:eastAsia="Times New Roman" w:hAnsi="Times New Roman" w:cs="Times New Roman"/>
              </w:rPr>
              <w:t>Bachelor Degree</w:t>
            </w:r>
            <w:proofErr w:type="gramEnd"/>
          </w:p>
          <w:p w14:paraId="10CF7391" w14:textId="77777777" w:rsidR="009E4375" w:rsidRDefault="00000000">
            <w:pPr>
              <w:numPr>
                <w:ilvl w:val="0"/>
                <w:numId w:val="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Other: ___________________</w:t>
            </w:r>
          </w:p>
        </w:tc>
        <w:tc>
          <w:tcPr>
            <w:tcW w:w="4575" w:type="dxa"/>
            <w:tcMar>
              <w:top w:w="100" w:type="dxa"/>
              <w:left w:w="100" w:type="dxa"/>
              <w:bottom w:w="100" w:type="dxa"/>
              <w:right w:w="100" w:type="dxa"/>
            </w:tcMar>
          </w:tcPr>
          <w:p w14:paraId="10CF7392"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Apa </w:t>
            </w:r>
            <w:proofErr w:type="spellStart"/>
            <w:r>
              <w:rPr>
                <w:rFonts w:ascii="Times New Roman" w:eastAsia="Times New Roman" w:hAnsi="Times New Roman" w:cs="Times New Roman"/>
              </w:rPr>
              <w:t>tahap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pendidikan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tertinggi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diperoleh</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bapa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w:t>
            </w:r>
          </w:p>
          <w:p w14:paraId="10CF7393"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bersekolah</w:t>
            </w:r>
            <w:proofErr w:type="spellEnd"/>
          </w:p>
          <w:p w14:paraId="10CF7394"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Rendah</w:t>
            </w:r>
            <w:proofErr w:type="spellEnd"/>
          </w:p>
          <w:p w14:paraId="10CF7395"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Menengah</w:t>
            </w:r>
            <w:proofErr w:type="spellEnd"/>
          </w:p>
          <w:p w14:paraId="10CF7396"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Sijil Pelajaran Malaysia (SPM)</w:t>
            </w:r>
          </w:p>
          <w:p w14:paraId="10CF7397" w14:textId="77777777" w:rsidR="009E4375" w:rsidRDefault="009E4375">
            <w:pPr>
              <w:shd w:val="clear" w:color="auto" w:fill="FFFFFF"/>
              <w:spacing w:before="0" w:after="0" w:line="276" w:lineRule="auto"/>
              <w:rPr>
                <w:rFonts w:ascii="Times New Roman" w:eastAsia="Times New Roman" w:hAnsi="Times New Roman" w:cs="Times New Roman"/>
              </w:rPr>
            </w:pPr>
          </w:p>
          <w:p w14:paraId="10CF7398"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Ijazah Sarjana Muda</w:t>
            </w:r>
          </w:p>
          <w:p w14:paraId="10CF7399" w14:textId="77777777" w:rsidR="009E4375" w:rsidRDefault="00000000">
            <w:pPr>
              <w:numPr>
                <w:ilvl w:val="0"/>
                <w:numId w:val="1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Lain: ________________ </w:t>
            </w:r>
          </w:p>
        </w:tc>
      </w:tr>
      <w:tr w:rsidR="009E4375" w14:paraId="10CF73A6" w14:textId="77777777">
        <w:tc>
          <w:tcPr>
            <w:tcW w:w="885" w:type="dxa"/>
            <w:tcMar>
              <w:top w:w="100" w:type="dxa"/>
              <w:left w:w="100" w:type="dxa"/>
              <w:bottom w:w="100" w:type="dxa"/>
              <w:right w:w="100" w:type="dxa"/>
            </w:tcMar>
          </w:tcPr>
          <w:p w14:paraId="10CF739B"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9C"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What is your mother’s hearing status?</w:t>
            </w:r>
          </w:p>
          <w:p w14:paraId="10CF739D" w14:textId="77777777" w:rsidR="009E4375" w:rsidRDefault="00000000">
            <w:pPr>
              <w:numPr>
                <w:ilvl w:val="0"/>
                <w:numId w:val="2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Deaf</w:t>
            </w:r>
          </w:p>
          <w:p w14:paraId="10CF739E" w14:textId="77777777" w:rsidR="009E4375" w:rsidRDefault="00000000">
            <w:pPr>
              <w:numPr>
                <w:ilvl w:val="0"/>
                <w:numId w:val="2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Hard of hearing</w:t>
            </w:r>
          </w:p>
          <w:p w14:paraId="10CF739F" w14:textId="77777777" w:rsidR="009E4375" w:rsidRDefault="00000000">
            <w:pPr>
              <w:numPr>
                <w:ilvl w:val="0"/>
                <w:numId w:val="23"/>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Hearing</w:t>
            </w:r>
          </w:p>
          <w:p w14:paraId="10CF73A0" w14:textId="77777777" w:rsidR="009E4375" w:rsidRDefault="00000000">
            <w:pPr>
              <w:numPr>
                <w:ilvl w:val="0"/>
                <w:numId w:val="23"/>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Unknown</w:t>
            </w:r>
          </w:p>
        </w:tc>
        <w:tc>
          <w:tcPr>
            <w:tcW w:w="4575" w:type="dxa"/>
            <w:tcMar>
              <w:top w:w="100" w:type="dxa"/>
              <w:left w:w="100" w:type="dxa"/>
              <w:bottom w:w="100" w:type="dxa"/>
              <w:right w:w="100" w:type="dxa"/>
            </w:tcMar>
          </w:tcPr>
          <w:p w14:paraId="10CF73A1" w14:textId="77777777" w:rsidR="009E4375" w:rsidRPr="00D43BCC" w:rsidRDefault="00000000">
            <w:pPr>
              <w:shd w:val="clear" w:color="auto" w:fill="FFFFFF"/>
              <w:spacing w:before="0" w:after="160" w:line="276" w:lineRule="auto"/>
              <w:rPr>
                <w:rFonts w:ascii="Times New Roman" w:eastAsia="Times New Roman" w:hAnsi="Times New Roman" w:cs="Times New Roman"/>
                <w:lang w:val="sv-SE"/>
              </w:rPr>
            </w:pPr>
            <w:r w:rsidRPr="00D43BCC">
              <w:rPr>
                <w:rFonts w:ascii="Times New Roman" w:eastAsia="Times New Roman" w:hAnsi="Times New Roman" w:cs="Times New Roman"/>
                <w:lang w:val="sv-SE"/>
              </w:rPr>
              <w:t>Apakah status pendengaran ibu anda?</w:t>
            </w:r>
          </w:p>
          <w:p w14:paraId="10CF73A2"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Pekak</w:t>
            </w:r>
            <w:proofErr w:type="spellEnd"/>
          </w:p>
          <w:p w14:paraId="10CF73A3"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Kurang </w:t>
            </w:r>
            <w:proofErr w:type="spellStart"/>
            <w:r>
              <w:rPr>
                <w:rFonts w:ascii="Times New Roman" w:eastAsia="Times New Roman" w:hAnsi="Times New Roman" w:cs="Times New Roman"/>
              </w:rPr>
              <w:t>pendengaran</w:t>
            </w:r>
            <w:proofErr w:type="spellEnd"/>
          </w:p>
          <w:p w14:paraId="10CF73A4" w14:textId="77777777" w:rsidR="009E4375" w:rsidRDefault="00000000">
            <w:pPr>
              <w:numPr>
                <w:ilvl w:val="0"/>
                <w:numId w:val="2"/>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Pendengaran</w:t>
            </w:r>
            <w:proofErr w:type="spellEnd"/>
          </w:p>
          <w:p w14:paraId="10CF73A5" w14:textId="77777777" w:rsidR="009E4375" w:rsidRDefault="00000000">
            <w:pPr>
              <w:numPr>
                <w:ilvl w:val="0"/>
                <w:numId w:val="2"/>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diketahui</w:t>
            </w:r>
            <w:proofErr w:type="spellEnd"/>
          </w:p>
        </w:tc>
      </w:tr>
      <w:tr w:rsidR="009E4375" w14:paraId="10CF73B7" w14:textId="77777777">
        <w:tc>
          <w:tcPr>
            <w:tcW w:w="885" w:type="dxa"/>
            <w:tcMar>
              <w:top w:w="100" w:type="dxa"/>
              <w:left w:w="100" w:type="dxa"/>
              <w:bottom w:w="100" w:type="dxa"/>
              <w:right w:w="100" w:type="dxa"/>
            </w:tcMar>
          </w:tcPr>
          <w:p w14:paraId="10CF73A7" w14:textId="77777777" w:rsidR="009E4375" w:rsidRDefault="009E4375">
            <w:pPr>
              <w:widowControl w:val="0"/>
              <w:spacing w:before="0" w:after="0" w:line="276" w:lineRule="auto"/>
              <w:rPr>
                <w:rFonts w:ascii="Times New Roman" w:eastAsia="Times New Roman" w:hAnsi="Times New Roman" w:cs="Times New Roman"/>
              </w:rPr>
            </w:pPr>
          </w:p>
        </w:tc>
        <w:tc>
          <w:tcPr>
            <w:tcW w:w="4590" w:type="dxa"/>
            <w:tcMar>
              <w:top w:w="100" w:type="dxa"/>
              <w:left w:w="100" w:type="dxa"/>
              <w:bottom w:w="100" w:type="dxa"/>
              <w:right w:w="100" w:type="dxa"/>
            </w:tcMar>
          </w:tcPr>
          <w:p w14:paraId="10CF73A8" w14:textId="77777777" w:rsidR="009E4375" w:rsidRDefault="00000000">
            <w:p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t>What is the highest educational degree your mother has obtained?</w:t>
            </w:r>
          </w:p>
          <w:p w14:paraId="10CF73A9"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No school</w:t>
            </w:r>
          </w:p>
          <w:p w14:paraId="10CF73AA"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Elementary school/primary school</w:t>
            </w:r>
          </w:p>
          <w:p w14:paraId="10CF73AB"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High school/secondary school</w:t>
            </w:r>
          </w:p>
          <w:p w14:paraId="10CF73AC"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Malaysian Certificate of Education (Sijil Pelajaran Malaysia)</w:t>
            </w:r>
          </w:p>
          <w:p w14:paraId="10CF73AD" w14:textId="77777777" w:rsidR="009E4375" w:rsidRDefault="00000000">
            <w:pPr>
              <w:numPr>
                <w:ilvl w:val="0"/>
                <w:numId w:val="7"/>
              </w:numPr>
              <w:shd w:val="clear" w:color="auto" w:fill="FFFFFF"/>
              <w:spacing w:before="0" w:after="0" w:line="276" w:lineRule="auto"/>
              <w:rPr>
                <w:rFonts w:ascii="Times New Roman" w:eastAsia="Times New Roman" w:hAnsi="Times New Roman" w:cs="Times New Roman"/>
              </w:rPr>
            </w:pPr>
            <w:proofErr w:type="gramStart"/>
            <w:r>
              <w:rPr>
                <w:rFonts w:ascii="Times New Roman" w:eastAsia="Times New Roman" w:hAnsi="Times New Roman" w:cs="Times New Roman"/>
              </w:rPr>
              <w:t>Bachelor Degree</w:t>
            </w:r>
            <w:proofErr w:type="gramEnd"/>
          </w:p>
          <w:p w14:paraId="10CF73AE" w14:textId="77777777" w:rsidR="009E4375" w:rsidRDefault="00000000">
            <w:pPr>
              <w:numPr>
                <w:ilvl w:val="0"/>
                <w:numId w:val="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lastRenderedPageBreak/>
              <w:t>Other: ________________</w:t>
            </w:r>
          </w:p>
        </w:tc>
        <w:tc>
          <w:tcPr>
            <w:tcW w:w="4575" w:type="dxa"/>
            <w:tcMar>
              <w:top w:w="100" w:type="dxa"/>
              <w:left w:w="100" w:type="dxa"/>
              <w:bottom w:w="100" w:type="dxa"/>
              <w:right w:w="100" w:type="dxa"/>
            </w:tcMar>
          </w:tcPr>
          <w:p w14:paraId="10CF73AF" w14:textId="77777777" w:rsidR="009E4375" w:rsidRDefault="00000000">
            <w:pPr>
              <w:shd w:val="clear" w:color="auto" w:fill="FFFFFF"/>
              <w:spacing w:before="0" w:after="160" w:line="240" w:lineRule="auto"/>
              <w:rPr>
                <w:rFonts w:ascii="Times New Roman" w:eastAsia="Times New Roman" w:hAnsi="Times New Roman" w:cs="Times New Roman"/>
              </w:rPr>
            </w:pPr>
            <w:r>
              <w:rPr>
                <w:rFonts w:ascii="Times New Roman" w:eastAsia="Times New Roman" w:hAnsi="Times New Roman" w:cs="Times New Roman"/>
              </w:rPr>
              <w:lastRenderedPageBreak/>
              <w:t xml:space="preserve">Apa </w:t>
            </w:r>
            <w:proofErr w:type="spellStart"/>
            <w:r>
              <w:rPr>
                <w:rFonts w:ascii="Times New Roman" w:eastAsia="Times New Roman" w:hAnsi="Times New Roman" w:cs="Times New Roman"/>
              </w:rPr>
              <w:t>tahap</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pendidikan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tertinggi</w:t>
            </w:r>
            <w:proofErr w:type="spellEnd"/>
            <w:r>
              <w:rPr>
                <w:rFonts w:ascii="Times New Roman" w:eastAsia="Times New Roman" w:hAnsi="Times New Roman" w:cs="Times New Roman"/>
              </w:rPr>
              <w:t xml:space="preserve"> yang </w:t>
            </w:r>
            <w:proofErr w:type="spellStart"/>
            <w:r>
              <w:rPr>
                <w:rFonts w:ascii="Times New Roman" w:eastAsia="Times New Roman" w:hAnsi="Times New Roman" w:cs="Times New Roman"/>
              </w:rPr>
              <w:t>diperoleh</w:t>
            </w:r>
            <w:proofErr w:type="spellEnd"/>
            <w:r>
              <w:rPr>
                <w:rFonts w:ascii="Times New Roman" w:eastAsia="Times New Roman" w:hAnsi="Times New Roman" w:cs="Times New Roman"/>
              </w:rPr>
              <w:t xml:space="preserve"> oleh </w:t>
            </w:r>
            <w:proofErr w:type="spellStart"/>
            <w:r>
              <w:rPr>
                <w:rFonts w:ascii="Times New Roman" w:eastAsia="Times New Roman" w:hAnsi="Times New Roman" w:cs="Times New Roman"/>
              </w:rPr>
              <w:t>ibu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anda</w:t>
            </w:r>
            <w:proofErr w:type="spellEnd"/>
            <w:r>
              <w:rPr>
                <w:rFonts w:ascii="Times New Roman" w:eastAsia="Times New Roman" w:hAnsi="Times New Roman" w:cs="Times New Roman"/>
              </w:rPr>
              <w:t>?</w:t>
            </w:r>
          </w:p>
          <w:p w14:paraId="10CF73B0"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 xml:space="preserve">Tidak </w:t>
            </w:r>
            <w:proofErr w:type="spellStart"/>
            <w:r>
              <w:rPr>
                <w:rFonts w:ascii="Times New Roman" w:eastAsia="Times New Roman" w:hAnsi="Times New Roman" w:cs="Times New Roman"/>
              </w:rPr>
              <w:t>bersekolah</w:t>
            </w:r>
            <w:proofErr w:type="spellEnd"/>
          </w:p>
          <w:p w14:paraId="10CF73B1"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Rendah</w:t>
            </w:r>
            <w:proofErr w:type="spellEnd"/>
          </w:p>
          <w:p w14:paraId="10CF73B2"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proofErr w:type="spellStart"/>
            <w:r>
              <w:rPr>
                <w:rFonts w:ascii="Times New Roman" w:eastAsia="Times New Roman" w:hAnsi="Times New Roman" w:cs="Times New Roman"/>
              </w:rPr>
              <w:t>Sekolah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Menengah</w:t>
            </w:r>
            <w:proofErr w:type="spellEnd"/>
          </w:p>
          <w:p w14:paraId="10CF73B3"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Sijil Pelajaran Malaysia (SPM)</w:t>
            </w:r>
          </w:p>
          <w:p w14:paraId="10CF73B4" w14:textId="77777777" w:rsidR="009E4375" w:rsidRDefault="009E4375">
            <w:pPr>
              <w:shd w:val="clear" w:color="auto" w:fill="FFFFFF"/>
              <w:spacing w:before="0" w:after="0" w:line="276" w:lineRule="auto"/>
              <w:ind w:left="720"/>
              <w:rPr>
                <w:rFonts w:ascii="Times New Roman" w:eastAsia="Times New Roman" w:hAnsi="Times New Roman" w:cs="Times New Roman"/>
              </w:rPr>
            </w:pPr>
          </w:p>
          <w:p w14:paraId="10CF73B5" w14:textId="77777777" w:rsidR="009E4375" w:rsidRDefault="00000000">
            <w:pPr>
              <w:numPr>
                <w:ilvl w:val="0"/>
                <w:numId w:val="17"/>
              </w:numPr>
              <w:shd w:val="clear" w:color="auto" w:fill="FFFFFF"/>
              <w:spacing w:before="0" w:after="0" w:line="276" w:lineRule="auto"/>
              <w:rPr>
                <w:rFonts w:ascii="Times New Roman" w:eastAsia="Times New Roman" w:hAnsi="Times New Roman" w:cs="Times New Roman"/>
              </w:rPr>
            </w:pPr>
            <w:r>
              <w:rPr>
                <w:rFonts w:ascii="Times New Roman" w:eastAsia="Times New Roman" w:hAnsi="Times New Roman" w:cs="Times New Roman"/>
              </w:rPr>
              <w:t>Ijazah Sarjana Muda</w:t>
            </w:r>
          </w:p>
          <w:p w14:paraId="10CF73B6" w14:textId="77777777" w:rsidR="009E4375" w:rsidRDefault="00000000">
            <w:pPr>
              <w:numPr>
                <w:ilvl w:val="0"/>
                <w:numId w:val="17"/>
              </w:numPr>
              <w:shd w:val="clear" w:color="auto" w:fill="FFFFFF"/>
              <w:spacing w:before="0" w:after="160" w:line="276" w:lineRule="auto"/>
              <w:rPr>
                <w:rFonts w:ascii="Times New Roman" w:eastAsia="Times New Roman" w:hAnsi="Times New Roman" w:cs="Times New Roman"/>
              </w:rPr>
            </w:pPr>
            <w:r>
              <w:rPr>
                <w:rFonts w:ascii="Times New Roman" w:eastAsia="Times New Roman" w:hAnsi="Times New Roman" w:cs="Times New Roman"/>
              </w:rPr>
              <w:lastRenderedPageBreak/>
              <w:t xml:space="preserve">Lain: ________________ </w:t>
            </w:r>
          </w:p>
        </w:tc>
      </w:tr>
    </w:tbl>
    <w:p w14:paraId="10CF73B8" w14:textId="77777777" w:rsidR="009E4375" w:rsidRDefault="009E4375">
      <w:pPr>
        <w:spacing w:before="0" w:after="0" w:line="276" w:lineRule="auto"/>
        <w:rPr>
          <w:sz w:val="22"/>
          <w:szCs w:val="22"/>
        </w:rPr>
      </w:pPr>
    </w:p>
    <w:p w14:paraId="10CF73B9" w14:textId="77777777" w:rsidR="009E4375" w:rsidRDefault="009E4375">
      <w:pPr>
        <w:spacing w:after="0"/>
        <w:rPr>
          <w:b/>
          <w:bCs/>
          <w:color w:val="444746"/>
          <w:sz w:val="21"/>
          <w:szCs w:val="21"/>
        </w:rPr>
      </w:pPr>
    </w:p>
    <w:p w14:paraId="10CF73BA" w14:textId="77777777" w:rsidR="009E4375" w:rsidRDefault="00000000">
      <w:pPr>
        <w:spacing w:after="0"/>
        <w:rPr>
          <w:b/>
          <w:bCs/>
          <w:color w:val="444746"/>
          <w:sz w:val="21"/>
          <w:szCs w:val="21"/>
        </w:rPr>
      </w:pPr>
      <w:r>
        <w:br w:type="page"/>
      </w:r>
    </w:p>
    <w:p w14:paraId="10CF73BB" w14:textId="77777777" w:rsidR="009E4375" w:rsidRDefault="00000000">
      <w:pPr>
        <w:pStyle w:val="Heading2"/>
      </w:pPr>
      <w:bookmarkStart w:id="97" w:name="_Toc214490446"/>
      <w:r>
        <w:lastRenderedPageBreak/>
        <w:t>Appendix C</w:t>
      </w:r>
      <w:bookmarkEnd w:id="97"/>
    </w:p>
    <w:p w14:paraId="10CF73BC" w14:textId="77777777" w:rsidR="009E4375" w:rsidRDefault="00000000">
      <w:pPr>
        <w:pStyle w:val="Heading3"/>
      </w:pPr>
      <w:bookmarkStart w:id="98" w:name="_Toc214490447"/>
      <w:r>
        <w:t>Demonstrating the Survey in various Languages (English, Malay and BIM)</w:t>
      </w:r>
      <w:bookmarkEnd w:id="98"/>
    </w:p>
    <w:p w14:paraId="10CF73BD" w14:textId="77777777" w:rsidR="009E4375" w:rsidRDefault="009E4375"/>
    <w:p w14:paraId="10CF73BE" w14:textId="77777777" w:rsidR="009E4375" w:rsidRDefault="00000000">
      <w:pPr>
        <w:spacing w:before="200" w:after="0"/>
        <w:jc w:val="center"/>
      </w:pPr>
      <w:r>
        <w:t>Surveys conducted using a computer or laptop</w:t>
      </w:r>
      <w:r>
        <w:rPr>
          <w:noProof/>
        </w:rPr>
        <w:drawing>
          <wp:anchor distT="114300" distB="114300" distL="114300" distR="114300" simplePos="0" relativeHeight="251658240" behindDoc="0" locked="0" layoutInCell="1" hidden="0" allowOverlap="1" wp14:anchorId="10CF73D1" wp14:editId="10CF73D2">
            <wp:simplePos x="0" y="0"/>
            <wp:positionH relativeFrom="column">
              <wp:posOffset>19051</wp:posOffset>
            </wp:positionH>
            <wp:positionV relativeFrom="paragraph">
              <wp:posOffset>171450</wp:posOffset>
            </wp:positionV>
            <wp:extent cx="6074921" cy="4207259"/>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9"/>
                    <a:srcRect/>
                    <a:stretch>
                      <a:fillRect/>
                    </a:stretch>
                  </pic:blipFill>
                  <pic:spPr>
                    <a:xfrm>
                      <a:off x="0" y="0"/>
                      <a:ext cx="6074921" cy="4207259"/>
                    </a:xfrm>
                    <a:prstGeom prst="rect">
                      <a:avLst/>
                    </a:prstGeom>
                    <a:ln/>
                  </pic:spPr>
                </pic:pic>
              </a:graphicData>
            </a:graphic>
          </wp:anchor>
        </w:drawing>
      </w:r>
    </w:p>
    <w:p w14:paraId="10CF73BF" w14:textId="77777777" w:rsidR="009E4375" w:rsidRDefault="00000000">
      <w:r>
        <w:rPr>
          <w:noProof/>
        </w:rPr>
        <w:lastRenderedPageBreak/>
        <w:drawing>
          <wp:anchor distT="114300" distB="114300" distL="114300" distR="114300" simplePos="0" relativeHeight="251659264" behindDoc="0" locked="0" layoutInCell="1" hidden="0" allowOverlap="1" wp14:anchorId="10CF73D3" wp14:editId="10CF73D4">
            <wp:simplePos x="0" y="0"/>
            <wp:positionH relativeFrom="margin">
              <wp:align>center</wp:align>
            </wp:positionH>
            <wp:positionV relativeFrom="margin">
              <wp:align>top</wp:align>
            </wp:positionV>
            <wp:extent cx="3450975" cy="6586538"/>
            <wp:effectExtent l="0" t="0" r="0" b="0"/>
            <wp:wrapTopAndBottom distT="114300" distB="11430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0"/>
                    <a:srcRect/>
                    <a:stretch>
                      <a:fillRect/>
                    </a:stretch>
                  </pic:blipFill>
                  <pic:spPr>
                    <a:xfrm>
                      <a:off x="0" y="0"/>
                      <a:ext cx="3450975" cy="6586538"/>
                    </a:xfrm>
                    <a:prstGeom prst="rect">
                      <a:avLst/>
                    </a:prstGeom>
                    <a:ln/>
                  </pic:spPr>
                </pic:pic>
              </a:graphicData>
            </a:graphic>
          </wp:anchor>
        </w:drawing>
      </w:r>
    </w:p>
    <w:p w14:paraId="10CF73C0" w14:textId="77777777" w:rsidR="009E4375" w:rsidRDefault="00000000">
      <w:pPr>
        <w:spacing w:before="200" w:after="0"/>
        <w:jc w:val="center"/>
      </w:pPr>
      <w:r>
        <w:t>The use of a mobile phone for a survey</w:t>
      </w:r>
    </w:p>
    <w:p w14:paraId="10CF73C1" w14:textId="77777777" w:rsidR="009E4375" w:rsidRDefault="009E4375">
      <w:pPr>
        <w:spacing w:before="200" w:after="0"/>
        <w:jc w:val="center"/>
      </w:pPr>
    </w:p>
    <w:p w14:paraId="10CF73C2" w14:textId="77777777" w:rsidR="009E4375" w:rsidRDefault="009E4375">
      <w:pPr>
        <w:spacing w:before="200" w:after="0"/>
        <w:jc w:val="center"/>
      </w:pPr>
    </w:p>
    <w:p w14:paraId="10CF73C3" w14:textId="77777777" w:rsidR="009E4375" w:rsidRDefault="00000000">
      <w:pPr>
        <w:pStyle w:val="Heading2"/>
        <w:spacing w:before="200"/>
      </w:pPr>
      <w:bookmarkStart w:id="99" w:name="_Toc214490448"/>
      <w:r>
        <w:lastRenderedPageBreak/>
        <w:t>Vita</w:t>
      </w:r>
      <w:bookmarkEnd w:id="99"/>
    </w:p>
    <w:p w14:paraId="10CF73C4" w14:textId="77777777" w:rsidR="009E4375" w:rsidRDefault="00000000">
      <w:pPr>
        <w:spacing w:before="200" w:after="0"/>
      </w:pPr>
      <w:r>
        <w:t xml:space="preserve">Mr. Tur </w:t>
      </w:r>
      <w:proofErr w:type="gramStart"/>
      <w:r>
        <w:t>Chung,</w:t>
      </w:r>
      <w:proofErr w:type="gramEnd"/>
      <w:r>
        <w:t xml:space="preserve"> Lee has been a profoundly deaf person since he was born. He grew up with a younger deaf sibling. He has worked with deaf students ranging from 5 years old to 19 years old for over 15 years. In 1998, He was one of the first batch of disabled people to be accepted into the Specialist Teachers’ Training Institute in Malaysia. He became a trained teacher after graduating with a diploma in teaching in 2001. He received a Bachelor of Education in Special Education in 2006 and a Master of Education degree in Special Education in 2019 from National University of Malaysia in Malaysia. To study for a Ph.D. degree in a foreign country instead of a local university, he stepped out of his comfort zone. Through the Fulbright scholarship, he studied in the USA to broaden his perspective in deaf education and enhance his skills on a global scale. He graduated from the University of Tennessee in Knoxville, Tennessee with a doctorate degree in Teacher Education with a concentration in Special Education, Deaf Education, and Interpreter Education in 2025.</w:t>
      </w:r>
    </w:p>
    <w:sectPr w:rsidR="009E4375" w:rsidSect="00786D75">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E9EB4" w14:textId="77777777" w:rsidR="002A4118" w:rsidRDefault="002A4118">
      <w:pPr>
        <w:spacing w:before="0" w:after="0" w:line="240" w:lineRule="auto"/>
      </w:pPr>
      <w:r>
        <w:separator/>
      </w:r>
    </w:p>
  </w:endnote>
  <w:endnote w:type="continuationSeparator" w:id="0">
    <w:p w14:paraId="22F0C8D7" w14:textId="77777777" w:rsidR="002A4118" w:rsidRDefault="002A411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93" w:csb1="00000000"/>
    <w:embedRegular r:id="rId1" w:fontKey="{C15B17FD-803A-4910-A56F-989F275AFE67}"/>
  </w:font>
  <w:font w:name="Calibri">
    <w:panose1 w:val="020F0502020204030204"/>
    <w:charset w:val="00"/>
    <w:family w:val="swiss"/>
    <w:pitch w:val="variable"/>
    <w:sig w:usb0="E4002EFF" w:usb1="C200247B" w:usb2="00000009" w:usb3="00000000" w:csb0="000001FF" w:csb1="00000000"/>
    <w:embedRegular r:id="rId2" w:fontKey="{D68BFBC0-DD28-4F1D-B045-C0336E2B659D}"/>
  </w:font>
  <w:font w:name="Cambria">
    <w:panose1 w:val="02040503050406030204"/>
    <w:charset w:val="00"/>
    <w:family w:val="roman"/>
    <w:pitch w:val="variable"/>
    <w:sig w:usb0="E00006FF" w:usb1="420024FF" w:usb2="02000000" w:usb3="00000000" w:csb0="0000019F" w:csb1="00000000"/>
    <w:embedRegular r:id="rId3" w:fontKey="{E195FBF8-A5AD-47D3-8161-50EC64A17A5A}"/>
    <w:embedBold r:id="rId4" w:fontKey="{82CD1B2A-0510-4F9E-A9D3-A0398B7ECE7D}"/>
  </w:font>
  <w:font w:name="Cambria Math">
    <w:panose1 w:val="02040503050406030204"/>
    <w:charset w:val="00"/>
    <w:family w:val="roman"/>
    <w:pitch w:val="variable"/>
    <w:sig w:usb0="E00006FF" w:usb1="420024FF" w:usb2="02000000" w:usb3="00000000" w:csb0="0000019F" w:csb1="00000000"/>
    <w:embedItalic r:id="rId5" w:fontKey="{FCDCDCF5-2766-44C5-B825-F94B2F247D9A}"/>
  </w:font>
  <w:font w:name="Arial Unicode MS">
    <w:altName w:val="Arial"/>
    <w:panose1 w:val="020B0604020202020204"/>
    <w:charset w:val="00"/>
    <w:family w:val="auto"/>
    <w:pitch w:val="default"/>
  </w:font>
  <w:font w:name="Verdana">
    <w:panose1 w:val="020B0604030504040204"/>
    <w:charset w:val="00"/>
    <w:family w:val="swiss"/>
    <w:pitch w:val="variable"/>
    <w:sig w:usb0="A00006FF" w:usb1="4000205B" w:usb2="00000010" w:usb3="00000000" w:csb0="0000019F" w:csb1="00000000"/>
    <w:embedRegular r:id="rId6" w:fontKey="{B81DAEED-5A79-47A9-B77B-528DEBE548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73D7" w14:textId="77777777" w:rsidR="009E4375" w:rsidRDefault="009E4375">
    <w:pPr>
      <w:pBdr>
        <w:top w:val="nil"/>
        <w:left w:val="nil"/>
        <w:bottom w:val="nil"/>
        <w:right w:val="nil"/>
        <w:between w:val="nil"/>
      </w:pBdr>
      <w:tabs>
        <w:tab w:val="center" w:pos="4680"/>
        <w:tab w:val="right" w:pos="9360"/>
      </w:tabs>
      <w:spacing w:before="0"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73D8" w14:textId="507D9BE3" w:rsidR="009E4375" w:rsidRDefault="00000000">
    <w:pPr>
      <w:pBdr>
        <w:top w:val="nil"/>
        <w:left w:val="nil"/>
        <w:bottom w:val="nil"/>
        <w:right w:val="nil"/>
        <w:between w:val="nil"/>
      </w:pBdr>
      <w:tabs>
        <w:tab w:val="center" w:pos="4680"/>
        <w:tab w:val="right" w:pos="9360"/>
      </w:tabs>
      <w:spacing w:before="0" w:after="0" w:line="240" w:lineRule="auto"/>
      <w:jc w:val="center"/>
      <w:rPr>
        <w:color w:val="000000"/>
      </w:rPr>
    </w:pPr>
    <w:r>
      <w:fldChar w:fldCharType="begin"/>
    </w:r>
    <w:r>
      <w:instrText>PAGE</w:instrText>
    </w:r>
    <w:r>
      <w:fldChar w:fldCharType="separate"/>
    </w:r>
    <w:r w:rsidR="00D43BC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04A5F" w14:textId="77777777" w:rsidR="002A4118" w:rsidRDefault="002A4118">
      <w:pPr>
        <w:spacing w:before="0" w:after="0" w:line="240" w:lineRule="auto"/>
      </w:pPr>
      <w:r>
        <w:separator/>
      </w:r>
    </w:p>
  </w:footnote>
  <w:footnote w:type="continuationSeparator" w:id="0">
    <w:p w14:paraId="3949A675" w14:textId="77777777" w:rsidR="002A4118" w:rsidRDefault="002A4118">
      <w:pPr>
        <w:spacing w:before="0" w:after="0" w:line="240" w:lineRule="auto"/>
      </w:pPr>
      <w:r>
        <w:continuationSeparator/>
      </w:r>
    </w:p>
  </w:footnote>
  <w:footnote w:id="1">
    <w:p w14:paraId="10CF73DB" w14:textId="77777777" w:rsidR="009E4375" w:rsidRDefault="00000000">
      <w:pPr>
        <w:spacing w:before="0" w:after="0" w:line="240" w:lineRule="auto"/>
        <w:rPr>
          <w:strike/>
          <w:sz w:val="20"/>
          <w:szCs w:val="20"/>
        </w:rPr>
      </w:pPr>
      <w:r>
        <w:rPr>
          <w:vertAlign w:val="superscript"/>
        </w:rPr>
        <w:footnoteRef/>
      </w:r>
      <w:r>
        <w:rPr>
          <w:sz w:val="20"/>
          <w:szCs w:val="20"/>
        </w:rPr>
        <w:t xml:space="preserve"> The term deaf is used throughout this paper as an inclusive term representing deaf and hard of hearing persons.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73D5" w14:textId="77777777" w:rsidR="009E4375" w:rsidRDefault="009E4375">
    <w:pPr>
      <w:pBdr>
        <w:top w:val="nil"/>
        <w:left w:val="nil"/>
        <w:bottom w:val="nil"/>
        <w:right w:val="nil"/>
        <w:between w:val="nil"/>
      </w:pBdr>
      <w:tabs>
        <w:tab w:val="center" w:pos="4680"/>
        <w:tab w:val="right" w:pos="9360"/>
      </w:tabs>
      <w:spacing w:before="0"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73D6" w14:textId="77777777" w:rsidR="009E4375" w:rsidRDefault="009E4375">
    <w:pPr>
      <w:pBdr>
        <w:top w:val="nil"/>
        <w:left w:val="nil"/>
        <w:bottom w:val="nil"/>
        <w:right w:val="nil"/>
        <w:between w:val="nil"/>
      </w:pBdr>
      <w:tabs>
        <w:tab w:val="center" w:pos="4680"/>
        <w:tab w:val="right" w:pos="9360"/>
      </w:tabs>
      <w:spacing w:before="0" w:after="0" w:line="240"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73D9" w14:textId="77777777" w:rsidR="009E4375" w:rsidRDefault="009E4375">
    <w:pPr>
      <w:pBdr>
        <w:top w:val="nil"/>
        <w:left w:val="nil"/>
        <w:bottom w:val="nil"/>
        <w:right w:val="nil"/>
        <w:between w:val="nil"/>
      </w:pBdr>
      <w:tabs>
        <w:tab w:val="center" w:pos="4680"/>
        <w:tab w:val="right" w:pos="9360"/>
      </w:tabs>
      <w:spacing w:before="0"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14BAC"/>
    <w:multiLevelType w:val="multilevel"/>
    <w:tmpl w:val="9DF41A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ADB1F20"/>
    <w:multiLevelType w:val="multilevel"/>
    <w:tmpl w:val="9D64A0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FC10084"/>
    <w:multiLevelType w:val="multilevel"/>
    <w:tmpl w:val="F8103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E47ACD"/>
    <w:multiLevelType w:val="multilevel"/>
    <w:tmpl w:val="BBC024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7C5171A"/>
    <w:multiLevelType w:val="multilevel"/>
    <w:tmpl w:val="CEF62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F52BDD"/>
    <w:multiLevelType w:val="multilevel"/>
    <w:tmpl w:val="F74262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72F67E5"/>
    <w:multiLevelType w:val="multilevel"/>
    <w:tmpl w:val="1F9AB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A5324C"/>
    <w:multiLevelType w:val="multilevel"/>
    <w:tmpl w:val="B74A1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7F27BE7"/>
    <w:multiLevelType w:val="multilevel"/>
    <w:tmpl w:val="2BF0E6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A033DB9"/>
    <w:multiLevelType w:val="multilevel"/>
    <w:tmpl w:val="2940D6B6"/>
    <w:lvl w:ilvl="0">
      <w:start w:val="1"/>
      <w:numFmt w:val="decimal"/>
      <w:lvlText w:val="%1."/>
      <w:lvlJc w:val="right"/>
      <w:pPr>
        <w:ind w:left="360" w:hanging="18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0" w15:restartNumberingAfterBreak="0">
    <w:nsid w:val="42C72086"/>
    <w:multiLevelType w:val="hybridMultilevel"/>
    <w:tmpl w:val="E5BC09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E164F6"/>
    <w:multiLevelType w:val="multilevel"/>
    <w:tmpl w:val="F15E3C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3502523"/>
    <w:multiLevelType w:val="multilevel"/>
    <w:tmpl w:val="BE86BE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4301542"/>
    <w:multiLevelType w:val="multilevel"/>
    <w:tmpl w:val="75A4ADA8"/>
    <w:lvl w:ilvl="0">
      <w:start w:val="1"/>
      <w:numFmt w:val="decimal"/>
      <w:lvlText w:val="%1."/>
      <w:lvlJc w:val="left"/>
      <w:pPr>
        <w:ind w:left="36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8B218E2"/>
    <w:multiLevelType w:val="multilevel"/>
    <w:tmpl w:val="A4C820F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5" w15:restartNumberingAfterBreak="0">
    <w:nsid w:val="492F5842"/>
    <w:multiLevelType w:val="multilevel"/>
    <w:tmpl w:val="3EACDA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26D769C"/>
    <w:multiLevelType w:val="multilevel"/>
    <w:tmpl w:val="30E41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9BF362E"/>
    <w:multiLevelType w:val="multilevel"/>
    <w:tmpl w:val="8682B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B2A146D"/>
    <w:multiLevelType w:val="multilevel"/>
    <w:tmpl w:val="79541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E3F6A77"/>
    <w:multiLevelType w:val="multilevel"/>
    <w:tmpl w:val="3A7AD7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74C2338"/>
    <w:multiLevelType w:val="multilevel"/>
    <w:tmpl w:val="A5FE7D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69E77E6C"/>
    <w:multiLevelType w:val="multilevel"/>
    <w:tmpl w:val="7966E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9FB084C"/>
    <w:multiLevelType w:val="multilevel"/>
    <w:tmpl w:val="14008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CE14F28"/>
    <w:multiLevelType w:val="multilevel"/>
    <w:tmpl w:val="F82674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D3E234E"/>
    <w:multiLevelType w:val="multilevel"/>
    <w:tmpl w:val="3A123E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3CC23B9"/>
    <w:multiLevelType w:val="multilevel"/>
    <w:tmpl w:val="40D0F7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94A702D"/>
    <w:multiLevelType w:val="multilevel"/>
    <w:tmpl w:val="69A8D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D237E9F"/>
    <w:multiLevelType w:val="multilevel"/>
    <w:tmpl w:val="DE504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FDA10B9"/>
    <w:multiLevelType w:val="multilevel"/>
    <w:tmpl w:val="32F2E2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13960744">
    <w:abstractNumId w:val="28"/>
  </w:num>
  <w:num w:numId="2" w16cid:durableId="1201668583">
    <w:abstractNumId w:val="5"/>
  </w:num>
  <w:num w:numId="3" w16cid:durableId="494614300">
    <w:abstractNumId w:val="19"/>
  </w:num>
  <w:num w:numId="4" w16cid:durableId="1723019115">
    <w:abstractNumId w:val="2"/>
  </w:num>
  <w:num w:numId="5" w16cid:durableId="939408303">
    <w:abstractNumId w:val="17"/>
  </w:num>
  <w:num w:numId="6" w16cid:durableId="982540694">
    <w:abstractNumId w:val="27"/>
  </w:num>
  <w:num w:numId="7" w16cid:durableId="1507742121">
    <w:abstractNumId w:val="21"/>
  </w:num>
  <w:num w:numId="8" w16cid:durableId="612588963">
    <w:abstractNumId w:val="18"/>
  </w:num>
  <w:num w:numId="9" w16cid:durableId="403189988">
    <w:abstractNumId w:val="0"/>
  </w:num>
  <w:num w:numId="10" w16cid:durableId="773016109">
    <w:abstractNumId w:val="11"/>
  </w:num>
  <w:num w:numId="11" w16cid:durableId="1387215292">
    <w:abstractNumId w:val="14"/>
  </w:num>
  <w:num w:numId="12" w16cid:durableId="1296718135">
    <w:abstractNumId w:val="22"/>
  </w:num>
  <w:num w:numId="13" w16cid:durableId="2099785075">
    <w:abstractNumId w:val="4"/>
  </w:num>
  <w:num w:numId="14" w16cid:durableId="572084943">
    <w:abstractNumId w:val="13"/>
  </w:num>
  <w:num w:numId="15" w16cid:durableId="82144097">
    <w:abstractNumId w:val="8"/>
  </w:num>
  <w:num w:numId="16" w16cid:durableId="1384794013">
    <w:abstractNumId w:val="12"/>
  </w:num>
  <w:num w:numId="17" w16cid:durableId="1599674051">
    <w:abstractNumId w:val="15"/>
  </w:num>
  <w:num w:numId="18" w16cid:durableId="2083941681">
    <w:abstractNumId w:val="20"/>
  </w:num>
  <w:num w:numId="19" w16cid:durableId="2115705887">
    <w:abstractNumId w:val="25"/>
  </w:num>
  <w:num w:numId="20" w16cid:durableId="513567767">
    <w:abstractNumId w:val="1"/>
  </w:num>
  <w:num w:numId="21" w16cid:durableId="804078846">
    <w:abstractNumId w:val="16"/>
  </w:num>
  <w:num w:numId="22" w16cid:durableId="1927878473">
    <w:abstractNumId w:val="23"/>
  </w:num>
  <w:num w:numId="23" w16cid:durableId="1118835323">
    <w:abstractNumId w:val="6"/>
  </w:num>
  <w:num w:numId="24" w16cid:durableId="334383494">
    <w:abstractNumId w:val="9"/>
  </w:num>
  <w:num w:numId="25" w16cid:durableId="1939866445">
    <w:abstractNumId w:val="24"/>
  </w:num>
  <w:num w:numId="26" w16cid:durableId="285233754">
    <w:abstractNumId w:val="7"/>
  </w:num>
  <w:num w:numId="27" w16cid:durableId="1144467853">
    <w:abstractNumId w:val="26"/>
  </w:num>
  <w:num w:numId="28" w16cid:durableId="771780311">
    <w:abstractNumId w:val="3"/>
  </w:num>
  <w:num w:numId="29" w16cid:durableId="747866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75"/>
    <w:rsid w:val="00046306"/>
    <w:rsid w:val="00047C99"/>
    <w:rsid w:val="000526DE"/>
    <w:rsid w:val="00062F99"/>
    <w:rsid w:val="0007731A"/>
    <w:rsid w:val="00084056"/>
    <w:rsid w:val="0009223A"/>
    <w:rsid w:val="000C4BA3"/>
    <w:rsid w:val="000D6730"/>
    <w:rsid w:val="000E1AD1"/>
    <w:rsid w:val="00101D05"/>
    <w:rsid w:val="00102299"/>
    <w:rsid w:val="00102D8D"/>
    <w:rsid w:val="00103E29"/>
    <w:rsid w:val="001305C4"/>
    <w:rsid w:val="00152DD7"/>
    <w:rsid w:val="001666DE"/>
    <w:rsid w:val="00177991"/>
    <w:rsid w:val="00182CE1"/>
    <w:rsid w:val="001F367A"/>
    <w:rsid w:val="00226C41"/>
    <w:rsid w:val="00242FDD"/>
    <w:rsid w:val="00245B9E"/>
    <w:rsid w:val="00266915"/>
    <w:rsid w:val="002808D3"/>
    <w:rsid w:val="002A24FF"/>
    <w:rsid w:val="002A4118"/>
    <w:rsid w:val="002B5D64"/>
    <w:rsid w:val="002C04FE"/>
    <w:rsid w:val="002C1FA9"/>
    <w:rsid w:val="002C2622"/>
    <w:rsid w:val="002D730E"/>
    <w:rsid w:val="002D7BC9"/>
    <w:rsid w:val="002E5D90"/>
    <w:rsid w:val="003041C2"/>
    <w:rsid w:val="00306103"/>
    <w:rsid w:val="00356DF9"/>
    <w:rsid w:val="00380F9C"/>
    <w:rsid w:val="003E7A36"/>
    <w:rsid w:val="00423AF1"/>
    <w:rsid w:val="00432B67"/>
    <w:rsid w:val="004370C1"/>
    <w:rsid w:val="00442436"/>
    <w:rsid w:val="0048071F"/>
    <w:rsid w:val="004B082A"/>
    <w:rsid w:val="004B180A"/>
    <w:rsid w:val="004B32F4"/>
    <w:rsid w:val="00505832"/>
    <w:rsid w:val="00512C14"/>
    <w:rsid w:val="005224EE"/>
    <w:rsid w:val="00560D06"/>
    <w:rsid w:val="00564D67"/>
    <w:rsid w:val="005D6687"/>
    <w:rsid w:val="00603D09"/>
    <w:rsid w:val="006055CC"/>
    <w:rsid w:val="006410BE"/>
    <w:rsid w:val="0065123D"/>
    <w:rsid w:val="00651970"/>
    <w:rsid w:val="00653D67"/>
    <w:rsid w:val="0066400E"/>
    <w:rsid w:val="00664176"/>
    <w:rsid w:val="00683D90"/>
    <w:rsid w:val="006850DD"/>
    <w:rsid w:val="00690AEF"/>
    <w:rsid w:val="006B082C"/>
    <w:rsid w:val="006E6831"/>
    <w:rsid w:val="0071197E"/>
    <w:rsid w:val="00714AAF"/>
    <w:rsid w:val="007317D0"/>
    <w:rsid w:val="007427C2"/>
    <w:rsid w:val="00745369"/>
    <w:rsid w:val="0075688B"/>
    <w:rsid w:val="007578B6"/>
    <w:rsid w:val="007726E5"/>
    <w:rsid w:val="00773611"/>
    <w:rsid w:val="00786D75"/>
    <w:rsid w:val="0079512C"/>
    <w:rsid w:val="007A352D"/>
    <w:rsid w:val="007B5E2C"/>
    <w:rsid w:val="007D0A6B"/>
    <w:rsid w:val="007E2464"/>
    <w:rsid w:val="0081771D"/>
    <w:rsid w:val="008309CE"/>
    <w:rsid w:val="008321B5"/>
    <w:rsid w:val="00843A5E"/>
    <w:rsid w:val="008604EA"/>
    <w:rsid w:val="00864F5B"/>
    <w:rsid w:val="00897D9F"/>
    <w:rsid w:val="008B3FA9"/>
    <w:rsid w:val="008C512F"/>
    <w:rsid w:val="009331C8"/>
    <w:rsid w:val="009562CA"/>
    <w:rsid w:val="00972D68"/>
    <w:rsid w:val="00980FCF"/>
    <w:rsid w:val="0098360E"/>
    <w:rsid w:val="009938D6"/>
    <w:rsid w:val="009C7ECB"/>
    <w:rsid w:val="009E4375"/>
    <w:rsid w:val="009E6F6A"/>
    <w:rsid w:val="00A00C11"/>
    <w:rsid w:val="00A26ED6"/>
    <w:rsid w:val="00A62649"/>
    <w:rsid w:val="00A727DF"/>
    <w:rsid w:val="00A83CCE"/>
    <w:rsid w:val="00B52658"/>
    <w:rsid w:val="00B5581C"/>
    <w:rsid w:val="00B57A92"/>
    <w:rsid w:val="00B66D0B"/>
    <w:rsid w:val="00B74902"/>
    <w:rsid w:val="00B75B48"/>
    <w:rsid w:val="00B92EE2"/>
    <w:rsid w:val="00BB0753"/>
    <w:rsid w:val="00BC20EF"/>
    <w:rsid w:val="00BD0690"/>
    <w:rsid w:val="00BD14E8"/>
    <w:rsid w:val="00BF358B"/>
    <w:rsid w:val="00C22509"/>
    <w:rsid w:val="00C23A74"/>
    <w:rsid w:val="00C41DD9"/>
    <w:rsid w:val="00C43A9B"/>
    <w:rsid w:val="00C50211"/>
    <w:rsid w:val="00C765D5"/>
    <w:rsid w:val="00C81443"/>
    <w:rsid w:val="00C96493"/>
    <w:rsid w:val="00CA27AB"/>
    <w:rsid w:val="00CB5CD9"/>
    <w:rsid w:val="00CF55EE"/>
    <w:rsid w:val="00D02B44"/>
    <w:rsid w:val="00D41DFE"/>
    <w:rsid w:val="00D43BCC"/>
    <w:rsid w:val="00D45233"/>
    <w:rsid w:val="00D51647"/>
    <w:rsid w:val="00D539FB"/>
    <w:rsid w:val="00D60F73"/>
    <w:rsid w:val="00DB582E"/>
    <w:rsid w:val="00DE2AA7"/>
    <w:rsid w:val="00E66758"/>
    <w:rsid w:val="00E817C9"/>
    <w:rsid w:val="00E859A5"/>
    <w:rsid w:val="00E93C2F"/>
    <w:rsid w:val="00EA450C"/>
    <w:rsid w:val="00EB4DDD"/>
    <w:rsid w:val="00EC3DBC"/>
    <w:rsid w:val="00EE4329"/>
    <w:rsid w:val="00F017F1"/>
    <w:rsid w:val="00F03590"/>
    <w:rsid w:val="00F050B2"/>
    <w:rsid w:val="00F20DE4"/>
    <w:rsid w:val="00F32215"/>
    <w:rsid w:val="00FB791D"/>
    <w:rsid w:val="00FD0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6825"/>
  <w15:docId w15:val="{D8ED7AB8-EF40-4055-B32F-9B8C7F69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 w:eastAsia="en-US" w:bidi="ar-SA"/>
      </w:rPr>
    </w:rPrDefault>
    <w:pPrDefault>
      <w:pPr>
        <w:spacing w:before="240"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0" w:after="0"/>
      <w:jc w:val="center"/>
      <w:outlineLvl w:val="0"/>
    </w:pPr>
    <w:rPr>
      <w:b/>
      <w:bCs/>
    </w:rPr>
  </w:style>
  <w:style w:type="paragraph" w:styleId="Heading2">
    <w:name w:val="heading 2"/>
    <w:basedOn w:val="Normal"/>
    <w:next w:val="Normal"/>
    <w:uiPriority w:val="9"/>
    <w:unhideWhenUsed/>
    <w:qFormat/>
    <w:pPr>
      <w:keepNext/>
      <w:keepLines/>
      <w:spacing w:before="0" w:after="0"/>
      <w:jc w:val="center"/>
      <w:outlineLvl w:val="1"/>
    </w:pPr>
    <w:rPr>
      <w:b/>
      <w:bCs/>
    </w:rPr>
  </w:style>
  <w:style w:type="paragraph" w:styleId="Heading3">
    <w:name w:val="heading 3"/>
    <w:basedOn w:val="Normal"/>
    <w:next w:val="Normal"/>
    <w:uiPriority w:val="9"/>
    <w:unhideWhenUsed/>
    <w:qFormat/>
    <w:pPr>
      <w:keepNext/>
      <w:keepLines/>
      <w:spacing w:before="0" w:after="0"/>
      <w:outlineLvl w:val="2"/>
    </w:pPr>
    <w:rPr>
      <w:b/>
      <w:bCs/>
    </w:rPr>
  </w:style>
  <w:style w:type="paragraph" w:styleId="Heading4">
    <w:name w:val="heading 4"/>
    <w:basedOn w:val="Normal"/>
    <w:next w:val="Normal"/>
    <w:uiPriority w:val="9"/>
    <w:unhideWhenUsed/>
    <w:qFormat/>
    <w:rsid w:val="0098360E"/>
    <w:pPr>
      <w:keepNext/>
      <w:keepLines/>
      <w:spacing w:before="0" w:after="0"/>
      <w:outlineLvl w:val="3"/>
    </w:pPr>
    <w:rPr>
      <w:b/>
      <w:bCs/>
      <w:iCs/>
    </w:rPr>
  </w:style>
  <w:style w:type="paragraph" w:styleId="Heading5">
    <w:name w:val="heading 5"/>
    <w:basedOn w:val="Normal"/>
    <w:next w:val="Normal"/>
    <w:uiPriority w:val="9"/>
    <w:unhideWhenUsed/>
    <w:qFormat/>
    <w:pPr>
      <w:keepNext/>
      <w:keepLines/>
      <w:spacing w:before="40"/>
      <w:outlineLvl w:val="4"/>
    </w:pPr>
    <w:rPr>
      <w:b/>
      <w:bCs/>
    </w:rPr>
  </w:style>
  <w:style w:type="paragraph" w:styleId="Heading6">
    <w:name w:val="heading 6"/>
    <w:basedOn w:val="Normal"/>
    <w:next w:val="Normal"/>
    <w:uiPriority w:val="9"/>
    <w:semiHidden/>
    <w:unhideWhenUsed/>
    <w:qFormat/>
    <w:pPr>
      <w:keepNext/>
      <w:keepLines/>
      <w:spacing w:before="0" w:after="0" w:line="276" w:lineRule="auto"/>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04" w:lineRule="auto"/>
    </w:pPr>
    <w:rPr>
      <w:rFonts w:ascii="Abadi" w:eastAsia="Abadi" w:hAnsi="Abadi" w:cs="Abadi"/>
      <w:smallCaps/>
      <w:color w:val="000000"/>
    </w:rPr>
  </w:style>
  <w:style w:type="paragraph" w:styleId="Subtitle">
    <w:name w:val="Subtitle"/>
    <w:basedOn w:val="Normal"/>
    <w:next w:val="Normal"/>
    <w:uiPriority w:val="11"/>
    <w:qFormat/>
    <w:pPr>
      <w:spacing w:line="240" w:lineRule="auto"/>
    </w:pPr>
    <w:rPr>
      <w:rFonts w:ascii="Calibri" w:eastAsia="Calibri" w:hAnsi="Calibri" w:cs="Calibri"/>
      <w:color w:val="4472C4"/>
      <w:sz w:val="28"/>
      <w:szCs w:val="2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paragraph" w:styleId="Footer">
    <w:name w:val="footer"/>
    <w:basedOn w:val="Normal"/>
    <w:link w:val="FooterChar"/>
    <w:uiPriority w:val="99"/>
    <w:unhideWhenUsed/>
    <w:rsid w:val="00D43BCC"/>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43BCC"/>
  </w:style>
  <w:style w:type="paragraph" w:styleId="ListParagraph">
    <w:name w:val="List Paragraph"/>
    <w:basedOn w:val="Normal"/>
    <w:uiPriority w:val="34"/>
    <w:qFormat/>
    <w:rsid w:val="00102D8D"/>
    <w:pPr>
      <w:ind w:left="720"/>
      <w:contextualSpacing/>
    </w:pPr>
  </w:style>
  <w:style w:type="paragraph" w:styleId="TOC1">
    <w:name w:val="toc 1"/>
    <w:basedOn w:val="Normal"/>
    <w:next w:val="Normal"/>
    <w:autoRedefine/>
    <w:uiPriority w:val="39"/>
    <w:unhideWhenUsed/>
    <w:rsid w:val="00442436"/>
    <w:pPr>
      <w:tabs>
        <w:tab w:val="right" w:leader="dot" w:pos="9440"/>
      </w:tabs>
      <w:spacing w:before="0" w:after="0"/>
    </w:pPr>
    <w:rPr>
      <w:b/>
      <w:bCs/>
      <w:noProof/>
    </w:rPr>
  </w:style>
  <w:style w:type="paragraph" w:styleId="TOC2">
    <w:name w:val="toc 2"/>
    <w:basedOn w:val="Normal"/>
    <w:next w:val="Normal"/>
    <w:autoRedefine/>
    <w:uiPriority w:val="39"/>
    <w:unhideWhenUsed/>
    <w:rsid w:val="00E66758"/>
    <w:pPr>
      <w:spacing w:after="100"/>
      <w:ind w:left="240"/>
    </w:pPr>
  </w:style>
  <w:style w:type="paragraph" w:styleId="TOC3">
    <w:name w:val="toc 3"/>
    <w:basedOn w:val="Normal"/>
    <w:next w:val="Normal"/>
    <w:autoRedefine/>
    <w:uiPriority w:val="39"/>
    <w:unhideWhenUsed/>
    <w:rsid w:val="00E66758"/>
    <w:pPr>
      <w:spacing w:after="100"/>
      <w:ind w:left="480"/>
    </w:pPr>
  </w:style>
  <w:style w:type="paragraph" w:styleId="TOC4">
    <w:name w:val="toc 4"/>
    <w:basedOn w:val="Normal"/>
    <w:next w:val="Normal"/>
    <w:autoRedefine/>
    <w:uiPriority w:val="39"/>
    <w:unhideWhenUsed/>
    <w:rsid w:val="00E66758"/>
    <w:pPr>
      <w:spacing w:after="100"/>
      <w:ind w:left="720"/>
    </w:pPr>
  </w:style>
  <w:style w:type="paragraph" w:styleId="TOC5">
    <w:name w:val="toc 5"/>
    <w:basedOn w:val="Normal"/>
    <w:next w:val="Normal"/>
    <w:autoRedefine/>
    <w:uiPriority w:val="39"/>
    <w:unhideWhenUsed/>
    <w:rsid w:val="00E66758"/>
    <w:pPr>
      <w:spacing w:after="100"/>
      <w:ind w:left="960"/>
    </w:pPr>
  </w:style>
  <w:style w:type="character" w:styleId="Hyperlink">
    <w:name w:val="Hyperlink"/>
    <w:basedOn w:val="DefaultParagraphFont"/>
    <w:uiPriority w:val="99"/>
    <w:unhideWhenUsed/>
    <w:rsid w:val="00E66758"/>
    <w:rPr>
      <w:color w:val="0000FF" w:themeColor="hyperlink"/>
      <w:u w:val="single"/>
    </w:rPr>
  </w:style>
  <w:style w:type="paragraph" w:styleId="TOCHeading">
    <w:name w:val="TOC Heading"/>
    <w:basedOn w:val="Heading1"/>
    <w:next w:val="Normal"/>
    <w:uiPriority w:val="39"/>
    <w:unhideWhenUsed/>
    <w:qFormat/>
    <w:rsid w:val="00EC3DBC"/>
    <w:pPr>
      <w:spacing w:before="240" w:line="259" w:lineRule="auto"/>
      <w:jc w:val="left"/>
      <w:outlineLvl w:val="9"/>
    </w:pPr>
    <w:rPr>
      <w:rFonts w:asciiTheme="majorHAnsi" w:eastAsiaTheme="majorEastAsia" w:hAnsiTheme="majorHAnsi" w:cstheme="majorBidi"/>
      <w:b w:val="0"/>
      <w:bCs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3390/healthcare11071021" TargetMode="External"/><Relationship Id="rId21" Type="http://schemas.openxmlformats.org/officeDocument/2006/relationships/hyperlink" Target="https://doi.org/10.1111/j.1365-2788.1997.tb00689.x" TargetMode="External"/><Relationship Id="rId42" Type="http://schemas.openxmlformats.org/officeDocument/2006/relationships/hyperlink" Target="https://doi.org/10.1007/978-1-4613-9115-9_4" TargetMode="External"/><Relationship Id="rId63" Type="http://schemas.openxmlformats.org/officeDocument/2006/relationships/hyperlink" Target="https://doi.org/10.1159/000481767" TargetMode="External"/><Relationship Id="rId84" Type="http://schemas.openxmlformats.org/officeDocument/2006/relationships/hyperlink" Target="https://doi.org/10.1177/016327878600900308" TargetMode="External"/><Relationship Id="rId138" Type="http://schemas.openxmlformats.org/officeDocument/2006/relationships/hyperlink" Target="https://doi.org/10.46743/2160-3715/2020.4203" TargetMode="External"/><Relationship Id="rId159" Type="http://schemas.openxmlformats.org/officeDocument/2006/relationships/hyperlink" Target="https://doi.org/10.1023/A:1008853819715" TargetMode="External"/><Relationship Id="rId170" Type="http://schemas.openxmlformats.org/officeDocument/2006/relationships/hyperlink" Target="https://doi.org/10.1093/deafed/ens039" TargetMode="External"/><Relationship Id="rId191" Type="http://schemas.openxmlformats.org/officeDocument/2006/relationships/hyperlink" Target="https://doi.org/10.1186/s13690-018-0304-2" TargetMode="External"/><Relationship Id="rId205" Type="http://schemas.openxmlformats.org/officeDocument/2006/relationships/hyperlink" Target="https://doi.org/10.1177/1558689814527943" TargetMode="External"/><Relationship Id="rId107" Type="http://schemas.openxmlformats.org/officeDocument/2006/relationships/hyperlink" Target="https://www.acqol.com.au/uploads/pwi-a/pwi-a-english.pdf" TargetMode="External"/><Relationship Id="rId11" Type="http://schemas.openxmlformats.org/officeDocument/2006/relationships/footer" Target="footer2.xml"/><Relationship Id="rId32" Type="http://schemas.openxmlformats.org/officeDocument/2006/relationships/hyperlink" Target="https://doi.org/10.1080/14643154.2020.1766754" TargetMode="External"/><Relationship Id="rId53" Type="http://schemas.openxmlformats.org/officeDocument/2006/relationships/hyperlink" Target="https://doi.org/10.1353/aad.2017.0011" TargetMode="External"/><Relationship Id="rId74" Type="http://schemas.openxmlformats.org/officeDocument/2006/relationships/hyperlink" Target="https://doi.org/10.1111/j.1365-2788.1997.tb00689.x" TargetMode="External"/><Relationship Id="rId128" Type="http://schemas.openxmlformats.org/officeDocument/2006/relationships/hyperlink" Target="https://doi.org/10.1093/deafed/eny004" TargetMode="External"/><Relationship Id="rId149" Type="http://schemas.openxmlformats.org/officeDocument/2006/relationships/hyperlink" Target="https://www.thaiscience.info/Journals/Article/CMUS/10325206.pdf" TargetMode="External"/><Relationship Id="rId5" Type="http://schemas.openxmlformats.org/officeDocument/2006/relationships/webSettings" Target="webSettings.xml"/><Relationship Id="rId95" Type="http://schemas.openxmlformats.org/officeDocument/2006/relationships/hyperlink" Target="https://doi.org/10.1016/0895-4356(93)90142-N" TargetMode="External"/><Relationship Id="rId160" Type="http://schemas.openxmlformats.org/officeDocument/2006/relationships/hyperlink" Target="https://doi.org/10.1186/s12955-018-0976-x" TargetMode="External"/><Relationship Id="rId181" Type="http://schemas.openxmlformats.org/officeDocument/2006/relationships/hyperlink" Target="https://doi.org/10.1097/01.psy.0000133328.03596.fb" TargetMode="External"/><Relationship Id="rId22" Type="http://schemas.openxmlformats.org/officeDocument/2006/relationships/image" Target="media/image6.png"/><Relationship Id="rId43" Type="http://schemas.openxmlformats.org/officeDocument/2006/relationships/hyperlink" Target="https://irj.uswr.ac.ir/files/site1/user_files_055690/hatamizadeh-A-10-417-1-7a23248.pdf" TargetMode="External"/><Relationship Id="rId64" Type="http://schemas.openxmlformats.org/officeDocument/2006/relationships/hyperlink" Target="https://doi.org/10.1007/BF01079026" TargetMode="External"/><Relationship Id="rId118" Type="http://schemas.openxmlformats.org/officeDocument/2006/relationships/hyperlink" Target="https://doi.org/10.1007/s12646-022-00658-7" TargetMode="External"/><Relationship Id="rId139" Type="http://schemas.openxmlformats.org/officeDocument/2006/relationships/hyperlink" Target="https://doi.org/10.1001/jamaoto.2013.35" TargetMode="External"/><Relationship Id="rId85" Type="http://schemas.openxmlformats.org/officeDocument/2006/relationships/hyperlink" Target="https://doi.org/10.1037/1040-3590.4.1.92" TargetMode="External"/><Relationship Id="rId150" Type="http://schemas.openxmlformats.org/officeDocument/2006/relationships/hyperlink" Target="https://doi.org/10.2307/j.ctv2rr3dc6" TargetMode="External"/><Relationship Id="rId171" Type="http://schemas.openxmlformats.org/officeDocument/2006/relationships/hyperlink" Target="https://www.scitcentral.com/documents/c7f4e82085c88465ea3c87f0a716b2a6.pdf" TargetMode="External"/><Relationship Id="rId192" Type="http://schemas.openxmlformats.org/officeDocument/2006/relationships/hyperlink" Target="https://doi.org/10.56026/imu.11.2.14" TargetMode="External"/><Relationship Id="rId206" Type="http://schemas.openxmlformats.org/officeDocument/2006/relationships/hyperlink" Target="https://books.google.com.my/books?hl=en&amp;lr=&amp;id=LB0EAAAAMAAJ&amp;oi=fnd&amp;pg=PA1&amp;dq=Citizen+advocacy+for+the+handicapped,+impaired,+and+disadvantaged:+aAn+overview.&amp;ots=TDcMtNupFH&amp;sig=w7XKV_GGC1ahym7aTPTW27Gwej0&amp;redir_esc=y" TargetMode="External"/><Relationship Id="rId12" Type="http://schemas.openxmlformats.org/officeDocument/2006/relationships/header" Target="header3.xml"/><Relationship Id="rId33" Type="http://schemas.openxmlformats.org/officeDocument/2006/relationships/hyperlink" Target="https://socialworkmag.ir/article-1-600-fa.pdf" TargetMode="External"/><Relationship Id="rId108" Type="http://schemas.openxmlformats.org/officeDocument/2006/relationships/hyperlink" Target="https://doi.org/10.1080/13603116.2020.1726511" TargetMode="External"/><Relationship Id="rId129" Type="http://schemas.openxmlformats.org/officeDocument/2006/relationships/hyperlink" Target="https://doi.org/10.1093/deafed/enm013" TargetMode="External"/><Relationship Id="rId54" Type="http://schemas.openxmlformats.org/officeDocument/2006/relationships/hyperlink" Target="https://journal.nase.org.my/index.php/jsne/article/view/78" TargetMode="External"/><Relationship Id="rId75" Type="http://schemas.openxmlformats.org/officeDocument/2006/relationships/hyperlink" Target="https://doi.org/10.1111/j.1365-2788.1997.tb00689.x" TargetMode="External"/><Relationship Id="rId96" Type="http://schemas.openxmlformats.org/officeDocument/2006/relationships/hyperlink" Target="https://doi.org/10.1044/2016_JSLHR-H-15-0403" TargetMode="External"/><Relationship Id="rId140" Type="http://schemas.openxmlformats.org/officeDocument/2006/relationships/hyperlink" Target="https://doi.org/10.1016/j.ijporl.2006.10.005" TargetMode="External"/><Relationship Id="rId161" Type="http://schemas.openxmlformats.org/officeDocument/2006/relationships/hyperlink" Target="https://doi.org/10.3390/ijerph19127542" TargetMode="External"/><Relationship Id="rId182" Type="http://schemas.openxmlformats.org/officeDocument/2006/relationships/hyperlink" Target="https://doi.org/10.1007/978-3-319-02324-3_35-2" TargetMode="External"/><Relationship Id="rId6" Type="http://schemas.openxmlformats.org/officeDocument/2006/relationships/footnotes" Target="footnotes.xml"/><Relationship Id="rId23" Type="http://schemas.openxmlformats.org/officeDocument/2006/relationships/hyperlink" Target="https://doi.org/10.1111/j.1365-2788.1997.tb00689.x" TargetMode="External"/><Relationship Id="rId119" Type="http://schemas.openxmlformats.org/officeDocument/2006/relationships/hyperlink" Target="https://doi.org/10.1016/0149-7189(88)90033-X" TargetMode="External"/><Relationship Id="rId44" Type="http://schemas.openxmlformats.org/officeDocument/2006/relationships/hyperlink" Target="https://doi.org/10.1080/14992027.2019.1661531" TargetMode="External"/><Relationship Id="rId65" Type="http://schemas.openxmlformats.org/officeDocument/2006/relationships/hyperlink" Target="https://doi.org/10.1007/BF01079026" TargetMode="External"/><Relationship Id="rId86" Type="http://schemas.openxmlformats.org/officeDocument/2006/relationships/hyperlink" Target="https://doi.org/10.1111/j.1525-1446.2010.00938.x" TargetMode="External"/><Relationship Id="rId130" Type="http://schemas.openxmlformats.org/officeDocument/2006/relationships/hyperlink" Target="https://dx.doi.org/10.1353/aad.0.0111" TargetMode="External"/><Relationship Id="rId151" Type="http://schemas.openxmlformats.org/officeDocument/2006/relationships/hyperlink" Target="https://doi.org/10.1177/0194599810397604" TargetMode="External"/><Relationship Id="rId172" Type="http://schemas.openxmlformats.org/officeDocument/2006/relationships/hyperlink" Target="https://doi.org/10.1111/j.1536-7150.1986.tb02394.x" TargetMode="External"/><Relationship Id="rId193" Type="http://schemas.openxmlformats.org/officeDocument/2006/relationships/hyperlink" Target="https://doi.org/10.1177/07419325030240020201" TargetMode="External"/><Relationship Id="rId207" Type="http://schemas.openxmlformats.org/officeDocument/2006/relationships/hyperlink" Target="https://doi.org/10.5539/ass.v9n16p81" TargetMode="External"/><Relationship Id="rId13" Type="http://schemas.openxmlformats.org/officeDocument/2006/relationships/image" Target="media/image1.png"/><Relationship Id="rId109" Type="http://schemas.openxmlformats.org/officeDocument/2006/relationships/hyperlink" Target="https://doi.org/10.1080/09687599727281" TargetMode="External"/><Relationship Id="rId34" Type="http://schemas.openxmlformats.org/officeDocument/2006/relationships/hyperlink" Target="https://doi.org/10.17576/ebangi.2023.2003.15" TargetMode="External"/><Relationship Id="rId55" Type="http://schemas.openxmlformats.org/officeDocument/2006/relationships/hyperlink" Target="https://journal.nase.org.my/index.php/jsne/article/view/78" TargetMode="External"/><Relationship Id="rId76" Type="http://schemas.openxmlformats.org/officeDocument/2006/relationships/hyperlink" Target="https://doi.org/10.1016/0891-4222(94)00028-8" TargetMode="External"/><Relationship Id="rId97" Type="http://schemas.openxmlformats.org/officeDocument/2006/relationships/hyperlink" Target="https://doi-org.utk.idm.oclc.org/10.1080/14992020400050026" TargetMode="External"/><Relationship Id="rId120" Type="http://schemas.openxmlformats.org/officeDocument/2006/relationships/hyperlink" Target="https://doi.org/10.1016/j.ijporl.2006.05.009" TargetMode="External"/><Relationship Id="rId141" Type="http://schemas.openxmlformats.org/officeDocument/2006/relationships/hyperlink" Target="https://doi.org/10.7326/0003-4819-113-3-188" TargetMode="External"/><Relationship Id="rId7" Type="http://schemas.openxmlformats.org/officeDocument/2006/relationships/endnotes" Target="endnotes.xml"/><Relationship Id="rId162" Type="http://schemas.openxmlformats.org/officeDocument/2006/relationships/hyperlink" Target="https://doi.org/10.1146/annurev.psych.52.1.141" TargetMode="External"/><Relationship Id="rId183" Type="http://schemas.openxmlformats.org/officeDocument/2006/relationships/hyperlink" Target="https://www.ncbi.nlm.nih.gov/books/NBK536962/" TargetMode="External"/><Relationship Id="rId24" Type="http://schemas.openxmlformats.org/officeDocument/2006/relationships/hyperlink" Target="https://doi.org/10.1186/s40359-021-00590-x" TargetMode="External"/><Relationship Id="rId45" Type="http://schemas.openxmlformats.org/officeDocument/2006/relationships/hyperlink" Target="https://doi.org/10.1007/BF00305595" TargetMode="External"/><Relationship Id="rId66" Type="http://schemas.openxmlformats.org/officeDocument/2006/relationships/hyperlink" Target="http://sid.usal.es/idocs/F5/EVA66/ComQol_I5.pdf" TargetMode="External"/><Relationship Id="rId87" Type="http://schemas.openxmlformats.org/officeDocument/2006/relationships/hyperlink" Target="https://doi.org/10.1111/j.1525-1446.2010.00938.x" TargetMode="External"/><Relationship Id="rId110" Type="http://schemas.openxmlformats.org/officeDocument/2006/relationships/hyperlink" Target="https://www.academia.edu/download/5264124/Johnston_PhD_Dissertation.pdf" TargetMode="External"/><Relationship Id="rId131" Type="http://schemas.openxmlformats.org/officeDocument/2006/relationships/hyperlink" Target="https://doi.org/10.1037/h0054346" TargetMode="External"/><Relationship Id="rId61" Type="http://schemas.openxmlformats.org/officeDocument/2006/relationships/hyperlink" Target="https://doi.org/10.1093/geronj/42.1.50" TargetMode="External"/><Relationship Id="rId82" Type="http://schemas.openxmlformats.org/officeDocument/2006/relationships/hyperlink" Target="https://doi.org/10.1016/0749-2081(90)90026-2" TargetMode="External"/><Relationship Id="rId152" Type="http://schemas.openxmlformats.org/officeDocument/2006/relationships/hyperlink" Target="https://doi.org/10.1007/978-3-319-72829-2_2" TargetMode="External"/><Relationship Id="rId173" Type="http://schemas.openxmlformats.org/officeDocument/2006/relationships/hyperlink" Target="https://doi.org/10.1111/j.1536-7150.1986.tb02394.x" TargetMode="External"/><Relationship Id="rId194" Type="http://schemas.openxmlformats.org/officeDocument/2006/relationships/hyperlink" Target="https://doi.org/10.3766/jaaa.22.10.3" TargetMode="External"/><Relationship Id="rId199" Type="http://schemas.openxmlformats.org/officeDocument/2006/relationships/hyperlink" Target="https://doi.org/10.1016/S0167-4943(03)00003-7" TargetMode="External"/><Relationship Id="rId203" Type="http://schemas.openxmlformats.org/officeDocument/2006/relationships/hyperlink" Target="https://doi.org/10.1016/0277-9536(95)00112-k" TargetMode="External"/><Relationship Id="rId208" Type="http://schemas.openxmlformats.org/officeDocument/2006/relationships/hyperlink" Target="https://doi.org/10.17977/um005v1i22017p166" TargetMode="External"/><Relationship Id="rId19" Type="http://schemas.openxmlformats.org/officeDocument/2006/relationships/hyperlink" Target="https://doi.org/10.1111/j.1365-2788.1997.tb00689.x" TargetMode="External"/><Relationship Id="rId14" Type="http://schemas.openxmlformats.org/officeDocument/2006/relationships/image" Target="media/image2.png"/><Relationship Id="rId30" Type="http://schemas.openxmlformats.org/officeDocument/2006/relationships/hyperlink" Target="http://jser.fzf.ukim.edu.mk/files/2017(1-2)/04.(str.26-41)Radomir-B-Arsik.pdf" TargetMode="External"/><Relationship Id="rId35" Type="http://schemas.openxmlformats.org/officeDocument/2006/relationships/hyperlink" Target="https://doi.org/10.1016/0149-7189(82)90059-3" TargetMode="External"/><Relationship Id="rId56" Type="http://schemas.openxmlformats.org/officeDocument/2006/relationships/hyperlink" Target="https://www.journal.nase.org.my/index.php/jsne/article/view/72" TargetMode="External"/><Relationship Id="rId77" Type="http://schemas.openxmlformats.org/officeDocument/2006/relationships/hyperlink" Target="https://doi.org/10.1016/0891-4222(94)00028-8" TargetMode="External"/><Relationship Id="rId100" Type="http://schemas.openxmlformats.org/officeDocument/2006/relationships/hyperlink" Target="https://doi.org/10.1093/deafed/enm054" TargetMode="External"/><Relationship Id="rId105" Type="http://schemas.openxmlformats.org/officeDocument/2006/relationships/hyperlink" Target="https://doi.org/10.1353/aad.2012.0274" TargetMode="External"/><Relationship Id="rId126" Type="http://schemas.openxmlformats.org/officeDocument/2006/relationships/hyperlink" Target="https://doi.org/10.1352/1934-9556-55.4.269" TargetMode="External"/><Relationship Id="rId147" Type="http://schemas.openxmlformats.org/officeDocument/2006/relationships/hyperlink" Target="https://doi.org/10.1080/0156655660130204" TargetMode="External"/><Relationship Id="rId168" Type="http://schemas.openxmlformats.org/officeDocument/2006/relationships/hyperlink" Target="https://doi.org/10.1352/1934-9556-60.5.426" TargetMode="External"/><Relationship Id="rId8" Type="http://schemas.openxmlformats.org/officeDocument/2006/relationships/header" Target="header1.xml"/><Relationship Id="rId51" Type="http://schemas.openxmlformats.org/officeDocument/2006/relationships/hyperlink" Target="https://doi.org/10.1007/s11205-005-0211-0" TargetMode="External"/><Relationship Id="rId72" Type="http://schemas.openxmlformats.org/officeDocument/2006/relationships/hyperlink" Target="https://doi.org/10.2307/j.ctv2rr3dc6" TargetMode="External"/><Relationship Id="rId93" Type="http://schemas.openxmlformats.org/officeDocument/2006/relationships/hyperlink" Target="https://doi.org/10.1375/bech.16.2.127" TargetMode="External"/><Relationship Id="rId98" Type="http://schemas.openxmlformats.org/officeDocument/2006/relationships/hyperlink" Target="https://doi.org/10.1016/0270-3092(85)90022-0" TargetMode="External"/><Relationship Id="rId121" Type="http://schemas.openxmlformats.org/officeDocument/2006/relationships/hyperlink" Target="https://doi.org/10.1353/aad.2012.0228" TargetMode="External"/><Relationship Id="rId142" Type="http://schemas.openxmlformats.org/officeDocument/2006/relationships/hyperlink" Target="http://hermes.cde.state.co.us/drupal/islandora/object/co%3A9669" TargetMode="External"/><Relationship Id="rId163" Type="http://schemas.openxmlformats.org/officeDocument/2006/relationships/hyperlink" Target="https://doi.org/10.1146/annurev.psych.52.1.141" TargetMode="External"/><Relationship Id="rId184" Type="http://schemas.openxmlformats.org/officeDocument/2006/relationships/hyperlink" Target="https://eresources.nlb.gov.sg/newspapers/digitised/article/straitstimes19580530-1.2.64?qt=lee,%20kooi,%20jong&amp;q=Lee%20Kooi%20Jong" TargetMode="External"/><Relationship Id="rId189" Type="http://schemas.openxmlformats.org/officeDocument/2006/relationships/hyperlink" Target="https://eresources.nlb.gov.sg/newspapers/digitised/article/straitstimes19560813-1.2.54?qt=lee,%20kooi,%20jong&amp;q=Lee%20Kooi%20Jong" TargetMode="External"/><Relationship Id="rId3" Type="http://schemas.openxmlformats.org/officeDocument/2006/relationships/styles" Target="styles.xml"/><Relationship Id="rId25" Type="http://schemas.openxmlformats.org/officeDocument/2006/relationships/hyperlink" Target="https://doi.org/10.1186/s12888-023-04787-9" TargetMode="External"/><Relationship Id="rId46" Type="http://schemas.openxmlformats.org/officeDocument/2006/relationships/hyperlink" Target="https://doi.org/10.1044/2022_LSHSS-22-00018" TargetMode="External"/><Relationship Id="rId67" Type="http://schemas.openxmlformats.org/officeDocument/2006/relationships/hyperlink" Target="https://doi.org/10.1023/A:1007027822521" TargetMode="External"/><Relationship Id="rId116" Type="http://schemas.openxmlformats.org/officeDocument/2006/relationships/hyperlink" Target="https://doi.org/10.1016/j.dhjo.2014.04.001" TargetMode="External"/><Relationship Id="rId137" Type="http://schemas.openxmlformats.org/officeDocument/2006/relationships/hyperlink" Target="https://www.simplypsychology.org/maslow.html" TargetMode="External"/><Relationship Id="rId158" Type="http://schemas.openxmlformats.org/officeDocument/2006/relationships/hyperlink" Target="https://doi.org/10.1080/103491299100605" TargetMode="External"/><Relationship Id="rId20" Type="http://schemas.openxmlformats.org/officeDocument/2006/relationships/image" Target="media/image5.png"/><Relationship Id="rId41" Type="http://schemas.openxmlformats.org/officeDocument/2006/relationships/hyperlink" Target="https://doi.org/10.1007/978-1-4613-9115-9_4" TargetMode="External"/><Relationship Id="rId62" Type="http://schemas.openxmlformats.org/officeDocument/2006/relationships/hyperlink" Target="https://doi.org/10.1097/MRR.0b013e32813a2ea" TargetMode="External"/><Relationship Id="rId83" Type="http://schemas.openxmlformats.org/officeDocument/2006/relationships/hyperlink" Target="https://psycnet.apa.org/doi/10.1037/0003-066X.33.2.138" TargetMode="External"/><Relationship Id="rId88" Type="http://schemas.openxmlformats.org/officeDocument/2006/relationships/hyperlink" Target="https://doi.org/10.1023/B:SOCI.0000007495.40790.85" TargetMode="External"/><Relationship Id="rId111" Type="http://schemas.openxmlformats.org/officeDocument/2006/relationships/hyperlink" Target="https://doi.org/10.1186/1477-7525-6-34" TargetMode="External"/><Relationship Id="rId132" Type="http://schemas.openxmlformats.org/officeDocument/2006/relationships/hyperlink" Target="https://doi-org.utk.idm.oclc.org/10.1177/002216786200200102" TargetMode="External"/><Relationship Id="rId153" Type="http://schemas.openxmlformats.org/officeDocument/2006/relationships/hyperlink" Target="https://doi.org/10.1080/15017410510032145" TargetMode="External"/><Relationship Id="rId174" Type="http://schemas.openxmlformats.org/officeDocument/2006/relationships/hyperlink" Target="https://doi.org/10.1111/j.1536-7150.1985.tb02336.x" TargetMode="External"/><Relationship Id="rId179" Type="http://schemas.openxmlformats.org/officeDocument/2006/relationships/hyperlink" Target="https://doi.org/10.1111/jan.14007" TargetMode="External"/><Relationship Id="rId195" Type="http://schemas.openxmlformats.org/officeDocument/2006/relationships/hyperlink" Target="https://doi.org/10.1016/j.joto.2018.11.004" TargetMode="External"/><Relationship Id="rId209" Type="http://schemas.openxmlformats.org/officeDocument/2006/relationships/image" Target="media/image7.png"/><Relationship Id="rId190" Type="http://schemas.openxmlformats.org/officeDocument/2006/relationships/hyperlink" Target="https://doi.org/10.1353/sls.2013.0006" TargetMode="External"/><Relationship Id="rId204" Type="http://schemas.openxmlformats.org/officeDocument/2006/relationships/hyperlink" Target="https://wfdeaf.org/news/resources/international-week-of-the-deaf-2016/" TargetMode="External"/><Relationship Id="rId15" Type="http://schemas.openxmlformats.org/officeDocument/2006/relationships/hyperlink" Target="https://doi.org/10.1111/j.1365-2788.1997.tb00689.x" TargetMode="External"/><Relationship Id="rId36" Type="http://schemas.openxmlformats.org/officeDocument/2006/relationships/hyperlink" Target="https://doi.org/10.1016/0022-474X(83)90043-7" TargetMode="External"/><Relationship Id="rId57" Type="http://schemas.openxmlformats.org/officeDocument/2006/relationships/hyperlink" Target="https://repository.nie.edu.sg/server/api/core/bitstreams/7e79f0ed-0f9c-4390-9c9b-c7cabb20a8ba/content" TargetMode="External"/><Relationship Id="rId106" Type="http://schemas.openxmlformats.org/officeDocument/2006/relationships/hyperlink" Target="https://doi.org/10.1016/j.ijporl.2005.02.018" TargetMode="External"/><Relationship Id="rId127" Type="http://schemas.openxmlformats.org/officeDocument/2006/relationships/hyperlink" Target="https://neweconomics.org/2014/09/wellbeing-manifesto-flourishing-society" TargetMode="External"/><Relationship Id="rId10" Type="http://schemas.openxmlformats.org/officeDocument/2006/relationships/footer" Target="footer1.xml"/><Relationship Id="rId31" Type="http://schemas.openxmlformats.org/officeDocument/2006/relationships/hyperlink" Target="http://jser.fzf.ukim.edu.mk/files/2017(1-2)/04.(str.26-41)Radomir-B-Arsik.pdf" TargetMode="External"/><Relationship Id="rId52" Type="http://schemas.openxmlformats.org/officeDocument/2006/relationships/hyperlink" Target="https://doi.org/10.7034/DSE.202012_(70).0001" TargetMode="External"/><Relationship Id="rId73" Type="http://schemas.openxmlformats.org/officeDocument/2006/relationships/hyperlink" Target="https://doi.org/10.1007/s11136-020-02611-5" TargetMode="External"/><Relationship Id="rId78" Type="http://schemas.openxmlformats.org/officeDocument/2006/relationships/hyperlink" Target="https://doi.org/10.1007/s00127-005-0936-8" TargetMode="External"/><Relationship Id="rId94" Type="http://schemas.openxmlformats.org/officeDocument/2006/relationships/hyperlink" Target="https://doi.org/10.1375/bech.16.2.127" TargetMode="External"/><Relationship Id="rId99" Type="http://schemas.openxmlformats.org/officeDocument/2006/relationships/hyperlink" Target="https://doi.org/10.1080/08873267.2011.567132" TargetMode="External"/><Relationship Id="rId101" Type="http://schemas.openxmlformats.org/officeDocument/2006/relationships/hyperlink" Target="https://doi.org/10.1093/deafed/enq045" TargetMode="External"/><Relationship Id="rId122" Type="http://schemas.openxmlformats.org/officeDocument/2006/relationships/hyperlink" Target="https://doi.org/10.1016/j.ijporl.2016.06.027" TargetMode="External"/><Relationship Id="rId143" Type="http://schemas.openxmlformats.org/officeDocument/2006/relationships/hyperlink" Target="https://digitalcommons.macalester.edu/cgi/viewcontent.cgi?article=1278&amp;context=macintl" TargetMode="External"/><Relationship Id="rId148" Type="http://schemas.openxmlformats.org/officeDocument/2006/relationships/hyperlink" Target="https://doi.org/10.6007/IJARPED/v11-i2/12986" TargetMode="External"/><Relationship Id="rId164" Type="http://schemas.openxmlformats.org/officeDocument/2006/relationships/hyperlink" Target="https://doi.org/10.1002/9780470756409.ch22" TargetMode="External"/><Relationship Id="rId169" Type="http://schemas.openxmlformats.org/officeDocument/2006/relationships/hyperlink" Target="https://doi.org/10.1093/deafed/5.4.349" TargetMode="External"/><Relationship Id="rId185" Type="http://schemas.openxmlformats.org/officeDocument/2006/relationships/hyperlink" Target="https://eresources.nlb.gov.sg/newspapers/digitised/article/straitstimes19580530-1.2.64?qt=lee,%20kooi,%20jong&amp;q=Lee%20Kooi%20Jong" TargetMode="Externa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yperlink" Target="https://doi.org/10.1176/ajp.155.11.1603" TargetMode="External"/><Relationship Id="rId210" Type="http://schemas.openxmlformats.org/officeDocument/2006/relationships/image" Target="media/image8.png"/><Relationship Id="rId26" Type="http://schemas.openxmlformats.org/officeDocument/2006/relationships/hyperlink" Target="https://doi.org/10.7713/ijms.2013.0032" TargetMode="External"/><Relationship Id="rId47" Type="http://schemas.openxmlformats.org/officeDocument/2006/relationships/hyperlink" Target="https://doi.org/10.1111/j.1741-1130.2010.00278.x" TargetMode="External"/><Relationship Id="rId68" Type="http://schemas.openxmlformats.org/officeDocument/2006/relationships/hyperlink" Target="https://doi.org/10.1111/j.1365-2788.2005.00738.x" TargetMode="External"/><Relationship Id="rId89" Type="http://schemas.openxmlformats.org/officeDocument/2006/relationships/hyperlink" Target="https://doi.org/10.1080/13603116.2010.496200" TargetMode="External"/><Relationship Id="rId112" Type="http://schemas.openxmlformats.org/officeDocument/2006/relationships/hyperlink" Target="https://doi.org/10.3109/08039488.2011.638934" TargetMode="External"/><Relationship Id="rId133" Type="http://schemas.openxmlformats.org/officeDocument/2006/relationships/hyperlink" Target="https://doi-org.utk.idm.oclc.org/10.1177/002216786200200205" TargetMode="External"/><Relationship Id="rId154" Type="http://schemas.openxmlformats.org/officeDocument/2006/relationships/hyperlink" Target="https://doi.org/10.1353/aad.2005.0034" TargetMode="External"/><Relationship Id="rId175" Type="http://schemas.openxmlformats.org/officeDocument/2006/relationships/hyperlink" Target="https://doi.org/10.1177/074391568200100106" TargetMode="External"/><Relationship Id="rId196" Type="http://schemas.openxmlformats.org/officeDocument/2006/relationships/hyperlink" Target="https://unesdoc.unesco.org/ark:/48223/pf0000110753" TargetMode="External"/><Relationship Id="rId200" Type="http://schemas.openxmlformats.org/officeDocument/2006/relationships/hyperlink" Target="https://doi.org/10.1037/hum0000047" TargetMode="External"/><Relationship Id="rId16" Type="http://schemas.openxmlformats.org/officeDocument/2006/relationships/image" Target="media/image3.png"/><Relationship Id="rId37" Type="http://schemas.openxmlformats.org/officeDocument/2006/relationships/hyperlink" Target="https://doi.org/10.1515/9781614518174-030" TargetMode="External"/><Relationship Id="rId58" Type="http://schemas.openxmlformats.org/officeDocument/2006/relationships/hyperlink" Target="https://doi.org/10.1111/j.1365-2788.2011.01408.x" TargetMode="External"/><Relationship Id="rId79" Type="http://schemas.openxmlformats.org/officeDocument/2006/relationships/hyperlink" Target="https://doi.org/10.1007/s00127-005-0862-9" TargetMode="External"/><Relationship Id="rId102" Type="http://schemas.openxmlformats.org/officeDocument/2006/relationships/hyperlink" Target="https://doi.org/10.1080/14670100.2020.1724676" TargetMode="External"/><Relationship Id="rId123" Type="http://schemas.openxmlformats.org/officeDocument/2006/relationships/hyperlink" Target="https://doi.org/10.1016/j.ijporl.2015.11.011" TargetMode="External"/><Relationship Id="rId144" Type="http://schemas.openxmlformats.org/officeDocument/2006/relationships/hyperlink" Target="https://digitalcommons.macalester.edu/cgi/viewcontent.cgi?article=1278&amp;context=macintl" TargetMode="External"/><Relationship Id="rId90" Type="http://schemas.openxmlformats.org/officeDocument/2006/relationships/hyperlink" Target="https://doi.org/10.1177/2473974X211065433" TargetMode="External"/><Relationship Id="rId165" Type="http://schemas.openxmlformats.org/officeDocument/2006/relationships/hyperlink" Target="https://doi.org/10.1016/j.ejenta.2017.11.006" TargetMode="External"/><Relationship Id="rId186" Type="http://schemas.openxmlformats.org/officeDocument/2006/relationships/hyperlink" Target="https://eresources.nlb.gov.sg/newspapers/digitised/article/straitstimes19580530-1.2.64?qt=lee,%20kooi,%20jong&amp;q=Lee%20Kooi%20Jong" TargetMode="External"/><Relationship Id="rId211" Type="http://schemas.openxmlformats.org/officeDocument/2006/relationships/fontTable" Target="fontTable.xml"/><Relationship Id="rId27" Type="http://schemas.openxmlformats.org/officeDocument/2006/relationships/hyperlink" Target="https://doi.org/10.7759/cureus.38936" TargetMode="External"/><Relationship Id="rId48" Type="http://schemas.openxmlformats.org/officeDocument/2006/relationships/hyperlink" Target="https://doi.org/10.15294/kemas.v17i4.26574" TargetMode="External"/><Relationship Id="rId69" Type="http://schemas.openxmlformats.org/officeDocument/2006/relationships/hyperlink" Target="https://doi.org/10.1111/j.1365-2788.2005.00738.x" TargetMode="External"/><Relationship Id="rId113" Type="http://schemas.openxmlformats.org/officeDocument/2006/relationships/hyperlink" Target="https://doi.org/10.1080/010503901300007047" TargetMode="External"/><Relationship Id="rId134" Type="http://schemas.openxmlformats.org/officeDocument/2006/relationships/hyperlink" Target="https://doi.org/10.1353/aad.2017.0031" TargetMode="External"/><Relationship Id="rId80" Type="http://schemas.openxmlformats.org/officeDocument/2006/relationships/hyperlink" Target="https://doi.org/10.1111/j.1600-0447.2006.00976.x" TargetMode="External"/><Relationship Id="rId155" Type="http://schemas.openxmlformats.org/officeDocument/2006/relationships/hyperlink" Target="https://doi.org/10.1007/s10882-019-09722-z" TargetMode="External"/><Relationship Id="rId176" Type="http://schemas.openxmlformats.org/officeDocument/2006/relationships/hyperlink" Target="https://doi.org/10.1044/leader.ftr3.15152010.5" TargetMode="External"/><Relationship Id="rId197" Type="http://schemas.openxmlformats.org/officeDocument/2006/relationships/hyperlink" Target="https://doi.org/10.1016/j.ijporl.2019.109701" TargetMode="External"/><Relationship Id="rId201" Type="http://schemas.openxmlformats.org/officeDocument/2006/relationships/hyperlink" Target="https://doi.org/10.1037/hum0000047" TargetMode="External"/><Relationship Id="rId17" Type="http://schemas.openxmlformats.org/officeDocument/2006/relationships/hyperlink" Target="https://doi.org/10.1016/0891-4222(94)00028-8" TargetMode="External"/><Relationship Id="rId38" Type="http://schemas.openxmlformats.org/officeDocument/2006/relationships/hyperlink" Target="https://doi.org/10.1515/9781614518174-030" TargetMode="External"/><Relationship Id="rId59" Type="http://schemas.openxmlformats.org/officeDocument/2006/relationships/hyperlink" Target="https://web.archive.org/web/20030314033028/http://www.cde.state.co.us/cdesped/download/pdf/dhh-CIPP2002a.pdf" TargetMode="External"/><Relationship Id="rId103" Type="http://schemas.openxmlformats.org/officeDocument/2006/relationships/hyperlink" Target="https://psycnet.apa.org/doi/10.1016/0022-3999(67)90010-4" TargetMode="External"/><Relationship Id="rId124" Type="http://schemas.openxmlformats.org/officeDocument/2006/relationships/hyperlink" Target="https://doi.org/10.34172/hpp.2020.39" TargetMode="External"/><Relationship Id="rId70" Type="http://schemas.openxmlformats.org/officeDocument/2006/relationships/hyperlink" Target="https://doi.org/10.1093/acprof:oso/9780198529415.003.0002" TargetMode="External"/><Relationship Id="rId91" Type="http://schemas.openxmlformats.org/officeDocument/2006/relationships/hyperlink" Target="https://doi.org/10.1007/s11205-007-9158-7" TargetMode="External"/><Relationship Id="rId145" Type="http://schemas.openxmlformats.org/officeDocument/2006/relationships/hyperlink" Target="https://doi.org/10.1093/ee/12.3.878" TargetMode="External"/><Relationship Id="rId166" Type="http://schemas.openxmlformats.org/officeDocument/2006/relationships/hyperlink" Target="https://doi.org/10.1007/s11205-004-5577-x" TargetMode="External"/><Relationship Id="rId187" Type="http://schemas.openxmlformats.org/officeDocument/2006/relationships/hyperlink" Target="https://eresources.nlb.gov.sg/newspapers/digitised/article/straitstimes19560813-1.2.54?qt=lee,%20kooi,%20jong&amp;q=Lee%20Kooi%20Jong" TargetMode="Externa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https://trace.tennessee.edu/utk_graddiss/5872/" TargetMode="External"/><Relationship Id="rId49" Type="http://schemas.openxmlformats.org/officeDocument/2006/relationships/hyperlink" Target="https://doi.org/10.1001/jamaoto.2023.1327" TargetMode="External"/><Relationship Id="rId114" Type="http://schemas.openxmlformats.org/officeDocument/2006/relationships/hyperlink" Target="https://doi.org/10.1016/j.jcomdis.2012.05.002" TargetMode="External"/><Relationship Id="rId60" Type="http://schemas.openxmlformats.org/officeDocument/2006/relationships/hyperlink" Target="https://doi.org/10.1179/1557069X12Y.0000000009" TargetMode="External"/><Relationship Id="rId81" Type="http://schemas.openxmlformats.org/officeDocument/2006/relationships/hyperlink" Target="https://doi.org/10.1007/978-0-387-78665-0_224" TargetMode="External"/><Relationship Id="rId135" Type="http://schemas.openxmlformats.org/officeDocument/2006/relationships/hyperlink" Target="http://www.jstor.org/stable/27521753" TargetMode="External"/><Relationship Id="rId156" Type="http://schemas.openxmlformats.org/officeDocument/2006/relationships/hyperlink" Target="https://doi.org/10.1080/0156655960430103" TargetMode="External"/><Relationship Id="rId177" Type="http://schemas.openxmlformats.org/officeDocument/2006/relationships/hyperlink" Target="https://doi.org/10.1093/deafed/ens024" TargetMode="External"/><Relationship Id="rId198" Type="http://schemas.openxmlformats.org/officeDocument/2006/relationships/hyperlink" Target="https://doi.org/10.1367/A03-191R.1" TargetMode="External"/><Relationship Id="rId202" Type="http://schemas.openxmlformats.org/officeDocument/2006/relationships/hyperlink" Target="https://doi.org/10.1007/BF00435734" TargetMode="External"/><Relationship Id="rId18" Type="http://schemas.openxmlformats.org/officeDocument/2006/relationships/image" Target="media/image4.png"/><Relationship Id="rId39" Type="http://schemas.openxmlformats.org/officeDocument/2006/relationships/hyperlink" Target="https://doi.org/10.1007/BF00752714" TargetMode="External"/><Relationship Id="rId50" Type="http://schemas.openxmlformats.org/officeDocument/2006/relationships/hyperlink" Target="https://doi.org/10.1016/0885-3924(94)90129-5" TargetMode="External"/><Relationship Id="rId104" Type="http://schemas.openxmlformats.org/officeDocument/2006/relationships/hyperlink" Target="https://doi.org/10.16993/sjdr.876" TargetMode="External"/><Relationship Id="rId125" Type="http://schemas.openxmlformats.org/officeDocument/2006/relationships/hyperlink" Target="https://doi.org/10.1016/j.otohns.2009.10.045" TargetMode="External"/><Relationship Id="rId146" Type="http://schemas.openxmlformats.org/officeDocument/2006/relationships/hyperlink" Target="https://doi.org/10.1016/j.heliyon.2023.e20246" TargetMode="External"/><Relationship Id="rId167" Type="http://schemas.openxmlformats.org/officeDocument/2006/relationships/hyperlink" Target="https://doi.org/10.1352/0047-6765(2002)040%3C0457:CMAAOQ%3E2.0.CO;2" TargetMode="External"/><Relationship Id="rId188" Type="http://schemas.openxmlformats.org/officeDocument/2006/relationships/hyperlink" Target="https://eresources.nlb.gov.sg/newspapers/digitised/article/straitstimes19560813-1.2.54?qt=lee,%20kooi,%20jong&amp;q=Lee%20Kooi%20Jong" TargetMode="External"/><Relationship Id="rId71" Type="http://schemas.openxmlformats.org/officeDocument/2006/relationships/hyperlink" Target="https://doi.org/10.1586/14737167.4.4.413" TargetMode="External"/><Relationship Id="rId92" Type="http://schemas.openxmlformats.org/officeDocument/2006/relationships/hyperlink" Target="https://doi.org/10.1080/13670050.2018.1512552" TargetMode="External"/><Relationship Id="rId2" Type="http://schemas.openxmlformats.org/officeDocument/2006/relationships/numbering" Target="numbering.xml"/><Relationship Id="rId29" Type="http://schemas.openxmlformats.org/officeDocument/2006/relationships/hyperlink" Target="https://doi.org/10.1017/S0144686X02008668" TargetMode="External"/><Relationship Id="rId40" Type="http://schemas.openxmlformats.org/officeDocument/2006/relationships/hyperlink" Target="https://doi.org/10.1007/BF00752714" TargetMode="External"/><Relationship Id="rId115" Type="http://schemas.openxmlformats.org/officeDocument/2006/relationships/hyperlink" Target="https://doi.org/10.1093/deafed/enr015" TargetMode="External"/><Relationship Id="rId136" Type="http://schemas.openxmlformats.org/officeDocument/2006/relationships/hyperlink" Target="http://www.jstor.org/stable/27521753" TargetMode="External"/><Relationship Id="rId157" Type="http://schemas.openxmlformats.org/officeDocument/2006/relationships/hyperlink" Target="https://doi.org/10.1080/0156655960430103" TargetMode="External"/><Relationship Id="rId178" Type="http://schemas.openxmlformats.org/officeDocument/2006/relationships/hyperlink" Target="https://doi.org/10.1001/archoto.2011.22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7C45C-DFBB-4138-B4AE-7633D807E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166</Pages>
  <Words>45019</Words>
  <Characters>256609</Characters>
  <Application>Microsoft Office Word</Application>
  <DocSecurity>0</DocSecurity>
  <Lines>2138</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 Tur Chung</cp:lastModifiedBy>
  <cp:revision>142</cp:revision>
  <cp:lastPrinted>2025-11-19T17:11:00Z</cp:lastPrinted>
  <dcterms:created xsi:type="dcterms:W3CDTF">2025-11-19T13:15:00Z</dcterms:created>
  <dcterms:modified xsi:type="dcterms:W3CDTF">2025-11-20T11:58:00Z</dcterms:modified>
</cp:coreProperties>
</file>