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C730FD" w14:textId="34A328AA" w:rsidR="009D2759" w:rsidRPr="00163E77" w:rsidRDefault="006364E3" w:rsidP="0015321A">
      <w:pPr>
        <w:jc w:val="center"/>
        <w:rPr>
          <w:rFonts w:cs="Times New Roman"/>
          <w:b/>
          <w:szCs w:val="24"/>
        </w:rPr>
      </w:pPr>
      <w:r w:rsidRPr="00163E77">
        <w:rPr>
          <w:rFonts w:cs="Times New Roman"/>
          <w:b/>
          <w:szCs w:val="24"/>
        </w:rPr>
        <w:t xml:space="preserve">A Three Study </w:t>
      </w:r>
      <w:r w:rsidR="00CB794C" w:rsidRPr="00163E77">
        <w:rPr>
          <w:rFonts w:cs="Times New Roman"/>
          <w:b/>
          <w:szCs w:val="24"/>
        </w:rPr>
        <w:t xml:space="preserve">Investigation of </w:t>
      </w:r>
      <w:r w:rsidR="002852FB" w:rsidRPr="00163E77">
        <w:rPr>
          <w:rFonts w:cs="Times New Roman"/>
          <w:b/>
          <w:szCs w:val="24"/>
        </w:rPr>
        <w:t>Promise</w:t>
      </w:r>
      <w:r w:rsidR="00417301" w:rsidRPr="00163E77">
        <w:rPr>
          <w:rFonts w:cs="Times New Roman"/>
          <w:b/>
          <w:szCs w:val="24"/>
        </w:rPr>
        <w:t xml:space="preserve"> Programs in </w:t>
      </w:r>
      <w:r w:rsidR="00CB794C" w:rsidRPr="00163E77">
        <w:rPr>
          <w:rFonts w:cs="Times New Roman"/>
          <w:b/>
          <w:szCs w:val="24"/>
        </w:rPr>
        <w:t>Tennessee</w:t>
      </w:r>
      <w:r w:rsidR="007A6F41" w:rsidRPr="00163E77">
        <w:rPr>
          <w:rFonts w:cs="Times New Roman"/>
          <w:b/>
          <w:szCs w:val="24"/>
        </w:rPr>
        <w:t>:</w:t>
      </w:r>
      <w:r w:rsidR="00CB7078" w:rsidRPr="00163E77">
        <w:rPr>
          <w:rFonts w:cs="Times New Roman"/>
          <w:b/>
          <w:szCs w:val="24"/>
        </w:rPr>
        <w:t xml:space="preserve"> </w:t>
      </w:r>
      <w:r w:rsidR="007A6F41" w:rsidRPr="00163E77">
        <w:rPr>
          <w:rFonts w:cs="Times New Roman"/>
          <w:b/>
          <w:szCs w:val="24"/>
        </w:rPr>
        <w:t>Enrollment Response</w:t>
      </w:r>
      <w:r w:rsidR="007F5886" w:rsidRPr="00163E77">
        <w:rPr>
          <w:rFonts w:cs="Times New Roman"/>
          <w:b/>
          <w:szCs w:val="24"/>
        </w:rPr>
        <w:t>s</w:t>
      </w:r>
      <w:r w:rsidR="007A6F41" w:rsidRPr="00163E77">
        <w:rPr>
          <w:rFonts w:cs="Times New Roman"/>
          <w:b/>
          <w:szCs w:val="24"/>
        </w:rPr>
        <w:t xml:space="preserve">, Experiences, and </w:t>
      </w:r>
      <w:r w:rsidR="007F5886" w:rsidRPr="00163E77">
        <w:rPr>
          <w:rFonts w:cs="Times New Roman"/>
          <w:b/>
          <w:szCs w:val="24"/>
        </w:rPr>
        <w:t>Un</w:t>
      </w:r>
      <w:r w:rsidR="00C307D2" w:rsidRPr="00163E77">
        <w:rPr>
          <w:rFonts w:cs="Times New Roman"/>
          <w:b/>
          <w:szCs w:val="24"/>
        </w:rPr>
        <w:t>met Needs</w:t>
      </w:r>
    </w:p>
    <w:p w14:paraId="5A4DECF7" w14:textId="7A8899DE" w:rsidR="009D2759" w:rsidRPr="00FA38B2" w:rsidRDefault="009D2759" w:rsidP="0015321A">
      <w:pPr>
        <w:rPr>
          <w:rFonts w:cs="Times New Roman"/>
          <w:szCs w:val="24"/>
        </w:rPr>
      </w:pPr>
    </w:p>
    <w:p w14:paraId="6583C731" w14:textId="63AEC04A" w:rsidR="009D2759" w:rsidRDefault="009D2759" w:rsidP="0015321A">
      <w:pPr>
        <w:jc w:val="center"/>
        <w:rPr>
          <w:rFonts w:cs="Times New Roman"/>
          <w:szCs w:val="24"/>
        </w:rPr>
      </w:pPr>
    </w:p>
    <w:p w14:paraId="4213B0DF" w14:textId="08753AA0" w:rsidR="00163E77" w:rsidRDefault="00163E77" w:rsidP="0015321A">
      <w:pPr>
        <w:jc w:val="center"/>
        <w:rPr>
          <w:rFonts w:cs="Times New Roman"/>
          <w:szCs w:val="24"/>
        </w:rPr>
      </w:pPr>
    </w:p>
    <w:p w14:paraId="1456B6E9" w14:textId="77777777" w:rsidR="00163E77" w:rsidRPr="00FA38B2" w:rsidRDefault="00163E77" w:rsidP="0015321A">
      <w:pPr>
        <w:jc w:val="center"/>
        <w:rPr>
          <w:rFonts w:cs="Times New Roman"/>
          <w:szCs w:val="24"/>
        </w:rPr>
      </w:pPr>
    </w:p>
    <w:p w14:paraId="096191F2" w14:textId="77777777" w:rsidR="00163E77" w:rsidRDefault="009D2759" w:rsidP="0015321A">
      <w:pPr>
        <w:jc w:val="center"/>
        <w:rPr>
          <w:rFonts w:cs="Times New Roman"/>
          <w:szCs w:val="24"/>
        </w:rPr>
      </w:pPr>
      <w:r w:rsidRPr="00FA38B2">
        <w:rPr>
          <w:rFonts w:cs="Times New Roman"/>
          <w:szCs w:val="24"/>
        </w:rPr>
        <w:t xml:space="preserve">A Dissertation Presented for the </w:t>
      </w:r>
    </w:p>
    <w:p w14:paraId="7442B759" w14:textId="77777777" w:rsidR="00163E77" w:rsidRDefault="009D2759" w:rsidP="0015321A">
      <w:pPr>
        <w:jc w:val="center"/>
        <w:rPr>
          <w:rFonts w:cs="Times New Roman"/>
          <w:szCs w:val="24"/>
        </w:rPr>
      </w:pPr>
      <w:r w:rsidRPr="00FA38B2">
        <w:rPr>
          <w:rFonts w:cs="Times New Roman"/>
          <w:szCs w:val="24"/>
        </w:rPr>
        <w:t>Doctor of Philosophy</w:t>
      </w:r>
    </w:p>
    <w:p w14:paraId="6B5F4C00" w14:textId="4B7231D8" w:rsidR="009D2759" w:rsidRPr="00FA38B2" w:rsidRDefault="009D2759" w:rsidP="0015321A">
      <w:pPr>
        <w:jc w:val="center"/>
        <w:rPr>
          <w:rFonts w:cs="Times New Roman"/>
          <w:szCs w:val="24"/>
        </w:rPr>
      </w:pPr>
      <w:r w:rsidRPr="00FA38B2">
        <w:rPr>
          <w:rFonts w:cs="Times New Roman"/>
          <w:szCs w:val="24"/>
        </w:rPr>
        <w:t xml:space="preserve">Degree </w:t>
      </w:r>
    </w:p>
    <w:p w14:paraId="7D9D10A0" w14:textId="203FD3B7" w:rsidR="009D2759" w:rsidRPr="00FA38B2" w:rsidRDefault="009D2759" w:rsidP="0015321A">
      <w:pPr>
        <w:jc w:val="center"/>
        <w:rPr>
          <w:rFonts w:cs="Times New Roman"/>
          <w:szCs w:val="24"/>
        </w:rPr>
      </w:pPr>
      <w:r w:rsidRPr="00FA38B2">
        <w:rPr>
          <w:rFonts w:cs="Times New Roman"/>
          <w:szCs w:val="24"/>
        </w:rPr>
        <w:t>The University of Tennessee, Knoxville</w:t>
      </w:r>
    </w:p>
    <w:p w14:paraId="34C389AC" w14:textId="4C8549E6" w:rsidR="009D2759" w:rsidRPr="00FA38B2" w:rsidRDefault="009D2759" w:rsidP="0015321A">
      <w:pPr>
        <w:rPr>
          <w:rFonts w:cs="Times New Roman"/>
          <w:szCs w:val="24"/>
        </w:rPr>
      </w:pPr>
    </w:p>
    <w:p w14:paraId="3070E229" w14:textId="75A0FE0E" w:rsidR="009D2759" w:rsidRPr="00FA38B2" w:rsidRDefault="009D2759" w:rsidP="0015321A">
      <w:pPr>
        <w:jc w:val="center"/>
        <w:rPr>
          <w:rFonts w:cs="Times New Roman"/>
          <w:szCs w:val="24"/>
        </w:rPr>
      </w:pPr>
    </w:p>
    <w:p w14:paraId="3C3F6402" w14:textId="66EC838E" w:rsidR="009D2759" w:rsidRPr="00FA38B2" w:rsidRDefault="009D2759" w:rsidP="0015321A">
      <w:pPr>
        <w:jc w:val="center"/>
        <w:rPr>
          <w:rFonts w:cs="Times New Roman"/>
          <w:szCs w:val="24"/>
        </w:rPr>
      </w:pPr>
    </w:p>
    <w:p w14:paraId="2F680FC3" w14:textId="77777777" w:rsidR="00E4544C" w:rsidRPr="00FA38B2" w:rsidRDefault="00E4544C" w:rsidP="0015321A">
      <w:pPr>
        <w:jc w:val="center"/>
        <w:rPr>
          <w:rFonts w:cs="Times New Roman"/>
          <w:szCs w:val="24"/>
        </w:rPr>
      </w:pPr>
    </w:p>
    <w:p w14:paraId="748ED9A1" w14:textId="77777777" w:rsidR="00E4544C" w:rsidRPr="00FA38B2" w:rsidRDefault="00E4544C" w:rsidP="0015321A">
      <w:pPr>
        <w:jc w:val="center"/>
        <w:rPr>
          <w:rFonts w:cs="Times New Roman"/>
          <w:szCs w:val="24"/>
        </w:rPr>
      </w:pPr>
    </w:p>
    <w:p w14:paraId="5823E2F6" w14:textId="77777777" w:rsidR="00E4544C" w:rsidRPr="00FA38B2" w:rsidRDefault="00E4544C" w:rsidP="0015321A">
      <w:pPr>
        <w:jc w:val="center"/>
        <w:rPr>
          <w:rFonts w:cs="Times New Roman"/>
          <w:szCs w:val="24"/>
        </w:rPr>
      </w:pPr>
    </w:p>
    <w:p w14:paraId="6914B074" w14:textId="77777777" w:rsidR="00E4544C" w:rsidRPr="00FA38B2" w:rsidRDefault="00E4544C" w:rsidP="0015321A">
      <w:pPr>
        <w:jc w:val="center"/>
        <w:rPr>
          <w:rFonts w:cs="Times New Roman"/>
          <w:szCs w:val="24"/>
        </w:rPr>
      </w:pPr>
    </w:p>
    <w:p w14:paraId="0C068C5D" w14:textId="77777777" w:rsidR="00E4544C" w:rsidRPr="00FA38B2" w:rsidRDefault="00E4544C" w:rsidP="0015321A">
      <w:pPr>
        <w:jc w:val="center"/>
        <w:rPr>
          <w:rFonts w:cs="Times New Roman"/>
          <w:szCs w:val="24"/>
        </w:rPr>
      </w:pPr>
    </w:p>
    <w:p w14:paraId="1A7FCED5" w14:textId="59C23F63" w:rsidR="009D2759" w:rsidRPr="00FA38B2" w:rsidRDefault="009D2759" w:rsidP="0015321A">
      <w:pPr>
        <w:jc w:val="center"/>
        <w:rPr>
          <w:rFonts w:cs="Times New Roman"/>
          <w:szCs w:val="24"/>
        </w:rPr>
      </w:pPr>
      <w:r w:rsidRPr="00FA38B2">
        <w:rPr>
          <w:rFonts w:cs="Times New Roman"/>
          <w:szCs w:val="24"/>
        </w:rPr>
        <w:t xml:space="preserve">Gresham D. Collom </w:t>
      </w:r>
    </w:p>
    <w:p w14:paraId="27A1E325" w14:textId="074FE4A5" w:rsidR="009D2759" w:rsidRPr="00FA38B2" w:rsidRDefault="0088688F" w:rsidP="0015321A">
      <w:pPr>
        <w:jc w:val="center"/>
        <w:rPr>
          <w:rFonts w:cs="Times New Roman"/>
          <w:szCs w:val="24"/>
        </w:rPr>
      </w:pPr>
      <w:r w:rsidRPr="00FA38B2">
        <w:rPr>
          <w:rFonts w:cs="Times New Roman"/>
          <w:szCs w:val="24"/>
        </w:rPr>
        <w:t>May 2021</w:t>
      </w:r>
    </w:p>
    <w:p w14:paraId="74B073FB" w14:textId="77777777" w:rsidR="009D2759" w:rsidRPr="00FA38B2" w:rsidRDefault="009D2759" w:rsidP="0015321A">
      <w:pPr>
        <w:rPr>
          <w:rFonts w:cs="Times New Roman"/>
          <w:szCs w:val="24"/>
        </w:rPr>
      </w:pPr>
      <w:r w:rsidRPr="00FA38B2">
        <w:rPr>
          <w:rFonts w:cs="Times New Roman"/>
          <w:szCs w:val="24"/>
        </w:rPr>
        <w:br w:type="page"/>
      </w:r>
    </w:p>
    <w:p w14:paraId="3E1C9773" w14:textId="305E6716" w:rsidR="009D2759" w:rsidRPr="00FA38B2" w:rsidRDefault="009D2759" w:rsidP="0015321A">
      <w:pPr>
        <w:jc w:val="center"/>
        <w:rPr>
          <w:rFonts w:cs="Times New Roman"/>
          <w:szCs w:val="24"/>
        </w:rPr>
      </w:pPr>
    </w:p>
    <w:p w14:paraId="30A5770F" w14:textId="56D5398A" w:rsidR="009D2759" w:rsidRPr="00FA38B2" w:rsidRDefault="009D2759" w:rsidP="0015321A">
      <w:pPr>
        <w:jc w:val="center"/>
        <w:rPr>
          <w:rFonts w:cs="Times New Roman"/>
          <w:szCs w:val="24"/>
        </w:rPr>
      </w:pPr>
    </w:p>
    <w:p w14:paraId="087207EB" w14:textId="19A66C55" w:rsidR="009D2759" w:rsidRPr="00FA38B2" w:rsidRDefault="009D2759" w:rsidP="0015321A">
      <w:pPr>
        <w:rPr>
          <w:rFonts w:cs="Times New Roman"/>
          <w:szCs w:val="24"/>
        </w:rPr>
      </w:pPr>
    </w:p>
    <w:p w14:paraId="2096C7EE" w14:textId="5380C123" w:rsidR="009D2759" w:rsidRPr="00FA38B2" w:rsidRDefault="009D2759" w:rsidP="0015321A">
      <w:pPr>
        <w:jc w:val="center"/>
        <w:rPr>
          <w:rFonts w:cs="Times New Roman"/>
          <w:szCs w:val="24"/>
        </w:rPr>
      </w:pPr>
    </w:p>
    <w:p w14:paraId="0D7E4717" w14:textId="2B942C3F" w:rsidR="009D2759" w:rsidRPr="00FA38B2" w:rsidRDefault="009D2759" w:rsidP="0015321A">
      <w:pPr>
        <w:jc w:val="center"/>
        <w:rPr>
          <w:rFonts w:cs="Times New Roman"/>
          <w:szCs w:val="24"/>
        </w:rPr>
      </w:pPr>
      <w:r w:rsidRPr="00FA38B2">
        <w:rPr>
          <w:rFonts w:cs="Times New Roman"/>
          <w:szCs w:val="24"/>
        </w:rPr>
        <w:t>Copyright © by Gresham D. Collom</w:t>
      </w:r>
      <w:r w:rsidR="00E4544C" w:rsidRPr="00FA38B2">
        <w:rPr>
          <w:rFonts w:cs="Times New Roman"/>
          <w:szCs w:val="24"/>
        </w:rPr>
        <w:t xml:space="preserve"> 2021</w:t>
      </w:r>
    </w:p>
    <w:p w14:paraId="10263B81" w14:textId="07BF65A8" w:rsidR="009D2759" w:rsidRPr="00FA38B2" w:rsidRDefault="009D2759" w:rsidP="0015321A">
      <w:pPr>
        <w:jc w:val="center"/>
        <w:rPr>
          <w:rFonts w:cs="Times New Roman"/>
          <w:szCs w:val="24"/>
        </w:rPr>
      </w:pPr>
      <w:r w:rsidRPr="00FA38B2">
        <w:rPr>
          <w:rFonts w:cs="Times New Roman"/>
          <w:szCs w:val="24"/>
        </w:rPr>
        <w:t xml:space="preserve">All rights reserved. </w:t>
      </w:r>
    </w:p>
    <w:p w14:paraId="54AB9733" w14:textId="77777777" w:rsidR="009D2759" w:rsidRPr="00FA38B2" w:rsidRDefault="009D2759" w:rsidP="0015321A">
      <w:pPr>
        <w:rPr>
          <w:rFonts w:cs="Times New Roman"/>
          <w:szCs w:val="24"/>
        </w:rPr>
      </w:pPr>
      <w:r w:rsidRPr="00FA38B2">
        <w:rPr>
          <w:rFonts w:cs="Times New Roman"/>
          <w:szCs w:val="24"/>
        </w:rPr>
        <w:br w:type="page"/>
      </w:r>
    </w:p>
    <w:p w14:paraId="64B17AC3" w14:textId="473394ED" w:rsidR="009D2759" w:rsidRPr="00FA38B2" w:rsidRDefault="007C79A3" w:rsidP="0015321A">
      <w:pPr>
        <w:jc w:val="center"/>
        <w:rPr>
          <w:rFonts w:cs="Times New Roman"/>
          <w:b/>
          <w:szCs w:val="24"/>
        </w:rPr>
      </w:pPr>
      <w:r w:rsidRPr="00FA38B2">
        <w:rPr>
          <w:rFonts w:cs="Times New Roman"/>
          <w:b/>
          <w:szCs w:val="24"/>
        </w:rPr>
        <w:lastRenderedPageBreak/>
        <w:t>Dedication</w:t>
      </w:r>
    </w:p>
    <w:p w14:paraId="3D562EC9" w14:textId="3B085062" w:rsidR="00F154DF" w:rsidRDefault="00F154DF" w:rsidP="0015321A">
      <w:pPr>
        <w:rPr>
          <w:rFonts w:cs="Times New Roman"/>
          <w:szCs w:val="24"/>
        </w:rPr>
      </w:pPr>
      <w:r w:rsidRPr="00FA38B2">
        <w:rPr>
          <w:rFonts w:cs="Times New Roman"/>
          <w:szCs w:val="24"/>
        </w:rPr>
        <w:t>This work is dedicated to the many teachers who inspired me along the way.</w:t>
      </w:r>
    </w:p>
    <w:p w14:paraId="1CCA5527" w14:textId="2E4A50C9" w:rsidR="000B74E6" w:rsidRPr="00F154DF" w:rsidRDefault="000B74E6" w:rsidP="00F154DF">
      <w:pPr>
        <w:ind w:left="360"/>
        <w:rPr>
          <w:rFonts w:cs="Times New Roman"/>
          <w:i/>
          <w:szCs w:val="24"/>
        </w:rPr>
      </w:pPr>
      <w:r w:rsidRPr="00F154DF">
        <w:rPr>
          <w:rFonts w:cs="Times New Roman"/>
          <w:i/>
          <w:szCs w:val="24"/>
        </w:rPr>
        <w:t xml:space="preserve">Among our people are those we call our teachers. They are our elders, our storytellers, and our instructors. They teach us to care for ourselves in a healthful way. Some of our teachers instruct us how to use our minds intelligently to solve the problems that we will face in our everyday living. They teach us the names and the uses of the gifts of life. Some guide us back to healthful living when our thoughts and emotions become confused. Our spiritual teachers lift us to the greater meanings of life, and teach us to remember our Creator. We are grateful to our many teachers. Do you agree? </w:t>
      </w:r>
      <w:proofErr w:type="spellStart"/>
      <w:r w:rsidR="00054B75" w:rsidRPr="00F154DF">
        <w:rPr>
          <w:rFonts w:cs="Times New Roman"/>
          <w:i/>
          <w:szCs w:val="24"/>
        </w:rPr>
        <w:t>Anushiik</w:t>
      </w:r>
      <w:proofErr w:type="spellEnd"/>
      <w:r w:rsidR="00054B75" w:rsidRPr="00F154DF">
        <w:rPr>
          <w:rFonts w:cs="Times New Roman"/>
          <w:i/>
          <w:szCs w:val="24"/>
        </w:rPr>
        <w:t xml:space="preserve"> (Munsee-w</w:t>
      </w:r>
      <w:r w:rsidRPr="00F154DF">
        <w:rPr>
          <w:rFonts w:cs="Times New Roman"/>
          <w:i/>
          <w:szCs w:val="24"/>
        </w:rPr>
        <w:t>e are gratefu</w:t>
      </w:r>
      <w:r w:rsidR="00F154DF" w:rsidRPr="00F154DF">
        <w:rPr>
          <w:rFonts w:cs="Times New Roman"/>
          <w:i/>
          <w:szCs w:val="24"/>
        </w:rPr>
        <w:t xml:space="preserve">l). </w:t>
      </w:r>
      <w:proofErr w:type="spellStart"/>
      <w:r w:rsidR="00F154DF" w:rsidRPr="00F154DF">
        <w:rPr>
          <w:rFonts w:cs="Times New Roman"/>
          <w:i/>
          <w:szCs w:val="24"/>
        </w:rPr>
        <w:t>Oneewe</w:t>
      </w:r>
      <w:proofErr w:type="spellEnd"/>
      <w:r w:rsidR="00F154DF" w:rsidRPr="00F154DF">
        <w:rPr>
          <w:rFonts w:cs="Times New Roman"/>
          <w:i/>
          <w:szCs w:val="24"/>
        </w:rPr>
        <w:t xml:space="preserve"> (Mohican-thank you).</w:t>
      </w:r>
    </w:p>
    <w:p w14:paraId="1CF5D001" w14:textId="305ACE85" w:rsidR="000B74E6" w:rsidRPr="00FA38B2" w:rsidRDefault="000B74E6" w:rsidP="0015321A">
      <w:pPr>
        <w:numPr>
          <w:ilvl w:val="0"/>
          <w:numId w:val="13"/>
        </w:numPr>
        <w:rPr>
          <w:rFonts w:cs="Times New Roman"/>
          <w:szCs w:val="24"/>
        </w:rPr>
      </w:pPr>
      <w:r w:rsidRPr="00FA38B2">
        <w:rPr>
          <w:rFonts w:cs="Times New Roman"/>
          <w:szCs w:val="24"/>
        </w:rPr>
        <w:t xml:space="preserve">Dorothy W. </w:t>
      </w:r>
      <w:proofErr w:type="spellStart"/>
      <w:r w:rsidRPr="00FA38B2">
        <w:rPr>
          <w:rFonts w:cs="Times New Roman"/>
          <w:szCs w:val="24"/>
        </w:rPr>
        <w:t>Davids</w:t>
      </w:r>
      <w:proofErr w:type="spellEnd"/>
      <w:r w:rsidR="00054B75" w:rsidRPr="00FA38B2">
        <w:rPr>
          <w:rFonts w:cs="Times New Roman"/>
          <w:szCs w:val="24"/>
        </w:rPr>
        <w:t>,</w:t>
      </w:r>
      <w:r w:rsidRPr="00FA38B2">
        <w:rPr>
          <w:rFonts w:cs="Times New Roman"/>
          <w:szCs w:val="24"/>
        </w:rPr>
        <w:t xml:space="preserve"> </w:t>
      </w:r>
      <w:r w:rsidR="00163E77">
        <w:rPr>
          <w:rFonts w:cs="Times New Roman"/>
          <w:szCs w:val="24"/>
        </w:rPr>
        <w:t xml:space="preserve">Stockbridge-Munsee </w:t>
      </w:r>
      <w:r w:rsidRPr="00FA38B2">
        <w:rPr>
          <w:rFonts w:cs="Times New Roman"/>
          <w:szCs w:val="24"/>
        </w:rPr>
        <w:t>Mohican Elder</w:t>
      </w:r>
      <w:r w:rsidR="00054B75" w:rsidRPr="00FA38B2">
        <w:rPr>
          <w:rFonts w:cs="Times New Roman"/>
          <w:szCs w:val="24"/>
        </w:rPr>
        <w:t xml:space="preserve"> </w:t>
      </w:r>
    </w:p>
    <w:p w14:paraId="1EF5CE72" w14:textId="56FDA449" w:rsidR="009D2759" w:rsidRPr="00FA38B2" w:rsidRDefault="009D2759" w:rsidP="0015321A">
      <w:pPr>
        <w:rPr>
          <w:rFonts w:cs="Times New Roman"/>
          <w:szCs w:val="24"/>
        </w:rPr>
      </w:pPr>
      <w:r w:rsidRPr="00FA38B2">
        <w:rPr>
          <w:rFonts w:cs="Times New Roman"/>
          <w:szCs w:val="24"/>
        </w:rPr>
        <w:br w:type="page"/>
      </w:r>
    </w:p>
    <w:p w14:paraId="6C2C6E92" w14:textId="3858095F" w:rsidR="00583822" w:rsidRPr="00FA38B2" w:rsidRDefault="007C79A3" w:rsidP="0015321A">
      <w:pPr>
        <w:jc w:val="center"/>
        <w:rPr>
          <w:rFonts w:cs="Times New Roman"/>
          <w:b/>
          <w:szCs w:val="24"/>
        </w:rPr>
      </w:pPr>
      <w:r w:rsidRPr="00FA38B2">
        <w:rPr>
          <w:rFonts w:cs="Times New Roman"/>
          <w:b/>
          <w:szCs w:val="24"/>
        </w:rPr>
        <w:lastRenderedPageBreak/>
        <w:t>Acknowledgements</w:t>
      </w:r>
    </w:p>
    <w:p w14:paraId="36B945F2" w14:textId="71D30EF3" w:rsidR="00054B75" w:rsidRPr="00FA38B2" w:rsidRDefault="00AF6CDE" w:rsidP="0015321A">
      <w:pPr>
        <w:ind w:firstLine="720"/>
        <w:rPr>
          <w:rFonts w:cs="Times New Roman"/>
          <w:szCs w:val="24"/>
        </w:rPr>
      </w:pPr>
      <w:r w:rsidRPr="00FA38B2">
        <w:rPr>
          <w:rFonts w:cs="Times New Roman"/>
          <w:szCs w:val="24"/>
        </w:rPr>
        <w:t>I would not be here without the ongoing love and support of my family, friends, pets</w:t>
      </w:r>
      <w:r w:rsidR="00163E77">
        <w:rPr>
          <w:rFonts w:cs="Times New Roman"/>
          <w:szCs w:val="24"/>
        </w:rPr>
        <w:t>, mentors,</w:t>
      </w:r>
      <w:r w:rsidR="00F8156E" w:rsidRPr="00FA38B2">
        <w:rPr>
          <w:rFonts w:cs="Times New Roman"/>
          <w:szCs w:val="24"/>
        </w:rPr>
        <w:t xml:space="preserve"> teachers</w:t>
      </w:r>
      <w:r w:rsidR="00163E77">
        <w:rPr>
          <w:rFonts w:cs="Times New Roman"/>
          <w:szCs w:val="24"/>
        </w:rPr>
        <w:t>, and collaborators</w:t>
      </w:r>
      <w:r w:rsidR="00F8156E" w:rsidRPr="00FA38B2">
        <w:rPr>
          <w:rFonts w:cs="Times New Roman"/>
          <w:szCs w:val="24"/>
        </w:rPr>
        <w:t>. You have all pushed me to be a better person. T</w:t>
      </w:r>
      <w:r w:rsidRPr="00FA38B2">
        <w:rPr>
          <w:rFonts w:cs="Times New Roman"/>
          <w:szCs w:val="24"/>
        </w:rPr>
        <w:t>hank you for believing in me.</w:t>
      </w:r>
    </w:p>
    <w:p w14:paraId="0F5F9353" w14:textId="60A397F7" w:rsidR="009D2759" w:rsidRPr="00FA38B2" w:rsidRDefault="009D2759" w:rsidP="0015321A">
      <w:pPr>
        <w:rPr>
          <w:rFonts w:cs="Times New Roman"/>
          <w:szCs w:val="24"/>
        </w:rPr>
      </w:pPr>
      <w:r w:rsidRPr="00FA38B2">
        <w:rPr>
          <w:rFonts w:cs="Times New Roman"/>
          <w:szCs w:val="24"/>
        </w:rPr>
        <w:br w:type="page"/>
      </w:r>
    </w:p>
    <w:p w14:paraId="34E11BBF" w14:textId="16F455BC" w:rsidR="007B44BC" w:rsidRPr="00FA38B2" w:rsidRDefault="007C79A3" w:rsidP="0015321A">
      <w:pPr>
        <w:jc w:val="center"/>
        <w:rPr>
          <w:rFonts w:cs="Times New Roman"/>
          <w:b/>
          <w:szCs w:val="24"/>
        </w:rPr>
      </w:pPr>
      <w:r w:rsidRPr="00FA38B2">
        <w:rPr>
          <w:rFonts w:cs="Times New Roman"/>
          <w:b/>
          <w:szCs w:val="24"/>
        </w:rPr>
        <w:lastRenderedPageBreak/>
        <w:t>Abstract</w:t>
      </w:r>
    </w:p>
    <w:p w14:paraId="6761E34C" w14:textId="11F91909" w:rsidR="00622E7E" w:rsidRPr="00FA38B2" w:rsidRDefault="00840BD2" w:rsidP="0015321A">
      <w:pPr>
        <w:rPr>
          <w:rFonts w:cs="Times New Roman"/>
          <w:szCs w:val="24"/>
        </w:rPr>
      </w:pPr>
      <w:r w:rsidRPr="00FA38B2">
        <w:rPr>
          <w:rFonts w:cs="Times New Roman"/>
          <w:szCs w:val="24"/>
        </w:rPr>
        <w:t xml:space="preserve">Policymakers in the United States are increasingly adopting </w:t>
      </w:r>
      <w:r w:rsidR="00DD68DC" w:rsidRPr="00FA38B2">
        <w:rPr>
          <w:rFonts w:cs="Times New Roman"/>
          <w:szCs w:val="24"/>
        </w:rPr>
        <w:t>statewide</w:t>
      </w:r>
      <w:r w:rsidR="00916690" w:rsidRPr="00FA38B2">
        <w:rPr>
          <w:rFonts w:cs="Times New Roman"/>
          <w:szCs w:val="24"/>
        </w:rPr>
        <w:t xml:space="preserve"> </w:t>
      </w:r>
      <w:r w:rsidR="002852FB" w:rsidRPr="00FA38B2">
        <w:rPr>
          <w:rFonts w:cs="Times New Roman"/>
          <w:iCs/>
          <w:szCs w:val="24"/>
        </w:rPr>
        <w:t xml:space="preserve">free </w:t>
      </w:r>
      <w:r w:rsidRPr="00FA38B2">
        <w:rPr>
          <w:rFonts w:cs="Times New Roman"/>
          <w:iCs/>
          <w:szCs w:val="24"/>
        </w:rPr>
        <w:t>college</w:t>
      </w:r>
      <w:r w:rsidRPr="00FA38B2">
        <w:rPr>
          <w:rFonts w:cs="Times New Roman"/>
          <w:szCs w:val="24"/>
        </w:rPr>
        <w:t xml:space="preserve"> policies</w:t>
      </w:r>
      <w:r w:rsidR="00916690" w:rsidRPr="00FA38B2">
        <w:rPr>
          <w:rFonts w:cs="Times New Roman"/>
          <w:szCs w:val="24"/>
        </w:rPr>
        <w:t xml:space="preserve"> - often referred to as promise programs - to address the rising costs of</w:t>
      </w:r>
      <w:r w:rsidRPr="00FA38B2">
        <w:rPr>
          <w:rFonts w:cs="Times New Roman"/>
          <w:szCs w:val="24"/>
        </w:rPr>
        <w:t xml:space="preserve"> attending college and increase postsecondary credential attainment</w:t>
      </w:r>
      <w:r w:rsidR="00916690" w:rsidRPr="00FA38B2">
        <w:rPr>
          <w:rFonts w:cs="Times New Roman"/>
          <w:szCs w:val="24"/>
        </w:rPr>
        <w:t xml:space="preserve"> in their states</w:t>
      </w:r>
      <w:r w:rsidRPr="00FA38B2">
        <w:rPr>
          <w:rFonts w:cs="Times New Roman"/>
          <w:szCs w:val="24"/>
        </w:rPr>
        <w:t xml:space="preserve">. </w:t>
      </w:r>
      <w:r w:rsidR="0096107C" w:rsidRPr="00FA38B2">
        <w:rPr>
          <w:rFonts w:cs="Times New Roman"/>
          <w:szCs w:val="24"/>
        </w:rPr>
        <w:t xml:space="preserve">Concurrently, policymakers and scholars encourage institutions to increase enrollment </w:t>
      </w:r>
      <w:r w:rsidR="007E7E14" w:rsidRPr="00FA38B2">
        <w:rPr>
          <w:rFonts w:cs="Times New Roman"/>
          <w:szCs w:val="24"/>
        </w:rPr>
        <w:t xml:space="preserve">among historically underrepresented students, </w:t>
      </w:r>
      <w:r w:rsidR="009F57BA" w:rsidRPr="00FA38B2">
        <w:rPr>
          <w:rFonts w:cs="Times New Roman"/>
          <w:szCs w:val="24"/>
        </w:rPr>
        <w:t>such as</w:t>
      </w:r>
      <w:r w:rsidR="007E7E14" w:rsidRPr="00FA38B2">
        <w:rPr>
          <w:rFonts w:cs="Times New Roman"/>
          <w:szCs w:val="24"/>
        </w:rPr>
        <w:t xml:space="preserve"> non-traditional adult studen</w:t>
      </w:r>
      <w:r w:rsidR="009F57BA" w:rsidRPr="00FA38B2">
        <w:rPr>
          <w:rFonts w:cs="Times New Roman"/>
          <w:szCs w:val="24"/>
        </w:rPr>
        <w:t>ts and students from racialized backgrounds</w:t>
      </w:r>
      <w:r w:rsidR="007E7E14" w:rsidRPr="00FA38B2">
        <w:rPr>
          <w:rFonts w:cs="Times New Roman"/>
          <w:szCs w:val="24"/>
        </w:rPr>
        <w:t xml:space="preserve">, in order to increase </w:t>
      </w:r>
      <w:r w:rsidR="0096107C" w:rsidRPr="00FA38B2">
        <w:rPr>
          <w:rFonts w:cs="Times New Roman"/>
          <w:szCs w:val="24"/>
        </w:rPr>
        <w:t>postsecondary degree</w:t>
      </w:r>
      <w:r w:rsidR="00B97205" w:rsidRPr="00FA38B2">
        <w:rPr>
          <w:rFonts w:cs="Times New Roman"/>
          <w:szCs w:val="24"/>
        </w:rPr>
        <w:t>s</w:t>
      </w:r>
      <w:r w:rsidR="0096107C" w:rsidRPr="00FA38B2">
        <w:rPr>
          <w:rFonts w:cs="Times New Roman"/>
          <w:szCs w:val="24"/>
        </w:rPr>
        <w:t xml:space="preserve"> or certificate</w:t>
      </w:r>
      <w:r w:rsidR="00B97205" w:rsidRPr="00FA38B2">
        <w:rPr>
          <w:rFonts w:cs="Times New Roman"/>
          <w:szCs w:val="24"/>
        </w:rPr>
        <w:t>s</w:t>
      </w:r>
      <w:r w:rsidR="0096107C" w:rsidRPr="00FA38B2">
        <w:rPr>
          <w:rFonts w:cs="Times New Roman"/>
          <w:szCs w:val="24"/>
        </w:rPr>
        <w:t xml:space="preserve"> in the coming years. </w:t>
      </w:r>
      <w:r w:rsidR="009F57BA" w:rsidRPr="00FA38B2">
        <w:rPr>
          <w:rFonts w:cs="Times New Roman"/>
          <w:szCs w:val="24"/>
        </w:rPr>
        <w:t xml:space="preserve">Additionally, there is a growing movement in the United States to promote and support programs focused on postsecondary career and technical education. </w:t>
      </w:r>
      <w:r w:rsidR="0096107C" w:rsidRPr="00FA38B2">
        <w:rPr>
          <w:rFonts w:cs="Times New Roman"/>
          <w:szCs w:val="24"/>
        </w:rPr>
        <w:t>While there is a growing body of</w:t>
      </w:r>
      <w:r w:rsidRPr="00FA38B2">
        <w:rPr>
          <w:rFonts w:cs="Times New Roman"/>
          <w:szCs w:val="24"/>
        </w:rPr>
        <w:t xml:space="preserve"> research exploring </w:t>
      </w:r>
      <w:r w:rsidR="008F796A" w:rsidRPr="00FA38B2">
        <w:rPr>
          <w:rFonts w:cs="Times New Roman"/>
          <w:szCs w:val="24"/>
        </w:rPr>
        <w:t xml:space="preserve">the effectiveness of </w:t>
      </w:r>
      <w:r w:rsidR="00916690" w:rsidRPr="00FA38B2">
        <w:rPr>
          <w:rFonts w:cs="Times New Roman"/>
          <w:szCs w:val="24"/>
        </w:rPr>
        <w:t>free college p</w:t>
      </w:r>
      <w:r w:rsidR="00D90DFC">
        <w:rPr>
          <w:rFonts w:cs="Times New Roman"/>
          <w:szCs w:val="24"/>
        </w:rPr>
        <w:t>rograms</w:t>
      </w:r>
      <w:r w:rsidR="00C35679" w:rsidRPr="00FA38B2">
        <w:rPr>
          <w:rFonts w:cs="Times New Roman"/>
          <w:szCs w:val="24"/>
        </w:rPr>
        <w:t xml:space="preserve"> as they are currently structured</w:t>
      </w:r>
      <w:r w:rsidR="0096107C" w:rsidRPr="00FA38B2">
        <w:rPr>
          <w:rFonts w:cs="Times New Roman"/>
          <w:szCs w:val="24"/>
        </w:rPr>
        <w:t xml:space="preserve">, </w:t>
      </w:r>
      <w:r w:rsidR="004F7CEE" w:rsidRPr="00FA38B2">
        <w:rPr>
          <w:rFonts w:cs="Times New Roman"/>
          <w:szCs w:val="24"/>
        </w:rPr>
        <w:t>t</w:t>
      </w:r>
      <w:r w:rsidR="0054536B" w:rsidRPr="00FA38B2">
        <w:rPr>
          <w:rFonts w:cs="Times New Roman"/>
          <w:szCs w:val="24"/>
        </w:rPr>
        <w:t xml:space="preserve">here is no research exploring the effectiveness of free college </w:t>
      </w:r>
      <w:r w:rsidR="00D90DFC">
        <w:rPr>
          <w:rFonts w:cs="Times New Roman"/>
          <w:szCs w:val="24"/>
        </w:rPr>
        <w:t>programs</w:t>
      </w:r>
      <w:r w:rsidR="0096107C" w:rsidRPr="00FA38B2">
        <w:rPr>
          <w:rFonts w:cs="Times New Roman"/>
          <w:szCs w:val="24"/>
        </w:rPr>
        <w:t xml:space="preserve"> available to adult students</w:t>
      </w:r>
      <w:r w:rsidR="009F57BA" w:rsidRPr="00FA38B2">
        <w:rPr>
          <w:rFonts w:cs="Times New Roman"/>
          <w:szCs w:val="24"/>
        </w:rPr>
        <w:t>, nor is there research exploring how free college p</w:t>
      </w:r>
      <w:r w:rsidR="00D90DFC">
        <w:rPr>
          <w:rFonts w:cs="Times New Roman"/>
          <w:szCs w:val="24"/>
        </w:rPr>
        <w:t>rograms</w:t>
      </w:r>
      <w:r w:rsidR="009F57BA" w:rsidRPr="00FA38B2">
        <w:rPr>
          <w:rFonts w:cs="Times New Roman"/>
          <w:szCs w:val="24"/>
        </w:rPr>
        <w:t xml:space="preserve"> impact enrollment in postsecondary career and technical education</w:t>
      </w:r>
      <w:r w:rsidR="000E2161" w:rsidRPr="00FA38B2">
        <w:rPr>
          <w:rFonts w:cs="Times New Roman"/>
          <w:szCs w:val="24"/>
        </w:rPr>
        <w:t xml:space="preserve">. </w:t>
      </w:r>
    </w:p>
    <w:p w14:paraId="6B295650" w14:textId="3D74489C" w:rsidR="007B1050" w:rsidRPr="00FA38B2" w:rsidRDefault="0099399F" w:rsidP="0015321A">
      <w:pPr>
        <w:ind w:firstLine="720"/>
        <w:rPr>
          <w:rFonts w:cs="Times New Roman"/>
          <w:szCs w:val="24"/>
        </w:rPr>
      </w:pPr>
      <w:r w:rsidRPr="00FA38B2">
        <w:rPr>
          <w:rFonts w:cs="Times New Roman"/>
          <w:szCs w:val="24"/>
        </w:rPr>
        <w:t xml:space="preserve">This dissertation includes three articles </w:t>
      </w:r>
      <w:r w:rsidR="007B44BC" w:rsidRPr="00FA38B2">
        <w:rPr>
          <w:rFonts w:cs="Times New Roman"/>
          <w:szCs w:val="24"/>
        </w:rPr>
        <w:t xml:space="preserve">exploring </w:t>
      </w:r>
      <w:r w:rsidR="007B1050" w:rsidRPr="00FA38B2">
        <w:rPr>
          <w:rFonts w:cs="Times New Roman"/>
          <w:szCs w:val="24"/>
        </w:rPr>
        <w:t>Tennessee’s t</w:t>
      </w:r>
      <w:r w:rsidR="00557913" w:rsidRPr="00FA38B2">
        <w:rPr>
          <w:rFonts w:cs="Times New Roman"/>
          <w:szCs w:val="24"/>
        </w:rPr>
        <w:t xml:space="preserve">wo </w:t>
      </w:r>
      <w:r w:rsidR="002852FB" w:rsidRPr="00FA38B2">
        <w:rPr>
          <w:rFonts w:cs="Times New Roman"/>
          <w:szCs w:val="24"/>
        </w:rPr>
        <w:t>free college</w:t>
      </w:r>
      <w:r w:rsidR="007B1050" w:rsidRPr="00FA38B2">
        <w:rPr>
          <w:rFonts w:cs="Times New Roman"/>
          <w:szCs w:val="24"/>
        </w:rPr>
        <w:t xml:space="preserve"> p</w:t>
      </w:r>
      <w:r w:rsidR="00D90DFC">
        <w:rPr>
          <w:rFonts w:cs="Times New Roman"/>
          <w:szCs w:val="24"/>
        </w:rPr>
        <w:t>rograms</w:t>
      </w:r>
      <w:r w:rsidR="007B1050" w:rsidRPr="00FA38B2">
        <w:rPr>
          <w:rFonts w:cs="Times New Roman"/>
          <w:szCs w:val="24"/>
        </w:rPr>
        <w:t xml:space="preserve">. The first two articles explore </w:t>
      </w:r>
      <w:r w:rsidR="00622E7E" w:rsidRPr="00FA38B2">
        <w:rPr>
          <w:rFonts w:cs="Times New Roman"/>
          <w:szCs w:val="24"/>
        </w:rPr>
        <w:t xml:space="preserve">Tennessee Reconnect, a </w:t>
      </w:r>
      <w:r w:rsidR="00DD68DC" w:rsidRPr="00FA38B2">
        <w:rPr>
          <w:rFonts w:cs="Times New Roman"/>
          <w:szCs w:val="24"/>
        </w:rPr>
        <w:t>statewide</w:t>
      </w:r>
      <w:r w:rsidR="00520A63" w:rsidRPr="00FA38B2">
        <w:rPr>
          <w:rFonts w:cs="Times New Roman"/>
          <w:szCs w:val="24"/>
        </w:rPr>
        <w:t xml:space="preserve"> </w:t>
      </w:r>
      <w:r w:rsidR="00622E7E" w:rsidRPr="00FA38B2">
        <w:rPr>
          <w:rFonts w:cs="Times New Roman"/>
          <w:szCs w:val="24"/>
        </w:rPr>
        <w:t>policy which provides</w:t>
      </w:r>
      <w:r w:rsidR="00693575" w:rsidRPr="00FA38B2">
        <w:rPr>
          <w:rFonts w:cs="Times New Roman"/>
          <w:szCs w:val="24"/>
        </w:rPr>
        <w:t xml:space="preserve"> tuition</w:t>
      </w:r>
      <w:r w:rsidR="002852FB" w:rsidRPr="00FA38B2">
        <w:rPr>
          <w:rFonts w:cs="Times New Roman"/>
          <w:szCs w:val="24"/>
        </w:rPr>
        <w:t>-</w:t>
      </w:r>
      <w:r w:rsidR="00693575" w:rsidRPr="00FA38B2">
        <w:rPr>
          <w:rFonts w:cs="Times New Roman"/>
          <w:szCs w:val="24"/>
        </w:rPr>
        <w:t xml:space="preserve">free college to </w:t>
      </w:r>
      <w:r w:rsidR="00622E7E" w:rsidRPr="00FA38B2">
        <w:rPr>
          <w:rFonts w:cs="Times New Roman"/>
          <w:szCs w:val="24"/>
        </w:rPr>
        <w:t xml:space="preserve">adult </w:t>
      </w:r>
      <w:r w:rsidR="00693575" w:rsidRPr="00FA38B2">
        <w:rPr>
          <w:rFonts w:cs="Times New Roman"/>
          <w:szCs w:val="24"/>
        </w:rPr>
        <w:t xml:space="preserve">students </w:t>
      </w:r>
      <w:r w:rsidR="001029C4" w:rsidRPr="00FA38B2">
        <w:rPr>
          <w:rFonts w:cs="Times New Roman"/>
          <w:szCs w:val="24"/>
        </w:rPr>
        <w:t xml:space="preserve">at all public and select private technical colleges, community colleges, and associate degree granting </w:t>
      </w:r>
      <w:r w:rsidR="0069099F" w:rsidRPr="00FA38B2">
        <w:rPr>
          <w:rFonts w:cs="Times New Roman"/>
          <w:szCs w:val="24"/>
        </w:rPr>
        <w:t>institutions</w:t>
      </w:r>
      <w:r w:rsidR="00460C77" w:rsidRPr="00FA38B2">
        <w:rPr>
          <w:rFonts w:cs="Times New Roman"/>
          <w:szCs w:val="24"/>
        </w:rPr>
        <w:t xml:space="preserve"> in Tennessee</w:t>
      </w:r>
      <w:r w:rsidR="001029C4" w:rsidRPr="00FA38B2">
        <w:rPr>
          <w:rFonts w:cs="Times New Roman"/>
          <w:szCs w:val="24"/>
        </w:rPr>
        <w:t>.</w:t>
      </w:r>
      <w:r w:rsidR="0069099F" w:rsidRPr="00FA38B2">
        <w:rPr>
          <w:rFonts w:cs="Times New Roman"/>
          <w:szCs w:val="24"/>
        </w:rPr>
        <w:t xml:space="preserve"> </w:t>
      </w:r>
      <w:r w:rsidR="00B97205" w:rsidRPr="00FA38B2">
        <w:rPr>
          <w:rFonts w:cs="Times New Roman"/>
          <w:szCs w:val="24"/>
        </w:rPr>
        <w:t>The first study</w:t>
      </w:r>
      <w:r w:rsidR="00916690" w:rsidRPr="00FA38B2">
        <w:rPr>
          <w:rFonts w:cs="Times New Roman"/>
          <w:szCs w:val="24"/>
        </w:rPr>
        <w:t xml:space="preserve"> </w:t>
      </w:r>
      <w:r w:rsidR="007B1050" w:rsidRPr="00FA38B2">
        <w:rPr>
          <w:rFonts w:cs="Times New Roman"/>
          <w:szCs w:val="24"/>
        </w:rPr>
        <w:t xml:space="preserve">qualitatively </w:t>
      </w:r>
      <w:r w:rsidR="005C5631" w:rsidRPr="00FA38B2">
        <w:rPr>
          <w:rFonts w:cs="Times New Roman"/>
          <w:szCs w:val="24"/>
        </w:rPr>
        <w:t xml:space="preserve">explores the </w:t>
      </w:r>
      <w:r w:rsidR="00217EEB" w:rsidRPr="00FA38B2">
        <w:rPr>
          <w:rFonts w:cs="Times New Roman"/>
          <w:szCs w:val="24"/>
        </w:rPr>
        <w:t xml:space="preserve">lived </w:t>
      </w:r>
      <w:r w:rsidR="005C5631" w:rsidRPr="00FA38B2">
        <w:rPr>
          <w:rFonts w:cs="Times New Roman"/>
          <w:szCs w:val="24"/>
        </w:rPr>
        <w:t>experience</w:t>
      </w:r>
      <w:r w:rsidR="00FB3B19" w:rsidRPr="00FA38B2">
        <w:rPr>
          <w:rFonts w:cs="Times New Roman"/>
          <w:szCs w:val="24"/>
        </w:rPr>
        <w:t>s</w:t>
      </w:r>
      <w:r w:rsidR="005C5631" w:rsidRPr="00FA38B2">
        <w:rPr>
          <w:rFonts w:cs="Times New Roman"/>
          <w:szCs w:val="24"/>
        </w:rPr>
        <w:t xml:space="preserve"> of students who used</w:t>
      </w:r>
      <w:r w:rsidR="00DC68A8" w:rsidRPr="00FA38B2">
        <w:rPr>
          <w:rFonts w:cs="Times New Roman"/>
          <w:szCs w:val="24"/>
        </w:rPr>
        <w:t xml:space="preserve"> </w:t>
      </w:r>
      <w:r w:rsidR="005C5631" w:rsidRPr="00FA38B2">
        <w:rPr>
          <w:rFonts w:cs="Times New Roman"/>
          <w:szCs w:val="24"/>
        </w:rPr>
        <w:t>Tennessee Reconnect in its first two years</w:t>
      </w:r>
      <w:r w:rsidR="00916690" w:rsidRPr="00FA38B2">
        <w:rPr>
          <w:rFonts w:cs="Times New Roman"/>
          <w:szCs w:val="24"/>
        </w:rPr>
        <w:t>.</w:t>
      </w:r>
      <w:r w:rsidR="007E7AF2" w:rsidRPr="00FA38B2">
        <w:rPr>
          <w:rFonts w:cs="Times New Roman"/>
          <w:szCs w:val="24"/>
        </w:rPr>
        <w:t xml:space="preserve"> </w:t>
      </w:r>
      <w:r w:rsidR="00B97205" w:rsidRPr="00FA38B2">
        <w:rPr>
          <w:rFonts w:cs="Times New Roman"/>
          <w:szCs w:val="24"/>
        </w:rPr>
        <w:t>The second study</w:t>
      </w:r>
      <w:r w:rsidR="00417301" w:rsidRPr="00FA38B2">
        <w:rPr>
          <w:rFonts w:cs="Times New Roman"/>
          <w:szCs w:val="24"/>
        </w:rPr>
        <w:t xml:space="preserve"> </w:t>
      </w:r>
      <w:r w:rsidR="0017677D" w:rsidRPr="00FA38B2">
        <w:rPr>
          <w:rFonts w:cs="Times New Roman"/>
          <w:szCs w:val="24"/>
        </w:rPr>
        <w:t>deploys</w:t>
      </w:r>
      <w:r w:rsidR="000C4110" w:rsidRPr="00FA38B2">
        <w:rPr>
          <w:rFonts w:cs="Times New Roman"/>
          <w:szCs w:val="24"/>
        </w:rPr>
        <w:t xml:space="preserve"> difference</w:t>
      </w:r>
      <w:r w:rsidR="007B1050" w:rsidRPr="00FA38B2">
        <w:rPr>
          <w:rFonts w:cs="Times New Roman"/>
          <w:szCs w:val="24"/>
        </w:rPr>
        <w:t>s</w:t>
      </w:r>
      <w:r w:rsidR="000C4110" w:rsidRPr="00FA38B2">
        <w:rPr>
          <w:rFonts w:cs="Times New Roman"/>
          <w:szCs w:val="24"/>
        </w:rPr>
        <w:t>-in-d</w:t>
      </w:r>
      <w:r w:rsidR="007E7AF2" w:rsidRPr="00FA38B2">
        <w:rPr>
          <w:rFonts w:cs="Times New Roman"/>
          <w:szCs w:val="24"/>
        </w:rPr>
        <w:t>i</w:t>
      </w:r>
      <w:r w:rsidR="006229CA" w:rsidRPr="00FA38B2">
        <w:rPr>
          <w:rFonts w:cs="Times New Roman"/>
          <w:szCs w:val="24"/>
        </w:rPr>
        <w:t xml:space="preserve">fferences </w:t>
      </w:r>
      <w:r w:rsidR="0017677D" w:rsidRPr="00FA38B2">
        <w:rPr>
          <w:rFonts w:cs="Times New Roman"/>
          <w:szCs w:val="24"/>
        </w:rPr>
        <w:t>to</w:t>
      </w:r>
      <w:r w:rsidR="006229CA" w:rsidRPr="00FA38B2">
        <w:rPr>
          <w:rFonts w:cs="Times New Roman"/>
          <w:szCs w:val="24"/>
        </w:rPr>
        <w:t xml:space="preserve"> analyze </w:t>
      </w:r>
      <w:r w:rsidR="0036487C" w:rsidRPr="00FA38B2">
        <w:rPr>
          <w:rFonts w:cs="Times New Roman"/>
          <w:szCs w:val="24"/>
        </w:rPr>
        <w:t xml:space="preserve">the </w:t>
      </w:r>
      <w:r w:rsidR="007B1050" w:rsidRPr="00FA38B2">
        <w:rPr>
          <w:rFonts w:cs="Times New Roman"/>
          <w:szCs w:val="24"/>
        </w:rPr>
        <w:t xml:space="preserve">causal </w:t>
      </w:r>
      <w:r w:rsidR="00E76658" w:rsidRPr="00FA38B2">
        <w:rPr>
          <w:rFonts w:cs="Times New Roman"/>
          <w:szCs w:val="24"/>
        </w:rPr>
        <w:t xml:space="preserve">effect of </w:t>
      </w:r>
      <w:r w:rsidR="0036487C" w:rsidRPr="00FA38B2">
        <w:rPr>
          <w:rFonts w:cs="Times New Roman"/>
          <w:szCs w:val="24"/>
        </w:rPr>
        <w:t>Tennessee</w:t>
      </w:r>
      <w:r w:rsidR="002C28D9" w:rsidRPr="00FA38B2">
        <w:rPr>
          <w:rFonts w:cs="Times New Roman"/>
          <w:szCs w:val="24"/>
        </w:rPr>
        <w:t xml:space="preserve"> Reconnect</w:t>
      </w:r>
      <w:r w:rsidR="00557913" w:rsidRPr="00FA38B2">
        <w:rPr>
          <w:rFonts w:cs="Times New Roman"/>
          <w:szCs w:val="24"/>
        </w:rPr>
        <w:t xml:space="preserve"> on adult student enrollment in 2018 and 2019</w:t>
      </w:r>
      <w:r w:rsidR="00A41063" w:rsidRPr="00FA38B2">
        <w:rPr>
          <w:rFonts w:cs="Times New Roman"/>
          <w:szCs w:val="24"/>
        </w:rPr>
        <w:t>.</w:t>
      </w:r>
      <w:r w:rsidR="00622E7E" w:rsidRPr="00FA38B2">
        <w:rPr>
          <w:rFonts w:cs="Times New Roman"/>
          <w:szCs w:val="24"/>
        </w:rPr>
        <w:t xml:space="preserve"> </w:t>
      </w:r>
    </w:p>
    <w:p w14:paraId="3DF6C159" w14:textId="399309E4" w:rsidR="00622E7E" w:rsidRPr="00FA38B2" w:rsidRDefault="00AC05FA" w:rsidP="0015321A">
      <w:pPr>
        <w:ind w:firstLine="720"/>
        <w:rPr>
          <w:rFonts w:cs="Times New Roman"/>
          <w:szCs w:val="24"/>
        </w:rPr>
      </w:pPr>
      <w:r w:rsidRPr="00FA38B2">
        <w:rPr>
          <w:rFonts w:cs="Times New Roman"/>
          <w:szCs w:val="24"/>
        </w:rPr>
        <w:t xml:space="preserve">The third study included in this dissertation explores how Tennessee Promise - the original free college policy in the state that limits eligibility to high school graduates – impacted enrollment in postsecondary career and technical education programs in the state. In the third </w:t>
      </w:r>
      <w:r w:rsidRPr="00FA38B2">
        <w:rPr>
          <w:rFonts w:cs="Times New Roman"/>
          <w:szCs w:val="24"/>
        </w:rPr>
        <w:lastRenderedPageBreak/>
        <w:t xml:space="preserve">study, I deploy differences-in-differences to analyze the causal effect of Tennessee Promise on student participation in postsecondary career and technical education programs. Findings from these studies build on the growing body of scholarship on promise programs. Specifically, the studies included in this dissertation are the first to explore promise programs created for adult students and the effect of statewide promise programs on postsecondary career and technical education. Implications for policy, practice, and research are discussed in chapter 5.   </w:t>
      </w:r>
      <w:r w:rsidR="00A21E50" w:rsidRPr="00FA38B2">
        <w:rPr>
          <w:rFonts w:cs="Times New Roman"/>
          <w:szCs w:val="24"/>
        </w:rPr>
        <w:t xml:space="preserve"> </w:t>
      </w:r>
      <w:r w:rsidR="009828C8" w:rsidRPr="00FA38B2">
        <w:rPr>
          <w:rFonts w:cs="Times New Roman"/>
          <w:szCs w:val="24"/>
        </w:rPr>
        <w:t xml:space="preserve">  </w:t>
      </w:r>
    </w:p>
    <w:p w14:paraId="547FD8BF" w14:textId="77777777" w:rsidR="009D2759" w:rsidRPr="00FA38B2" w:rsidRDefault="009D2759" w:rsidP="0015321A">
      <w:pPr>
        <w:rPr>
          <w:rFonts w:cs="Times New Roman"/>
          <w:szCs w:val="24"/>
        </w:rPr>
      </w:pPr>
      <w:r w:rsidRPr="00FA38B2">
        <w:rPr>
          <w:rFonts w:cs="Times New Roman"/>
          <w:szCs w:val="24"/>
        </w:rPr>
        <w:br w:type="page"/>
      </w:r>
    </w:p>
    <w:p w14:paraId="161BAFE5" w14:textId="3867E57E" w:rsidR="009D2759" w:rsidRPr="00FA38B2" w:rsidRDefault="007C79A3" w:rsidP="00976AB7">
      <w:pPr>
        <w:jc w:val="center"/>
        <w:rPr>
          <w:rFonts w:cs="Times New Roman"/>
          <w:b/>
          <w:szCs w:val="24"/>
        </w:rPr>
      </w:pPr>
      <w:r w:rsidRPr="00FA38B2">
        <w:rPr>
          <w:rFonts w:cs="Times New Roman"/>
          <w:b/>
          <w:szCs w:val="24"/>
        </w:rPr>
        <w:lastRenderedPageBreak/>
        <w:t>Table of Contents</w:t>
      </w:r>
    </w:p>
    <w:p w14:paraId="6B1D4F86" w14:textId="2A110CF6" w:rsidR="00D420BE" w:rsidRDefault="00D34712">
      <w:pPr>
        <w:pStyle w:val="TOC1"/>
        <w:rPr>
          <w:rFonts w:asciiTheme="minorHAnsi" w:eastAsiaTheme="minorEastAsia" w:hAnsiTheme="minorHAnsi" w:cstheme="minorBidi"/>
          <w:bCs w:val="0"/>
          <w:noProof/>
          <w:sz w:val="22"/>
          <w:szCs w:val="22"/>
        </w:rPr>
      </w:pPr>
      <w:r w:rsidRPr="00FA38B2">
        <w:rPr>
          <w:szCs w:val="24"/>
        </w:rPr>
        <w:fldChar w:fldCharType="begin"/>
      </w:r>
      <w:r w:rsidRPr="00FA38B2">
        <w:rPr>
          <w:szCs w:val="24"/>
        </w:rPr>
        <w:instrText xml:space="preserve"> TOC \u </w:instrText>
      </w:r>
      <w:r w:rsidRPr="00FA38B2">
        <w:rPr>
          <w:szCs w:val="24"/>
        </w:rPr>
        <w:fldChar w:fldCharType="separate"/>
      </w:r>
      <w:r w:rsidR="00D420BE" w:rsidRPr="008F64FB">
        <w:rPr>
          <w:rFonts w:cs="Times New Roman"/>
          <w:noProof/>
        </w:rPr>
        <w:t>Chapter 1: Introduction to the Study</w:t>
      </w:r>
      <w:r w:rsidR="00D420BE">
        <w:rPr>
          <w:noProof/>
        </w:rPr>
        <w:tab/>
      </w:r>
      <w:r w:rsidR="00D420BE">
        <w:rPr>
          <w:noProof/>
        </w:rPr>
        <w:fldChar w:fldCharType="begin"/>
      </w:r>
      <w:r w:rsidR="00D420BE">
        <w:rPr>
          <w:noProof/>
        </w:rPr>
        <w:instrText xml:space="preserve"> PAGEREF _Toc70181476 \h </w:instrText>
      </w:r>
      <w:r w:rsidR="00D420BE">
        <w:rPr>
          <w:noProof/>
        </w:rPr>
      </w:r>
      <w:r w:rsidR="00D420BE">
        <w:rPr>
          <w:noProof/>
        </w:rPr>
        <w:fldChar w:fldCharType="separate"/>
      </w:r>
      <w:r w:rsidR="00D420BE">
        <w:rPr>
          <w:noProof/>
        </w:rPr>
        <w:t>1</w:t>
      </w:r>
      <w:r w:rsidR="00D420BE">
        <w:rPr>
          <w:noProof/>
        </w:rPr>
        <w:fldChar w:fldCharType="end"/>
      </w:r>
    </w:p>
    <w:p w14:paraId="5E80BD77" w14:textId="50ACB953" w:rsidR="00D420BE" w:rsidRDefault="00D420BE">
      <w:pPr>
        <w:pStyle w:val="TOC2"/>
        <w:tabs>
          <w:tab w:val="right" w:leader="hyphen" w:pos="9350"/>
        </w:tabs>
        <w:rPr>
          <w:rFonts w:asciiTheme="minorHAnsi" w:eastAsiaTheme="minorEastAsia" w:hAnsiTheme="minorHAnsi" w:cstheme="minorBidi"/>
          <w:iCs w:val="0"/>
          <w:noProof/>
          <w:sz w:val="22"/>
          <w:szCs w:val="22"/>
        </w:rPr>
      </w:pPr>
      <w:r w:rsidRPr="008F64FB">
        <w:rPr>
          <w:rFonts w:cs="Times New Roman"/>
          <w:noProof/>
        </w:rPr>
        <w:t>Background: Statewide Promise Programs</w:t>
      </w:r>
      <w:r>
        <w:rPr>
          <w:noProof/>
        </w:rPr>
        <w:tab/>
      </w:r>
      <w:r>
        <w:rPr>
          <w:noProof/>
        </w:rPr>
        <w:fldChar w:fldCharType="begin"/>
      </w:r>
      <w:r>
        <w:rPr>
          <w:noProof/>
        </w:rPr>
        <w:instrText xml:space="preserve"> PAGEREF _Toc70181477 \h </w:instrText>
      </w:r>
      <w:r>
        <w:rPr>
          <w:noProof/>
        </w:rPr>
      </w:r>
      <w:r>
        <w:rPr>
          <w:noProof/>
        </w:rPr>
        <w:fldChar w:fldCharType="separate"/>
      </w:r>
      <w:r>
        <w:rPr>
          <w:noProof/>
        </w:rPr>
        <w:t>3</w:t>
      </w:r>
      <w:r>
        <w:rPr>
          <w:noProof/>
        </w:rPr>
        <w:fldChar w:fldCharType="end"/>
      </w:r>
    </w:p>
    <w:p w14:paraId="0BF16CC1" w14:textId="1307D63F" w:rsidR="00D420BE" w:rsidRDefault="00D420BE">
      <w:pPr>
        <w:pStyle w:val="TOC2"/>
        <w:tabs>
          <w:tab w:val="right" w:leader="hyphen" w:pos="9350"/>
        </w:tabs>
        <w:rPr>
          <w:rFonts w:asciiTheme="minorHAnsi" w:eastAsiaTheme="minorEastAsia" w:hAnsiTheme="minorHAnsi" w:cstheme="minorBidi"/>
          <w:iCs w:val="0"/>
          <w:noProof/>
          <w:sz w:val="22"/>
          <w:szCs w:val="22"/>
        </w:rPr>
      </w:pPr>
      <w:r w:rsidRPr="008F64FB">
        <w:rPr>
          <w:rFonts w:cs="Times New Roman"/>
          <w:noProof/>
        </w:rPr>
        <w:t>Statement of the Problem</w:t>
      </w:r>
      <w:r>
        <w:rPr>
          <w:noProof/>
        </w:rPr>
        <w:tab/>
      </w:r>
      <w:r>
        <w:rPr>
          <w:noProof/>
        </w:rPr>
        <w:fldChar w:fldCharType="begin"/>
      </w:r>
      <w:r>
        <w:rPr>
          <w:noProof/>
        </w:rPr>
        <w:instrText xml:space="preserve"> PAGEREF _Toc70181478 \h </w:instrText>
      </w:r>
      <w:r>
        <w:rPr>
          <w:noProof/>
        </w:rPr>
      </w:r>
      <w:r>
        <w:rPr>
          <w:noProof/>
        </w:rPr>
        <w:fldChar w:fldCharType="separate"/>
      </w:r>
      <w:r>
        <w:rPr>
          <w:noProof/>
        </w:rPr>
        <w:t>6</w:t>
      </w:r>
      <w:r>
        <w:rPr>
          <w:noProof/>
        </w:rPr>
        <w:fldChar w:fldCharType="end"/>
      </w:r>
    </w:p>
    <w:p w14:paraId="47E5D884" w14:textId="27AE198C" w:rsidR="00D420BE" w:rsidRDefault="00D420BE">
      <w:pPr>
        <w:pStyle w:val="TOC2"/>
        <w:tabs>
          <w:tab w:val="right" w:leader="hyphen" w:pos="9350"/>
        </w:tabs>
        <w:rPr>
          <w:rFonts w:asciiTheme="minorHAnsi" w:eastAsiaTheme="minorEastAsia" w:hAnsiTheme="minorHAnsi" w:cstheme="minorBidi"/>
          <w:iCs w:val="0"/>
          <w:noProof/>
          <w:sz w:val="22"/>
          <w:szCs w:val="22"/>
        </w:rPr>
      </w:pPr>
      <w:r w:rsidRPr="008F64FB">
        <w:rPr>
          <w:rFonts w:cs="Times New Roman"/>
          <w:noProof/>
        </w:rPr>
        <w:t>Research Questions</w:t>
      </w:r>
      <w:r>
        <w:rPr>
          <w:noProof/>
        </w:rPr>
        <w:tab/>
      </w:r>
      <w:r>
        <w:rPr>
          <w:noProof/>
        </w:rPr>
        <w:fldChar w:fldCharType="begin"/>
      </w:r>
      <w:r>
        <w:rPr>
          <w:noProof/>
        </w:rPr>
        <w:instrText xml:space="preserve"> PAGEREF _Toc70181479 \h </w:instrText>
      </w:r>
      <w:r>
        <w:rPr>
          <w:noProof/>
        </w:rPr>
      </w:r>
      <w:r>
        <w:rPr>
          <w:noProof/>
        </w:rPr>
        <w:fldChar w:fldCharType="separate"/>
      </w:r>
      <w:r>
        <w:rPr>
          <w:noProof/>
        </w:rPr>
        <w:t>8</w:t>
      </w:r>
      <w:r>
        <w:rPr>
          <w:noProof/>
        </w:rPr>
        <w:fldChar w:fldCharType="end"/>
      </w:r>
    </w:p>
    <w:p w14:paraId="57B026D4" w14:textId="313F8791" w:rsidR="00D420BE" w:rsidRDefault="00D420BE">
      <w:pPr>
        <w:pStyle w:val="TOC1"/>
        <w:rPr>
          <w:rFonts w:asciiTheme="minorHAnsi" w:eastAsiaTheme="minorEastAsia" w:hAnsiTheme="minorHAnsi" w:cstheme="minorBidi"/>
          <w:bCs w:val="0"/>
          <w:noProof/>
          <w:sz w:val="22"/>
          <w:szCs w:val="22"/>
        </w:rPr>
      </w:pPr>
      <w:r w:rsidRPr="008F64FB">
        <w:rPr>
          <w:rFonts w:cs="Times New Roman"/>
          <w:noProof/>
        </w:rPr>
        <w:t>Chapter 2: “I’m Not Letting Nothing Stop me This Time.”: Transitions Among Adult Learners Using the Tennessee Reconnect Grant</w:t>
      </w:r>
      <w:r>
        <w:rPr>
          <w:noProof/>
        </w:rPr>
        <w:tab/>
      </w:r>
      <w:r>
        <w:rPr>
          <w:noProof/>
        </w:rPr>
        <w:fldChar w:fldCharType="begin"/>
      </w:r>
      <w:r>
        <w:rPr>
          <w:noProof/>
        </w:rPr>
        <w:instrText xml:space="preserve"> PAGEREF _Toc70181480 \h </w:instrText>
      </w:r>
      <w:r>
        <w:rPr>
          <w:noProof/>
        </w:rPr>
      </w:r>
      <w:r>
        <w:rPr>
          <w:noProof/>
        </w:rPr>
        <w:fldChar w:fldCharType="separate"/>
      </w:r>
      <w:r>
        <w:rPr>
          <w:noProof/>
        </w:rPr>
        <w:t>9</w:t>
      </w:r>
      <w:r>
        <w:rPr>
          <w:noProof/>
        </w:rPr>
        <w:fldChar w:fldCharType="end"/>
      </w:r>
    </w:p>
    <w:p w14:paraId="1BCE7BEB" w14:textId="378C6153" w:rsidR="00D420BE" w:rsidRDefault="00D420BE">
      <w:pPr>
        <w:pStyle w:val="TOC2"/>
        <w:tabs>
          <w:tab w:val="right" w:leader="hyphen" w:pos="9350"/>
        </w:tabs>
        <w:rPr>
          <w:rFonts w:asciiTheme="minorHAnsi" w:eastAsiaTheme="minorEastAsia" w:hAnsiTheme="minorHAnsi" w:cstheme="minorBidi"/>
          <w:iCs w:val="0"/>
          <w:noProof/>
          <w:sz w:val="22"/>
          <w:szCs w:val="22"/>
        </w:rPr>
      </w:pPr>
      <w:r>
        <w:rPr>
          <w:noProof/>
        </w:rPr>
        <w:t>Abstract</w:t>
      </w:r>
      <w:r>
        <w:rPr>
          <w:noProof/>
        </w:rPr>
        <w:tab/>
      </w:r>
      <w:r>
        <w:rPr>
          <w:noProof/>
        </w:rPr>
        <w:fldChar w:fldCharType="begin"/>
      </w:r>
      <w:r>
        <w:rPr>
          <w:noProof/>
        </w:rPr>
        <w:instrText xml:space="preserve"> PAGEREF _Toc70181481 \h </w:instrText>
      </w:r>
      <w:r>
        <w:rPr>
          <w:noProof/>
        </w:rPr>
      </w:r>
      <w:r>
        <w:rPr>
          <w:noProof/>
        </w:rPr>
        <w:fldChar w:fldCharType="separate"/>
      </w:r>
      <w:r>
        <w:rPr>
          <w:noProof/>
        </w:rPr>
        <w:t>10</w:t>
      </w:r>
      <w:r>
        <w:rPr>
          <w:noProof/>
        </w:rPr>
        <w:fldChar w:fldCharType="end"/>
      </w:r>
    </w:p>
    <w:p w14:paraId="5B74A53C" w14:textId="71ED13C2" w:rsidR="00D420BE" w:rsidRDefault="00D420BE">
      <w:pPr>
        <w:pStyle w:val="TOC2"/>
        <w:tabs>
          <w:tab w:val="right" w:leader="hyphen" w:pos="9350"/>
        </w:tabs>
        <w:rPr>
          <w:rFonts w:asciiTheme="minorHAnsi" w:eastAsiaTheme="minorEastAsia" w:hAnsiTheme="minorHAnsi" w:cstheme="minorBidi"/>
          <w:iCs w:val="0"/>
          <w:noProof/>
          <w:sz w:val="22"/>
          <w:szCs w:val="22"/>
        </w:rPr>
      </w:pPr>
      <w:r w:rsidRPr="008F64FB">
        <w:rPr>
          <w:rFonts w:cs="Times New Roman"/>
          <w:noProof/>
        </w:rPr>
        <w:t>Literature Review</w:t>
      </w:r>
      <w:r>
        <w:rPr>
          <w:noProof/>
        </w:rPr>
        <w:tab/>
      </w:r>
      <w:r>
        <w:rPr>
          <w:noProof/>
        </w:rPr>
        <w:fldChar w:fldCharType="begin"/>
      </w:r>
      <w:r>
        <w:rPr>
          <w:noProof/>
        </w:rPr>
        <w:instrText xml:space="preserve"> PAGEREF _Toc70181482 \h </w:instrText>
      </w:r>
      <w:r>
        <w:rPr>
          <w:noProof/>
        </w:rPr>
      </w:r>
      <w:r>
        <w:rPr>
          <w:noProof/>
        </w:rPr>
        <w:fldChar w:fldCharType="separate"/>
      </w:r>
      <w:r>
        <w:rPr>
          <w:noProof/>
        </w:rPr>
        <w:t>12</w:t>
      </w:r>
      <w:r>
        <w:rPr>
          <w:noProof/>
        </w:rPr>
        <w:fldChar w:fldCharType="end"/>
      </w:r>
    </w:p>
    <w:p w14:paraId="24F3D7D9" w14:textId="4C691894" w:rsidR="00D420BE" w:rsidRDefault="00D420BE">
      <w:pPr>
        <w:pStyle w:val="TOC2"/>
        <w:tabs>
          <w:tab w:val="right" w:leader="hyphen" w:pos="9350"/>
        </w:tabs>
        <w:rPr>
          <w:rFonts w:asciiTheme="minorHAnsi" w:eastAsiaTheme="minorEastAsia" w:hAnsiTheme="minorHAnsi" w:cstheme="minorBidi"/>
          <w:iCs w:val="0"/>
          <w:noProof/>
          <w:sz w:val="22"/>
          <w:szCs w:val="22"/>
        </w:rPr>
      </w:pPr>
      <w:r w:rsidRPr="008F64FB">
        <w:rPr>
          <w:rFonts w:cs="Times New Roman"/>
          <w:noProof/>
        </w:rPr>
        <w:t>Theoretical Framework</w:t>
      </w:r>
      <w:r>
        <w:rPr>
          <w:noProof/>
        </w:rPr>
        <w:tab/>
      </w:r>
      <w:r>
        <w:rPr>
          <w:noProof/>
        </w:rPr>
        <w:fldChar w:fldCharType="begin"/>
      </w:r>
      <w:r>
        <w:rPr>
          <w:noProof/>
        </w:rPr>
        <w:instrText xml:space="preserve"> PAGEREF _Toc70181483 \h </w:instrText>
      </w:r>
      <w:r>
        <w:rPr>
          <w:noProof/>
        </w:rPr>
      </w:r>
      <w:r>
        <w:rPr>
          <w:noProof/>
        </w:rPr>
        <w:fldChar w:fldCharType="separate"/>
      </w:r>
      <w:r>
        <w:rPr>
          <w:noProof/>
        </w:rPr>
        <w:t>15</w:t>
      </w:r>
      <w:r>
        <w:rPr>
          <w:noProof/>
        </w:rPr>
        <w:fldChar w:fldCharType="end"/>
      </w:r>
    </w:p>
    <w:p w14:paraId="39AC6CA2" w14:textId="5DB634CC" w:rsidR="00D420BE" w:rsidRDefault="00D420BE">
      <w:pPr>
        <w:pStyle w:val="TOC2"/>
        <w:tabs>
          <w:tab w:val="right" w:leader="hyphen" w:pos="9350"/>
        </w:tabs>
        <w:rPr>
          <w:rFonts w:asciiTheme="minorHAnsi" w:eastAsiaTheme="minorEastAsia" w:hAnsiTheme="minorHAnsi" w:cstheme="minorBidi"/>
          <w:iCs w:val="0"/>
          <w:noProof/>
          <w:sz w:val="22"/>
          <w:szCs w:val="22"/>
        </w:rPr>
      </w:pPr>
      <w:r w:rsidRPr="008F64FB">
        <w:rPr>
          <w:rFonts w:cs="Times New Roman"/>
          <w:noProof/>
        </w:rPr>
        <w:t>Methodology</w:t>
      </w:r>
      <w:r>
        <w:rPr>
          <w:noProof/>
        </w:rPr>
        <w:tab/>
      </w:r>
      <w:r>
        <w:rPr>
          <w:noProof/>
        </w:rPr>
        <w:fldChar w:fldCharType="begin"/>
      </w:r>
      <w:r>
        <w:rPr>
          <w:noProof/>
        </w:rPr>
        <w:instrText xml:space="preserve"> PAGEREF _Toc70181484 \h </w:instrText>
      </w:r>
      <w:r>
        <w:rPr>
          <w:noProof/>
        </w:rPr>
      </w:r>
      <w:r>
        <w:rPr>
          <w:noProof/>
        </w:rPr>
        <w:fldChar w:fldCharType="separate"/>
      </w:r>
      <w:r>
        <w:rPr>
          <w:noProof/>
        </w:rPr>
        <w:t>16</w:t>
      </w:r>
      <w:r>
        <w:rPr>
          <w:noProof/>
        </w:rPr>
        <w:fldChar w:fldCharType="end"/>
      </w:r>
    </w:p>
    <w:p w14:paraId="26D063A9" w14:textId="29BA1C97" w:rsidR="00D420BE" w:rsidRDefault="00D420BE">
      <w:pPr>
        <w:pStyle w:val="TOC2"/>
        <w:tabs>
          <w:tab w:val="right" w:leader="hyphen" w:pos="9350"/>
        </w:tabs>
        <w:rPr>
          <w:rFonts w:asciiTheme="minorHAnsi" w:eastAsiaTheme="minorEastAsia" w:hAnsiTheme="minorHAnsi" w:cstheme="minorBidi"/>
          <w:iCs w:val="0"/>
          <w:noProof/>
          <w:sz w:val="22"/>
          <w:szCs w:val="22"/>
        </w:rPr>
      </w:pPr>
      <w:r w:rsidRPr="008F64FB">
        <w:rPr>
          <w:rFonts w:cs="Times New Roman"/>
          <w:noProof/>
        </w:rPr>
        <w:t>Findings</w:t>
      </w:r>
      <w:r>
        <w:rPr>
          <w:noProof/>
        </w:rPr>
        <w:tab/>
      </w:r>
      <w:r>
        <w:rPr>
          <w:noProof/>
        </w:rPr>
        <w:fldChar w:fldCharType="begin"/>
      </w:r>
      <w:r>
        <w:rPr>
          <w:noProof/>
        </w:rPr>
        <w:instrText xml:space="preserve"> PAGEREF _Toc70181485 \h </w:instrText>
      </w:r>
      <w:r>
        <w:rPr>
          <w:noProof/>
        </w:rPr>
      </w:r>
      <w:r>
        <w:rPr>
          <w:noProof/>
        </w:rPr>
        <w:fldChar w:fldCharType="separate"/>
      </w:r>
      <w:r>
        <w:rPr>
          <w:noProof/>
        </w:rPr>
        <w:t>20</w:t>
      </w:r>
      <w:r>
        <w:rPr>
          <w:noProof/>
        </w:rPr>
        <w:fldChar w:fldCharType="end"/>
      </w:r>
    </w:p>
    <w:p w14:paraId="238C17F3" w14:textId="7510AA2D" w:rsidR="00D420BE" w:rsidRDefault="00D420BE">
      <w:pPr>
        <w:pStyle w:val="TOC2"/>
        <w:tabs>
          <w:tab w:val="right" w:leader="hyphen" w:pos="9350"/>
        </w:tabs>
        <w:rPr>
          <w:rFonts w:asciiTheme="minorHAnsi" w:eastAsiaTheme="minorEastAsia" w:hAnsiTheme="minorHAnsi" w:cstheme="minorBidi"/>
          <w:iCs w:val="0"/>
          <w:noProof/>
          <w:sz w:val="22"/>
          <w:szCs w:val="22"/>
        </w:rPr>
      </w:pPr>
      <w:r w:rsidRPr="008F64FB">
        <w:rPr>
          <w:rFonts w:cs="Times New Roman"/>
          <w:noProof/>
        </w:rPr>
        <w:t>Discussion</w:t>
      </w:r>
      <w:r>
        <w:rPr>
          <w:noProof/>
        </w:rPr>
        <w:tab/>
      </w:r>
      <w:r>
        <w:rPr>
          <w:noProof/>
        </w:rPr>
        <w:fldChar w:fldCharType="begin"/>
      </w:r>
      <w:r>
        <w:rPr>
          <w:noProof/>
        </w:rPr>
        <w:instrText xml:space="preserve"> PAGEREF _Toc70181486 \h </w:instrText>
      </w:r>
      <w:r>
        <w:rPr>
          <w:noProof/>
        </w:rPr>
      </w:r>
      <w:r>
        <w:rPr>
          <w:noProof/>
        </w:rPr>
        <w:fldChar w:fldCharType="separate"/>
      </w:r>
      <w:r>
        <w:rPr>
          <w:noProof/>
        </w:rPr>
        <w:t>32</w:t>
      </w:r>
      <w:r>
        <w:rPr>
          <w:noProof/>
        </w:rPr>
        <w:fldChar w:fldCharType="end"/>
      </w:r>
    </w:p>
    <w:p w14:paraId="507F78AD" w14:textId="006CAF5A" w:rsidR="00D420BE" w:rsidRDefault="00D420BE">
      <w:pPr>
        <w:pStyle w:val="TOC2"/>
        <w:tabs>
          <w:tab w:val="right" w:leader="hyphen" w:pos="9350"/>
        </w:tabs>
        <w:rPr>
          <w:rFonts w:asciiTheme="minorHAnsi" w:eastAsiaTheme="minorEastAsia" w:hAnsiTheme="minorHAnsi" w:cstheme="minorBidi"/>
          <w:iCs w:val="0"/>
          <w:noProof/>
          <w:sz w:val="22"/>
          <w:szCs w:val="22"/>
        </w:rPr>
      </w:pPr>
      <w:r w:rsidRPr="008F64FB">
        <w:rPr>
          <w:rFonts w:cs="Times New Roman"/>
          <w:noProof/>
        </w:rPr>
        <w:t>Suggestions for Future Research</w:t>
      </w:r>
      <w:r>
        <w:rPr>
          <w:noProof/>
        </w:rPr>
        <w:tab/>
      </w:r>
      <w:r>
        <w:rPr>
          <w:noProof/>
        </w:rPr>
        <w:fldChar w:fldCharType="begin"/>
      </w:r>
      <w:r>
        <w:rPr>
          <w:noProof/>
        </w:rPr>
        <w:instrText xml:space="preserve"> PAGEREF _Toc70181487 \h </w:instrText>
      </w:r>
      <w:r>
        <w:rPr>
          <w:noProof/>
        </w:rPr>
      </w:r>
      <w:r>
        <w:rPr>
          <w:noProof/>
        </w:rPr>
        <w:fldChar w:fldCharType="separate"/>
      </w:r>
      <w:r>
        <w:rPr>
          <w:noProof/>
        </w:rPr>
        <w:t>34</w:t>
      </w:r>
      <w:r>
        <w:rPr>
          <w:noProof/>
        </w:rPr>
        <w:fldChar w:fldCharType="end"/>
      </w:r>
    </w:p>
    <w:p w14:paraId="454575EA" w14:textId="6BEA8E70" w:rsidR="00D420BE" w:rsidRDefault="00D420BE">
      <w:pPr>
        <w:pStyle w:val="TOC2"/>
        <w:tabs>
          <w:tab w:val="right" w:leader="hyphen" w:pos="9350"/>
        </w:tabs>
        <w:rPr>
          <w:rFonts w:asciiTheme="minorHAnsi" w:eastAsiaTheme="minorEastAsia" w:hAnsiTheme="minorHAnsi" w:cstheme="minorBidi"/>
          <w:iCs w:val="0"/>
          <w:noProof/>
          <w:sz w:val="22"/>
          <w:szCs w:val="22"/>
        </w:rPr>
      </w:pPr>
      <w:r w:rsidRPr="008F64FB">
        <w:rPr>
          <w:rFonts w:cs="Times New Roman"/>
          <w:noProof/>
        </w:rPr>
        <w:t>References</w:t>
      </w:r>
      <w:r>
        <w:rPr>
          <w:noProof/>
        </w:rPr>
        <w:tab/>
      </w:r>
      <w:r>
        <w:rPr>
          <w:noProof/>
        </w:rPr>
        <w:fldChar w:fldCharType="begin"/>
      </w:r>
      <w:r>
        <w:rPr>
          <w:noProof/>
        </w:rPr>
        <w:instrText xml:space="preserve"> PAGEREF _Toc70181488 \h </w:instrText>
      </w:r>
      <w:r>
        <w:rPr>
          <w:noProof/>
        </w:rPr>
      </w:r>
      <w:r>
        <w:rPr>
          <w:noProof/>
        </w:rPr>
        <w:fldChar w:fldCharType="separate"/>
      </w:r>
      <w:r>
        <w:rPr>
          <w:noProof/>
        </w:rPr>
        <w:t>38</w:t>
      </w:r>
      <w:r>
        <w:rPr>
          <w:noProof/>
        </w:rPr>
        <w:fldChar w:fldCharType="end"/>
      </w:r>
    </w:p>
    <w:p w14:paraId="14C96F85" w14:textId="07C27502" w:rsidR="00D420BE" w:rsidRDefault="00D420BE">
      <w:pPr>
        <w:pStyle w:val="TOC2"/>
        <w:tabs>
          <w:tab w:val="right" w:leader="hyphen" w:pos="9350"/>
        </w:tabs>
        <w:rPr>
          <w:rFonts w:asciiTheme="minorHAnsi" w:eastAsiaTheme="minorEastAsia" w:hAnsiTheme="minorHAnsi" w:cstheme="minorBidi"/>
          <w:iCs w:val="0"/>
          <w:noProof/>
          <w:sz w:val="22"/>
          <w:szCs w:val="22"/>
        </w:rPr>
      </w:pPr>
      <w:r w:rsidRPr="008F64FB">
        <w:rPr>
          <w:rFonts w:cs="Times New Roman"/>
          <w:noProof/>
        </w:rPr>
        <w:t>Appendix: Study 1</w:t>
      </w:r>
      <w:r>
        <w:rPr>
          <w:noProof/>
        </w:rPr>
        <w:tab/>
      </w:r>
      <w:r>
        <w:rPr>
          <w:noProof/>
        </w:rPr>
        <w:fldChar w:fldCharType="begin"/>
      </w:r>
      <w:r>
        <w:rPr>
          <w:noProof/>
        </w:rPr>
        <w:instrText xml:space="preserve"> PAGEREF _Toc70181489 \h </w:instrText>
      </w:r>
      <w:r>
        <w:rPr>
          <w:noProof/>
        </w:rPr>
      </w:r>
      <w:r>
        <w:rPr>
          <w:noProof/>
        </w:rPr>
        <w:fldChar w:fldCharType="separate"/>
      </w:r>
      <w:r>
        <w:rPr>
          <w:noProof/>
        </w:rPr>
        <w:t>42</w:t>
      </w:r>
      <w:r>
        <w:rPr>
          <w:noProof/>
        </w:rPr>
        <w:fldChar w:fldCharType="end"/>
      </w:r>
    </w:p>
    <w:p w14:paraId="0EC80F2C" w14:textId="6A0915EA" w:rsidR="00D420BE" w:rsidRDefault="00D420BE">
      <w:pPr>
        <w:pStyle w:val="TOC1"/>
        <w:rPr>
          <w:rFonts w:asciiTheme="minorHAnsi" w:eastAsiaTheme="minorEastAsia" w:hAnsiTheme="minorHAnsi" w:cstheme="minorBidi"/>
          <w:bCs w:val="0"/>
          <w:noProof/>
          <w:sz w:val="22"/>
          <w:szCs w:val="22"/>
        </w:rPr>
      </w:pPr>
      <w:r w:rsidRPr="008F64FB">
        <w:rPr>
          <w:rFonts w:cs="Times New Roman"/>
          <w:noProof/>
        </w:rPr>
        <w:t>Chapter 3: A Quasi-Experimental Investigation of Adult Student Enrollment Responses to the Tennessee Reconnect Grant</w:t>
      </w:r>
      <w:r>
        <w:rPr>
          <w:noProof/>
        </w:rPr>
        <w:tab/>
      </w:r>
      <w:r>
        <w:rPr>
          <w:noProof/>
        </w:rPr>
        <w:fldChar w:fldCharType="begin"/>
      </w:r>
      <w:r>
        <w:rPr>
          <w:noProof/>
        </w:rPr>
        <w:instrText xml:space="preserve"> PAGEREF _Toc70181490 \h </w:instrText>
      </w:r>
      <w:r>
        <w:rPr>
          <w:noProof/>
        </w:rPr>
      </w:r>
      <w:r>
        <w:rPr>
          <w:noProof/>
        </w:rPr>
        <w:fldChar w:fldCharType="separate"/>
      </w:r>
      <w:r>
        <w:rPr>
          <w:noProof/>
        </w:rPr>
        <w:t>45</w:t>
      </w:r>
      <w:r>
        <w:rPr>
          <w:noProof/>
        </w:rPr>
        <w:fldChar w:fldCharType="end"/>
      </w:r>
    </w:p>
    <w:p w14:paraId="2BFAB3E6" w14:textId="2B938266" w:rsidR="00D420BE" w:rsidRDefault="00D420BE">
      <w:pPr>
        <w:pStyle w:val="TOC2"/>
        <w:tabs>
          <w:tab w:val="right" w:leader="hyphen" w:pos="9350"/>
        </w:tabs>
        <w:rPr>
          <w:rFonts w:asciiTheme="minorHAnsi" w:eastAsiaTheme="minorEastAsia" w:hAnsiTheme="minorHAnsi" w:cstheme="minorBidi"/>
          <w:iCs w:val="0"/>
          <w:noProof/>
          <w:sz w:val="22"/>
          <w:szCs w:val="22"/>
        </w:rPr>
      </w:pPr>
      <w:r w:rsidRPr="008F64FB">
        <w:rPr>
          <w:rFonts w:cs="Times New Roman"/>
          <w:noProof/>
        </w:rPr>
        <w:t>Abstract</w:t>
      </w:r>
      <w:r>
        <w:rPr>
          <w:noProof/>
        </w:rPr>
        <w:tab/>
      </w:r>
      <w:r>
        <w:rPr>
          <w:noProof/>
        </w:rPr>
        <w:fldChar w:fldCharType="begin"/>
      </w:r>
      <w:r>
        <w:rPr>
          <w:noProof/>
        </w:rPr>
        <w:instrText xml:space="preserve"> PAGEREF _Toc70181491 \h </w:instrText>
      </w:r>
      <w:r>
        <w:rPr>
          <w:noProof/>
        </w:rPr>
      </w:r>
      <w:r>
        <w:rPr>
          <w:noProof/>
        </w:rPr>
        <w:fldChar w:fldCharType="separate"/>
      </w:r>
      <w:r>
        <w:rPr>
          <w:noProof/>
        </w:rPr>
        <w:t>46</w:t>
      </w:r>
      <w:r>
        <w:rPr>
          <w:noProof/>
        </w:rPr>
        <w:fldChar w:fldCharType="end"/>
      </w:r>
    </w:p>
    <w:p w14:paraId="4BD438C6" w14:textId="093BF7AD" w:rsidR="00D420BE" w:rsidRDefault="00D420BE">
      <w:pPr>
        <w:pStyle w:val="TOC2"/>
        <w:tabs>
          <w:tab w:val="right" w:leader="hyphen" w:pos="9350"/>
        </w:tabs>
        <w:rPr>
          <w:rFonts w:asciiTheme="minorHAnsi" w:eastAsiaTheme="minorEastAsia" w:hAnsiTheme="minorHAnsi" w:cstheme="minorBidi"/>
          <w:iCs w:val="0"/>
          <w:noProof/>
          <w:sz w:val="22"/>
          <w:szCs w:val="22"/>
        </w:rPr>
      </w:pPr>
      <w:r w:rsidRPr="008F64FB">
        <w:rPr>
          <w:rFonts w:cs="Times New Roman"/>
          <w:noProof/>
        </w:rPr>
        <w:t>Research on Statewide Promise Programs</w:t>
      </w:r>
      <w:r>
        <w:rPr>
          <w:noProof/>
        </w:rPr>
        <w:tab/>
      </w:r>
      <w:r>
        <w:rPr>
          <w:noProof/>
        </w:rPr>
        <w:fldChar w:fldCharType="begin"/>
      </w:r>
      <w:r>
        <w:rPr>
          <w:noProof/>
        </w:rPr>
        <w:instrText xml:space="preserve"> PAGEREF _Toc70181492 \h </w:instrText>
      </w:r>
      <w:r>
        <w:rPr>
          <w:noProof/>
        </w:rPr>
      </w:r>
      <w:r>
        <w:rPr>
          <w:noProof/>
        </w:rPr>
        <w:fldChar w:fldCharType="separate"/>
      </w:r>
      <w:r>
        <w:rPr>
          <w:noProof/>
        </w:rPr>
        <w:t>48</w:t>
      </w:r>
      <w:r>
        <w:rPr>
          <w:noProof/>
        </w:rPr>
        <w:fldChar w:fldCharType="end"/>
      </w:r>
    </w:p>
    <w:p w14:paraId="2792E2F1" w14:textId="7A596514" w:rsidR="00D420BE" w:rsidRDefault="00D420BE">
      <w:pPr>
        <w:pStyle w:val="TOC2"/>
        <w:tabs>
          <w:tab w:val="right" w:leader="hyphen" w:pos="9350"/>
        </w:tabs>
        <w:rPr>
          <w:rFonts w:asciiTheme="minorHAnsi" w:eastAsiaTheme="minorEastAsia" w:hAnsiTheme="minorHAnsi" w:cstheme="minorBidi"/>
          <w:iCs w:val="0"/>
          <w:noProof/>
          <w:sz w:val="22"/>
          <w:szCs w:val="22"/>
        </w:rPr>
      </w:pPr>
      <w:r w:rsidRPr="008F64FB">
        <w:rPr>
          <w:rFonts w:cs="Times New Roman"/>
          <w:noProof/>
        </w:rPr>
        <w:lastRenderedPageBreak/>
        <w:t>Theoretical Framework</w:t>
      </w:r>
      <w:r>
        <w:rPr>
          <w:noProof/>
        </w:rPr>
        <w:tab/>
      </w:r>
      <w:r>
        <w:rPr>
          <w:noProof/>
        </w:rPr>
        <w:fldChar w:fldCharType="begin"/>
      </w:r>
      <w:r>
        <w:rPr>
          <w:noProof/>
        </w:rPr>
        <w:instrText xml:space="preserve"> PAGEREF _Toc70181493 \h </w:instrText>
      </w:r>
      <w:r>
        <w:rPr>
          <w:noProof/>
        </w:rPr>
      </w:r>
      <w:r>
        <w:rPr>
          <w:noProof/>
        </w:rPr>
        <w:fldChar w:fldCharType="separate"/>
      </w:r>
      <w:r>
        <w:rPr>
          <w:noProof/>
        </w:rPr>
        <w:t>52</w:t>
      </w:r>
      <w:r>
        <w:rPr>
          <w:noProof/>
        </w:rPr>
        <w:fldChar w:fldCharType="end"/>
      </w:r>
    </w:p>
    <w:p w14:paraId="4918F751" w14:textId="3FB916F0" w:rsidR="00D420BE" w:rsidRDefault="00D420BE">
      <w:pPr>
        <w:pStyle w:val="TOC2"/>
        <w:tabs>
          <w:tab w:val="right" w:leader="hyphen" w:pos="9350"/>
        </w:tabs>
        <w:rPr>
          <w:rFonts w:asciiTheme="minorHAnsi" w:eastAsiaTheme="minorEastAsia" w:hAnsiTheme="minorHAnsi" w:cstheme="minorBidi"/>
          <w:iCs w:val="0"/>
          <w:noProof/>
          <w:sz w:val="22"/>
          <w:szCs w:val="22"/>
        </w:rPr>
      </w:pPr>
      <w:r w:rsidRPr="008F64FB">
        <w:rPr>
          <w:rFonts w:cs="Times New Roman"/>
          <w:noProof/>
        </w:rPr>
        <w:t>Methods</w:t>
      </w:r>
      <w:r>
        <w:rPr>
          <w:noProof/>
        </w:rPr>
        <w:tab/>
      </w:r>
      <w:r>
        <w:rPr>
          <w:noProof/>
        </w:rPr>
        <w:fldChar w:fldCharType="begin"/>
      </w:r>
      <w:r>
        <w:rPr>
          <w:noProof/>
        </w:rPr>
        <w:instrText xml:space="preserve"> PAGEREF _Toc70181494 \h </w:instrText>
      </w:r>
      <w:r>
        <w:rPr>
          <w:noProof/>
        </w:rPr>
      </w:r>
      <w:r>
        <w:rPr>
          <w:noProof/>
        </w:rPr>
        <w:fldChar w:fldCharType="separate"/>
      </w:r>
      <w:r>
        <w:rPr>
          <w:noProof/>
        </w:rPr>
        <w:t>53</w:t>
      </w:r>
      <w:r>
        <w:rPr>
          <w:noProof/>
        </w:rPr>
        <w:fldChar w:fldCharType="end"/>
      </w:r>
    </w:p>
    <w:p w14:paraId="5DD4A801" w14:textId="65DC6BE7" w:rsidR="00D420BE" w:rsidRDefault="00D420BE">
      <w:pPr>
        <w:pStyle w:val="TOC2"/>
        <w:tabs>
          <w:tab w:val="right" w:leader="hyphen" w:pos="9350"/>
        </w:tabs>
        <w:rPr>
          <w:rFonts w:asciiTheme="minorHAnsi" w:eastAsiaTheme="minorEastAsia" w:hAnsiTheme="minorHAnsi" w:cstheme="minorBidi"/>
          <w:iCs w:val="0"/>
          <w:noProof/>
          <w:sz w:val="22"/>
          <w:szCs w:val="22"/>
        </w:rPr>
      </w:pPr>
      <w:r w:rsidRPr="008F64FB">
        <w:rPr>
          <w:rFonts w:cs="Times New Roman"/>
          <w:noProof/>
        </w:rPr>
        <w:t>Differences-in-Differences Results</w:t>
      </w:r>
      <w:r>
        <w:rPr>
          <w:noProof/>
        </w:rPr>
        <w:tab/>
      </w:r>
      <w:r>
        <w:rPr>
          <w:noProof/>
        </w:rPr>
        <w:fldChar w:fldCharType="begin"/>
      </w:r>
      <w:r>
        <w:rPr>
          <w:noProof/>
        </w:rPr>
        <w:instrText xml:space="preserve"> PAGEREF _Toc70181495 \h </w:instrText>
      </w:r>
      <w:r>
        <w:rPr>
          <w:noProof/>
        </w:rPr>
      </w:r>
      <w:r>
        <w:rPr>
          <w:noProof/>
        </w:rPr>
        <w:fldChar w:fldCharType="separate"/>
      </w:r>
      <w:r>
        <w:rPr>
          <w:noProof/>
        </w:rPr>
        <w:t>60</w:t>
      </w:r>
      <w:r>
        <w:rPr>
          <w:noProof/>
        </w:rPr>
        <w:fldChar w:fldCharType="end"/>
      </w:r>
    </w:p>
    <w:p w14:paraId="423E1670" w14:textId="034D8DD3" w:rsidR="00D420BE" w:rsidRDefault="00D420BE">
      <w:pPr>
        <w:pStyle w:val="TOC2"/>
        <w:tabs>
          <w:tab w:val="right" w:leader="hyphen" w:pos="9350"/>
        </w:tabs>
        <w:rPr>
          <w:rFonts w:asciiTheme="minorHAnsi" w:eastAsiaTheme="minorEastAsia" w:hAnsiTheme="minorHAnsi" w:cstheme="minorBidi"/>
          <w:iCs w:val="0"/>
          <w:noProof/>
          <w:sz w:val="22"/>
          <w:szCs w:val="22"/>
        </w:rPr>
      </w:pPr>
      <w:r w:rsidRPr="008F64FB">
        <w:rPr>
          <w:rFonts w:cs="Times New Roman"/>
          <w:noProof/>
        </w:rPr>
        <w:t>Discussion</w:t>
      </w:r>
      <w:r>
        <w:rPr>
          <w:noProof/>
        </w:rPr>
        <w:tab/>
      </w:r>
      <w:r>
        <w:rPr>
          <w:noProof/>
        </w:rPr>
        <w:fldChar w:fldCharType="begin"/>
      </w:r>
      <w:r>
        <w:rPr>
          <w:noProof/>
        </w:rPr>
        <w:instrText xml:space="preserve"> PAGEREF _Toc70181496 \h </w:instrText>
      </w:r>
      <w:r>
        <w:rPr>
          <w:noProof/>
        </w:rPr>
      </w:r>
      <w:r>
        <w:rPr>
          <w:noProof/>
        </w:rPr>
        <w:fldChar w:fldCharType="separate"/>
      </w:r>
      <w:r>
        <w:rPr>
          <w:noProof/>
        </w:rPr>
        <w:t>62</w:t>
      </w:r>
      <w:r>
        <w:rPr>
          <w:noProof/>
        </w:rPr>
        <w:fldChar w:fldCharType="end"/>
      </w:r>
    </w:p>
    <w:p w14:paraId="62EFABFD" w14:textId="0A594BC9" w:rsidR="00D420BE" w:rsidRDefault="00D420BE">
      <w:pPr>
        <w:pStyle w:val="TOC2"/>
        <w:tabs>
          <w:tab w:val="right" w:leader="hyphen" w:pos="9350"/>
        </w:tabs>
        <w:rPr>
          <w:rFonts w:asciiTheme="minorHAnsi" w:eastAsiaTheme="minorEastAsia" w:hAnsiTheme="minorHAnsi" w:cstheme="minorBidi"/>
          <w:iCs w:val="0"/>
          <w:noProof/>
          <w:sz w:val="22"/>
          <w:szCs w:val="22"/>
        </w:rPr>
      </w:pPr>
      <w:r w:rsidRPr="008F64FB">
        <w:rPr>
          <w:rFonts w:cs="Times New Roman"/>
          <w:noProof/>
        </w:rPr>
        <w:t>Future Research</w:t>
      </w:r>
      <w:r>
        <w:rPr>
          <w:noProof/>
        </w:rPr>
        <w:tab/>
      </w:r>
      <w:r>
        <w:rPr>
          <w:noProof/>
        </w:rPr>
        <w:fldChar w:fldCharType="begin"/>
      </w:r>
      <w:r>
        <w:rPr>
          <w:noProof/>
        </w:rPr>
        <w:instrText xml:space="preserve"> PAGEREF _Toc70181497 \h </w:instrText>
      </w:r>
      <w:r>
        <w:rPr>
          <w:noProof/>
        </w:rPr>
      </w:r>
      <w:r>
        <w:rPr>
          <w:noProof/>
        </w:rPr>
        <w:fldChar w:fldCharType="separate"/>
      </w:r>
      <w:r>
        <w:rPr>
          <w:noProof/>
        </w:rPr>
        <w:t>63</w:t>
      </w:r>
      <w:r>
        <w:rPr>
          <w:noProof/>
        </w:rPr>
        <w:fldChar w:fldCharType="end"/>
      </w:r>
    </w:p>
    <w:p w14:paraId="1FA5F8EE" w14:textId="1CA7B8C8" w:rsidR="00D420BE" w:rsidRDefault="00D420BE">
      <w:pPr>
        <w:pStyle w:val="TOC2"/>
        <w:tabs>
          <w:tab w:val="right" w:leader="hyphen" w:pos="9350"/>
        </w:tabs>
        <w:rPr>
          <w:rFonts w:asciiTheme="minorHAnsi" w:eastAsiaTheme="minorEastAsia" w:hAnsiTheme="minorHAnsi" w:cstheme="minorBidi"/>
          <w:iCs w:val="0"/>
          <w:noProof/>
          <w:sz w:val="22"/>
          <w:szCs w:val="22"/>
        </w:rPr>
      </w:pPr>
      <w:r w:rsidRPr="008F64FB">
        <w:rPr>
          <w:rFonts w:cs="Times New Roman"/>
          <w:noProof/>
        </w:rPr>
        <w:t>References</w:t>
      </w:r>
      <w:r>
        <w:rPr>
          <w:noProof/>
        </w:rPr>
        <w:tab/>
      </w:r>
      <w:r>
        <w:rPr>
          <w:noProof/>
        </w:rPr>
        <w:fldChar w:fldCharType="begin"/>
      </w:r>
      <w:r>
        <w:rPr>
          <w:noProof/>
        </w:rPr>
        <w:instrText xml:space="preserve"> PAGEREF _Toc70181498 \h </w:instrText>
      </w:r>
      <w:r>
        <w:rPr>
          <w:noProof/>
        </w:rPr>
      </w:r>
      <w:r>
        <w:rPr>
          <w:noProof/>
        </w:rPr>
        <w:fldChar w:fldCharType="separate"/>
      </w:r>
      <w:r>
        <w:rPr>
          <w:noProof/>
        </w:rPr>
        <w:t>65</w:t>
      </w:r>
      <w:r>
        <w:rPr>
          <w:noProof/>
        </w:rPr>
        <w:fldChar w:fldCharType="end"/>
      </w:r>
    </w:p>
    <w:p w14:paraId="3D4B8B24" w14:textId="59B4A579" w:rsidR="00D420BE" w:rsidRDefault="00D420BE">
      <w:pPr>
        <w:pStyle w:val="TOC2"/>
        <w:tabs>
          <w:tab w:val="right" w:leader="hyphen" w:pos="9350"/>
        </w:tabs>
        <w:rPr>
          <w:rFonts w:asciiTheme="minorHAnsi" w:eastAsiaTheme="minorEastAsia" w:hAnsiTheme="minorHAnsi" w:cstheme="minorBidi"/>
          <w:iCs w:val="0"/>
          <w:noProof/>
          <w:sz w:val="22"/>
          <w:szCs w:val="22"/>
        </w:rPr>
      </w:pPr>
      <w:r w:rsidRPr="008F64FB">
        <w:rPr>
          <w:rFonts w:cs="Times New Roman"/>
          <w:noProof/>
        </w:rPr>
        <w:t>Appendix: Study 2</w:t>
      </w:r>
      <w:r>
        <w:rPr>
          <w:noProof/>
        </w:rPr>
        <w:tab/>
      </w:r>
      <w:r>
        <w:rPr>
          <w:noProof/>
        </w:rPr>
        <w:fldChar w:fldCharType="begin"/>
      </w:r>
      <w:r>
        <w:rPr>
          <w:noProof/>
        </w:rPr>
        <w:instrText xml:space="preserve"> PAGEREF _Toc70181499 \h </w:instrText>
      </w:r>
      <w:r>
        <w:rPr>
          <w:noProof/>
        </w:rPr>
      </w:r>
      <w:r>
        <w:rPr>
          <w:noProof/>
        </w:rPr>
        <w:fldChar w:fldCharType="separate"/>
      </w:r>
      <w:r>
        <w:rPr>
          <w:noProof/>
        </w:rPr>
        <w:t>69</w:t>
      </w:r>
      <w:r>
        <w:rPr>
          <w:noProof/>
        </w:rPr>
        <w:fldChar w:fldCharType="end"/>
      </w:r>
    </w:p>
    <w:p w14:paraId="1625C543" w14:textId="639AB33E" w:rsidR="00D420BE" w:rsidRDefault="00D420BE">
      <w:pPr>
        <w:pStyle w:val="TOC1"/>
        <w:rPr>
          <w:rFonts w:asciiTheme="minorHAnsi" w:eastAsiaTheme="minorEastAsia" w:hAnsiTheme="minorHAnsi" w:cstheme="minorBidi"/>
          <w:bCs w:val="0"/>
          <w:noProof/>
          <w:sz w:val="22"/>
          <w:szCs w:val="22"/>
        </w:rPr>
      </w:pPr>
      <w:r w:rsidRPr="008F64FB">
        <w:rPr>
          <w:rFonts w:cs="Times New Roman"/>
          <w:noProof/>
        </w:rPr>
        <w:t>Chapter 4: A Quasi-Experimental Investigation of Tennessee Promise and Career and Technical Education Postsecondary Enrollment Responses</w:t>
      </w:r>
      <w:r>
        <w:rPr>
          <w:noProof/>
        </w:rPr>
        <w:tab/>
      </w:r>
      <w:r>
        <w:rPr>
          <w:noProof/>
        </w:rPr>
        <w:fldChar w:fldCharType="begin"/>
      </w:r>
      <w:r>
        <w:rPr>
          <w:noProof/>
        </w:rPr>
        <w:instrText xml:space="preserve"> PAGEREF _Toc70181500 \h </w:instrText>
      </w:r>
      <w:r>
        <w:rPr>
          <w:noProof/>
        </w:rPr>
      </w:r>
      <w:r>
        <w:rPr>
          <w:noProof/>
        </w:rPr>
        <w:fldChar w:fldCharType="separate"/>
      </w:r>
      <w:r>
        <w:rPr>
          <w:noProof/>
        </w:rPr>
        <w:t>71</w:t>
      </w:r>
      <w:r>
        <w:rPr>
          <w:noProof/>
        </w:rPr>
        <w:fldChar w:fldCharType="end"/>
      </w:r>
    </w:p>
    <w:p w14:paraId="420D655F" w14:textId="6907A837" w:rsidR="00D420BE" w:rsidRDefault="00D420BE">
      <w:pPr>
        <w:pStyle w:val="TOC2"/>
        <w:tabs>
          <w:tab w:val="right" w:leader="hyphen" w:pos="9350"/>
        </w:tabs>
        <w:rPr>
          <w:rFonts w:asciiTheme="minorHAnsi" w:eastAsiaTheme="minorEastAsia" w:hAnsiTheme="minorHAnsi" w:cstheme="minorBidi"/>
          <w:iCs w:val="0"/>
          <w:noProof/>
          <w:sz w:val="22"/>
          <w:szCs w:val="22"/>
        </w:rPr>
      </w:pPr>
      <w:r w:rsidRPr="008F64FB">
        <w:rPr>
          <w:rFonts w:cs="Times New Roman"/>
          <w:noProof/>
        </w:rPr>
        <w:t>Abstract</w:t>
      </w:r>
      <w:r>
        <w:rPr>
          <w:noProof/>
        </w:rPr>
        <w:tab/>
      </w:r>
      <w:r>
        <w:rPr>
          <w:noProof/>
        </w:rPr>
        <w:fldChar w:fldCharType="begin"/>
      </w:r>
      <w:r>
        <w:rPr>
          <w:noProof/>
        </w:rPr>
        <w:instrText xml:space="preserve"> PAGEREF _Toc70181501 \h </w:instrText>
      </w:r>
      <w:r>
        <w:rPr>
          <w:noProof/>
        </w:rPr>
      </w:r>
      <w:r>
        <w:rPr>
          <w:noProof/>
        </w:rPr>
        <w:fldChar w:fldCharType="separate"/>
      </w:r>
      <w:r>
        <w:rPr>
          <w:noProof/>
        </w:rPr>
        <w:t>72</w:t>
      </w:r>
      <w:r>
        <w:rPr>
          <w:noProof/>
        </w:rPr>
        <w:fldChar w:fldCharType="end"/>
      </w:r>
    </w:p>
    <w:p w14:paraId="16F6B2AC" w14:textId="0D59E54A" w:rsidR="00D420BE" w:rsidRDefault="00D420BE">
      <w:pPr>
        <w:pStyle w:val="TOC2"/>
        <w:tabs>
          <w:tab w:val="right" w:leader="hyphen" w:pos="9350"/>
        </w:tabs>
        <w:rPr>
          <w:rFonts w:asciiTheme="minorHAnsi" w:eastAsiaTheme="minorEastAsia" w:hAnsiTheme="minorHAnsi" w:cstheme="minorBidi"/>
          <w:iCs w:val="0"/>
          <w:noProof/>
          <w:sz w:val="22"/>
          <w:szCs w:val="22"/>
        </w:rPr>
      </w:pPr>
      <w:r w:rsidRPr="008F64FB">
        <w:rPr>
          <w:rFonts w:cs="Times New Roman"/>
          <w:noProof/>
        </w:rPr>
        <w:t>Literature Review</w:t>
      </w:r>
      <w:r>
        <w:rPr>
          <w:noProof/>
        </w:rPr>
        <w:tab/>
      </w:r>
      <w:r>
        <w:rPr>
          <w:noProof/>
        </w:rPr>
        <w:fldChar w:fldCharType="begin"/>
      </w:r>
      <w:r>
        <w:rPr>
          <w:noProof/>
        </w:rPr>
        <w:instrText xml:space="preserve"> PAGEREF _Toc70181502 \h </w:instrText>
      </w:r>
      <w:r>
        <w:rPr>
          <w:noProof/>
        </w:rPr>
      </w:r>
      <w:r>
        <w:rPr>
          <w:noProof/>
        </w:rPr>
        <w:fldChar w:fldCharType="separate"/>
      </w:r>
      <w:r>
        <w:rPr>
          <w:noProof/>
        </w:rPr>
        <w:t>75</w:t>
      </w:r>
      <w:r>
        <w:rPr>
          <w:noProof/>
        </w:rPr>
        <w:fldChar w:fldCharType="end"/>
      </w:r>
    </w:p>
    <w:p w14:paraId="11313D10" w14:textId="4A90FBA5" w:rsidR="00D420BE" w:rsidRDefault="00D420BE">
      <w:pPr>
        <w:pStyle w:val="TOC2"/>
        <w:tabs>
          <w:tab w:val="right" w:leader="hyphen" w:pos="9350"/>
        </w:tabs>
        <w:rPr>
          <w:rFonts w:asciiTheme="minorHAnsi" w:eastAsiaTheme="minorEastAsia" w:hAnsiTheme="minorHAnsi" w:cstheme="minorBidi"/>
          <w:iCs w:val="0"/>
          <w:noProof/>
          <w:sz w:val="22"/>
          <w:szCs w:val="22"/>
        </w:rPr>
      </w:pPr>
      <w:r w:rsidRPr="008F64FB">
        <w:rPr>
          <w:rFonts w:cs="Times New Roman"/>
          <w:noProof/>
        </w:rPr>
        <w:t>Theoretical Framework</w:t>
      </w:r>
      <w:r>
        <w:rPr>
          <w:noProof/>
        </w:rPr>
        <w:tab/>
      </w:r>
      <w:r>
        <w:rPr>
          <w:noProof/>
        </w:rPr>
        <w:fldChar w:fldCharType="begin"/>
      </w:r>
      <w:r>
        <w:rPr>
          <w:noProof/>
        </w:rPr>
        <w:instrText xml:space="preserve"> PAGEREF _Toc70181503 \h </w:instrText>
      </w:r>
      <w:r>
        <w:rPr>
          <w:noProof/>
        </w:rPr>
      </w:r>
      <w:r>
        <w:rPr>
          <w:noProof/>
        </w:rPr>
        <w:fldChar w:fldCharType="separate"/>
      </w:r>
      <w:r>
        <w:rPr>
          <w:noProof/>
        </w:rPr>
        <w:t>79</w:t>
      </w:r>
      <w:r>
        <w:rPr>
          <w:noProof/>
        </w:rPr>
        <w:fldChar w:fldCharType="end"/>
      </w:r>
    </w:p>
    <w:p w14:paraId="29005AB7" w14:textId="5FE70482" w:rsidR="00D420BE" w:rsidRDefault="00D420BE">
      <w:pPr>
        <w:pStyle w:val="TOC2"/>
        <w:tabs>
          <w:tab w:val="right" w:leader="hyphen" w:pos="9350"/>
        </w:tabs>
        <w:rPr>
          <w:rFonts w:asciiTheme="minorHAnsi" w:eastAsiaTheme="minorEastAsia" w:hAnsiTheme="minorHAnsi" w:cstheme="minorBidi"/>
          <w:iCs w:val="0"/>
          <w:noProof/>
          <w:sz w:val="22"/>
          <w:szCs w:val="22"/>
        </w:rPr>
      </w:pPr>
      <w:r w:rsidRPr="008F64FB">
        <w:rPr>
          <w:rFonts w:cs="Times New Roman"/>
          <w:noProof/>
        </w:rPr>
        <w:t>Methods</w:t>
      </w:r>
      <w:r>
        <w:rPr>
          <w:noProof/>
        </w:rPr>
        <w:tab/>
      </w:r>
      <w:r>
        <w:rPr>
          <w:noProof/>
        </w:rPr>
        <w:fldChar w:fldCharType="begin"/>
      </w:r>
      <w:r>
        <w:rPr>
          <w:noProof/>
        </w:rPr>
        <w:instrText xml:space="preserve"> PAGEREF _Toc70181504 \h </w:instrText>
      </w:r>
      <w:r>
        <w:rPr>
          <w:noProof/>
        </w:rPr>
      </w:r>
      <w:r>
        <w:rPr>
          <w:noProof/>
        </w:rPr>
        <w:fldChar w:fldCharType="separate"/>
      </w:r>
      <w:r>
        <w:rPr>
          <w:noProof/>
        </w:rPr>
        <w:t>80</w:t>
      </w:r>
      <w:r>
        <w:rPr>
          <w:noProof/>
        </w:rPr>
        <w:fldChar w:fldCharType="end"/>
      </w:r>
    </w:p>
    <w:p w14:paraId="0DA4F866" w14:textId="5DF5CE3C" w:rsidR="00D420BE" w:rsidRDefault="00D420BE">
      <w:pPr>
        <w:pStyle w:val="TOC2"/>
        <w:tabs>
          <w:tab w:val="right" w:leader="hyphen" w:pos="9350"/>
        </w:tabs>
        <w:rPr>
          <w:rFonts w:asciiTheme="minorHAnsi" w:eastAsiaTheme="minorEastAsia" w:hAnsiTheme="minorHAnsi" w:cstheme="minorBidi"/>
          <w:iCs w:val="0"/>
          <w:noProof/>
          <w:sz w:val="22"/>
          <w:szCs w:val="22"/>
        </w:rPr>
      </w:pPr>
      <w:r w:rsidRPr="008F64FB">
        <w:rPr>
          <w:rFonts w:cs="Times New Roman"/>
          <w:noProof/>
        </w:rPr>
        <w:t>Results</w:t>
      </w:r>
      <w:r>
        <w:rPr>
          <w:noProof/>
        </w:rPr>
        <w:tab/>
      </w:r>
      <w:r>
        <w:rPr>
          <w:noProof/>
        </w:rPr>
        <w:fldChar w:fldCharType="begin"/>
      </w:r>
      <w:r>
        <w:rPr>
          <w:noProof/>
        </w:rPr>
        <w:instrText xml:space="preserve"> PAGEREF _Toc70181505 \h </w:instrText>
      </w:r>
      <w:r>
        <w:rPr>
          <w:noProof/>
        </w:rPr>
      </w:r>
      <w:r>
        <w:rPr>
          <w:noProof/>
        </w:rPr>
        <w:fldChar w:fldCharType="separate"/>
      </w:r>
      <w:r>
        <w:rPr>
          <w:noProof/>
        </w:rPr>
        <w:t>86</w:t>
      </w:r>
      <w:r>
        <w:rPr>
          <w:noProof/>
        </w:rPr>
        <w:fldChar w:fldCharType="end"/>
      </w:r>
    </w:p>
    <w:p w14:paraId="0CDA1356" w14:textId="1984F1D2" w:rsidR="00D420BE" w:rsidRDefault="00D420BE">
      <w:pPr>
        <w:pStyle w:val="TOC2"/>
        <w:tabs>
          <w:tab w:val="right" w:leader="hyphen" w:pos="9350"/>
        </w:tabs>
        <w:rPr>
          <w:rFonts w:asciiTheme="minorHAnsi" w:eastAsiaTheme="minorEastAsia" w:hAnsiTheme="minorHAnsi" w:cstheme="minorBidi"/>
          <w:iCs w:val="0"/>
          <w:noProof/>
          <w:sz w:val="22"/>
          <w:szCs w:val="22"/>
        </w:rPr>
      </w:pPr>
      <w:r w:rsidRPr="008F64FB">
        <w:rPr>
          <w:rFonts w:cs="Times New Roman"/>
          <w:noProof/>
        </w:rPr>
        <w:t>Discussion</w:t>
      </w:r>
      <w:r>
        <w:rPr>
          <w:noProof/>
        </w:rPr>
        <w:tab/>
      </w:r>
      <w:r>
        <w:rPr>
          <w:noProof/>
        </w:rPr>
        <w:fldChar w:fldCharType="begin"/>
      </w:r>
      <w:r>
        <w:rPr>
          <w:noProof/>
        </w:rPr>
        <w:instrText xml:space="preserve"> PAGEREF _Toc70181506 \h </w:instrText>
      </w:r>
      <w:r>
        <w:rPr>
          <w:noProof/>
        </w:rPr>
      </w:r>
      <w:r>
        <w:rPr>
          <w:noProof/>
        </w:rPr>
        <w:fldChar w:fldCharType="separate"/>
      </w:r>
      <w:r>
        <w:rPr>
          <w:noProof/>
        </w:rPr>
        <w:t>88</w:t>
      </w:r>
      <w:r>
        <w:rPr>
          <w:noProof/>
        </w:rPr>
        <w:fldChar w:fldCharType="end"/>
      </w:r>
    </w:p>
    <w:p w14:paraId="25247926" w14:textId="1C95427C" w:rsidR="00D420BE" w:rsidRDefault="00D420BE">
      <w:pPr>
        <w:pStyle w:val="TOC2"/>
        <w:tabs>
          <w:tab w:val="right" w:leader="hyphen" w:pos="9350"/>
        </w:tabs>
        <w:rPr>
          <w:rFonts w:asciiTheme="minorHAnsi" w:eastAsiaTheme="minorEastAsia" w:hAnsiTheme="minorHAnsi" w:cstheme="minorBidi"/>
          <w:iCs w:val="0"/>
          <w:noProof/>
          <w:sz w:val="22"/>
          <w:szCs w:val="22"/>
        </w:rPr>
      </w:pPr>
      <w:r w:rsidRPr="008F64FB">
        <w:rPr>
          <w:rFonts w:cs="Times New Roman"/>
          <w:noProof/>
        </w:rPr>
        <w:t>References</w:t>
      </w:r>
      <w:r>
        <w:rPr>
          <w:noProof/>
        </w:rPr>
        <w:tab/>
      </w:r>
      <w:r>
        <w:rPr>
          <w:noProof/>
        </w:rPr>
        <w:fldChar w:fldCharType="begin"/>
      </w:r>
      <w:r>
        <w:rPr>
          <w:noProof/>
        </w:rPr>
        <w:instrText xml:space="preserve"> PAGEREF _Toc70181507 \h </w:instrText>
      </w:r>
      <w:r>
        <w:rPr>
          <w:noProof/>
        </w:rPr>
      </w:r>
      <w:r>
        <w:rPr>
          <w:noProof/>
        </w:rPr>
        <w:fldChar w:fldCharType="separate"/>
      </w:r>
      <w:r>
        <w:rPr>
          <w:noProof/>
        </w:rPr>
        <w:t>91</w:t>
      </w:r>
      <w:r>
        <w:rPr>
          <w:noProof/>
        </w:rPr>
        <w:fldChar w:fldCharType="end"/>
      </w:r>
    </w:p>
    <w:p w14:paraId="03487569" w14:textId="11D30FA4" w:rsidR="00D420BE" w:rsidRDefault="00D420BE">
      <w:pPr>
        <w:pStyle w:val="TOC1"/>
        <w:rPr>
          <w:rFonts w:asciiTheme="minorHAnsi" w:eastAsiaTheme="minorEastAsia" w:hAnsiTheme="minorHAnsi" w:cstheme="minorBidi"/>
          <w:bCs w:val="0"/>
          <w:noProof/>
          <w:sz w:val="22"/>
          <w:szCs w:val="22"/>
        </w:rPr>
      </w:pPr>
      <w:r w:rsidRPr="008F64FB">
        <w:rPr>
          <w:rFonts w:cs="Times New Roman"/>
          <w:noProof/>
        </w:rPr>
        <w:t>Chapter 5: Discussion and Implications</w:t>
      </w:r>
      <w:r>
        <w:rPr>
          <w:noProof/>
        </w:rPr>
        <w:tab/>
      </w:r>
      <w:r>
        <w:rPr>
          <w:noProof/>
        </w:rPr>
        <w:fldChar w:fldCharType="begin"/>
      </w:r>
      <w:r>
        <w:rPr>
          <w:noProof/>
        </w:rPr>
        <w:instrText xml:space="preserve"> PAGEREF _Toc70181508 \h </w:instrText>
      </w:r>
      <w:r>
        <w:rPr>
          <w:noProof/>
        </w:rPr>
      </w:r>
      <w:r>
        <w:rPr>
          <w:noProof/>
        </w:rPr>
        <w:fldChar w:fldCharType="separate"/>
      </w:r>
      <w:r>
        <w:rPr>
          <w:noProof/>
        </w:rPr>
        <w:t>95</w:t>
      </w:r>
      <w:r>
        <w:rPr>
          <w:noProof/>
        </w:rPr>
        <w:fldChar w:fldCharType="end"/>
      </w:r>
    </w:p>
    <w:p w14:paraId="0DCCDF04" w14:textId="008ED291" w:rsidR="00D420BE" w:rsidRDefault="00D420BE">
      <w:pPr>
        <w:pStyle w:val="TOC1"/>
        <w:rPr>
          <w:rFonts w:asciiTheme="minorHAnsi" w:eastAsiaTheme="minorEastAsia" w:hAnsiTheme="minorHAnsi" w:cstheme="minorBidi"/>
          <w:bCs w:val="0"/>
          <w:noProof/>
          <w:sz w:val="22"/>
          <w:szCs w:val="22"/>
        </w:rPr>
      </w:pPr>
      <w:r>
        <w:rPr>
          <w:noProof/>
        </w:rPr>
        <w:t>References</w:t>
      </w:r>
      <w:r>
        <w:rPr>
          <w:noProof/>
        </w:rPr>
        <w:tab/>
      </w:r>
      <w:r>
        <w:rPr>
          <w:noProof/>
        </w:rPr>
        <w:fldChar w:fldCharType="begin"/>
      </w:r>
      <w:r>
        <w:rPr>
          <w:noProof/>
        </w:rPr>
        <w:instrText xml:space="preserve"> PAGEREF _Toc70181509 \h </w:instrText>
      </w:r>
      <w:r>
        <w:rPr>
          <w:noProof/>
        </w:rPr>
      </w:r>
      <w:r>
        <w:rPr>
          <w:noProof/>
        </w:rPr>
        <w:fldChar w:fldCharType="separate"/>
      </w:r>
      <w:r>
        <w:rPr>
          <w:noProof/>
        </w:rPr>
        <w:t>103</w:t>
      </w:r>
      <w:r>
        <w:rPr>
          <w:noProof/>
        </w:rPr>
        <w:fldChar w:fldCharType="end"/>
      </w:r>
    </w:p>
    <w:p w14:paraId="079453D5" w14:textId="086B9265" w:rsidR="00D420BE" w:rsidRDefault="00D420BE">
      <w:pPr>
        <w:pStyle w:val="TOC1"/>
        <w:rPr>
          <w:rFonts w:asciiTheme="minorHAnsi" w:eastAsiaTheme="minorEastAsia" w:hAnsiTheme="minorHAnsi" w:cstheme="minorBidi"/>
          <w:bCs w:val="0"/>
          <w:noProof/>
          <w:sz w:val="22"/>
          <w:szCs w:val="22"/>
        </w:rPr>
      </w:pPr>
      <w:r w:rsidRPr="008F64FB">
        <w:rPr>
          <w:rFonts w:cs="Times New Roman"/>
          <w:noProof/>
        </w:rPr>
        <w:t>Vita</w:t>
      </w:r>
      <w:r>
        <w:rPr>
          <w:noProof/>
        </w:rPr>
        <w:tab/>
      </w:r>
      <w:r>
        <w:rPr>
          <w:noProof/>
        </w:rPr>
        <w:fldChar w:fldCharType="begin"/>
      </w:r>
      <w:r>
        <w:rPr>
          <w:noProof/>
        </w:rPr>
        <w:instrText xml:space="preserve"> PAGEREF _Toc70181510 \h </w:instrText>
      </w:r>
      <w:r>
        <w:rPr>
          <w:noProof/>
        </w:rPr>
      </w:r>
      <w:r>
        <w:rPr>
          <w:noProof/>
        </w:rPr>
        <w:fldChar w:fldCharType="separate"/>
      </w:r>
      <w:r>
        <w:rPr>
          <w:noProof/>
        </w:rPr>
        <w:t>113</w:t>
      </w:r>
      <w:r>
        <w:rPr>
          <w:noProof/>
        </w:rPr>
        <w:fldChar w:fldCharType="end"/>
      </w:r>
    </w:p>
    <w:p w14:paraId="22D99814" w14:textId="361F556F" w:rsidR="00837151" w:rsidRPr="00CC3DFF" w:rsidRDefault="00D34712" w:rsidP="00CC3DFF">
      <w:pPr>
        <w:pStyle w:val="TOC1"/>
      </w:pPr>
      <w:r w:rsidRPr="00FA38B2">
        <w:fldChar w:fldCharType="end"/>
      </w:r>
      <w:r w:rsidR="00B67D60">
        <w:br w:type="page"/>
      </w:r>
    </w:p>
    <w:p w14:paraId="11B2AEA0" w14:textId="1E5C7D28" w:rsidR="00837151" w:rsidRDefault="00B67D60" w:rsidP="00B67D60">
      <w:pPr>
        <w:jc w:val="center"/>
        <w:rPr>
          <w:rFonts w:cs="Times New Roman"/>
          <w:b/>
          <w:szCs w:val="24"/>
        </w:rPr>
      </w:pPr>
      <w:r>
        <w:rPr>
          <w:rFonts w:cs="Times New Roman"/>
          <w:b/>
          <w:szCs w:val="24"/>
        </w:rPr>
        <w:lastRenderedPageBreak/>
        <w:t>List of Tables</w:t>
      </w:r>
    </w:p>
    <w:p w14:paraId="2FA8978B" w14:textId="7B4C6C0D" w:rsidR="00D420BE" w:rsidRDefault="0041045C">
      <w:pPr>
        <w:pStyle w:val="TableofFigures"/>
        <w:tabs>
          <w:tab w:val="right" w:leader="dot" w:pos="9350"/>
        </w:tabs>
        <w:rPr>
          <w:rFonts w:asciiTheme="minorHAnsi" w:eastAsiaTheme="minorEastAsia" w:hAnsiTheme="minorHAnsi"/>
          <w:noProof/>
          <w:sz w:val="22"/>
        </w:rPr>
      </w:pPr>
      <w:r>
        <w:rPr>
          <w:rFonts w:cs="Times New Roman"/>
          <w:b/>
          <w:szCs w:val="24"/>
        </w:rPr>
        <w:fldChar w:fldCharType="begin"/>
      </w:r>
      <w:r>
        <w:rPr>
          <w:rFonts w:cs="Times New Roman"/>
          <w:b/>
          <w:szCs w:val="24"/>
        </w:rPr>
        <w:instrText xml:space="preserve"> TOC \h \z \c "Table" </w:instrText>
      </w:r>
      <w:r>
        <w:rPr>
          <w:rFonts w:cs="Times New Roman"/>
          <w:b/>
          <w:szCs w:val="24"/>
        </w:rPr>
        <w:fldChar w:fldCharType="separate"/>
      </w:r>
      <w:hyperlink w:anchor="_Toc70181516" w:history="1">
        <w:r w:rsidR="00D420BE" w:rsidRPr="0015315D">
          <w:rPr>
            <w:rStyle w:val="Hyperlink"/>
            <w:noProof/>
          </w:rPr>
          <w:t>Table 1: Main DiD Estimation Results</w:t>
        </w:r>
        <w:r w:rsidR="00D420BE">
          <w:rPr>
            <w:noProof/>
            <w:webHidden/>
          </w:rPr>
          <w:tab/>
        </w:r>
        <w:r w:rsidR="00D420BE">
          <w:rPr>
            <w:noProof/>
            <w:webHidden/>
          </w:rPr>
          <w:fldChar w:fldCharType="begin"/>
        </w:r>
        <w:r w:rsidR="00D420BE">
          <w:rPr>
            <w:noProof/>
            <w:webHidden/>
          </w:rPr>
          <w:instrText xml:space="preserve"> PAGEREF _Toc70181516 \h </w:instrText>
        </w:r>
        <w:r w:rsidR="00D420BE">
          <w:rPr>
            <w:noProof/>
            <w:webHidden/>
          </w:rPr>
        </w:r>
        <w:r w:rsidR="00D420BE">
          <w:rPr>
            <w:noProof/>
            <w:webHidden/>
          </w:rPr>
          <w:fldChar w:fldCharType="separate"/>
        </w:r>
        <w:r w:rsidR="00D420BE">
          <w:rPr>
            <w:noProof/>
            <w:webHidden/>
          </w:rPr>
          <w:t>61</w:t>
        </w:r>
        <w:r w:rsidR="00D420BE">
          <w:rPr>
            <w:noProof/>
            <w:webHidden/>
          </w:rPr>
          <w:fldChar w:fldCharType="end"/>
        </w:r>
      </w:hyperlink>
    </w:p>
    <w:p w14:paraId="71CA6EE2" w14:textId="3BBD8A70" w:rsidR="00D420BE" w:rsidRDefault="00D420BE">
      <w:pPr>
        <w:pStyle w:val="TableofFigures"/>
        <w:tabs>
          <w:tab w:val="right" w:leader="dot" w:pos="9350"/>
        </w:tabs>
        <w:rPr>
          <w:rFonts w:asciiTheme="minorHAnsi" w:eastAsiaTheme="minorEastAsia" w:hAnsiTheme="minorHAnsi"/>
          <w:noProof/>
          <w:sz w:val="22"/>
        </w:rPr>
      </w:pPr>
      <w:hyperlink w:anchor="_Toc70181517" w:history="1">
        <w:r w:rsidRPr="0015315D">
          <w:rPr>
            <w:rStyle w:val="Hyperlink"/>
            <w:noProof/>
          </w:rPr>
          <w:t>Table 2: Main DiD Estimation Results with Log Transformation of Dependent Variable</w:t>
        </w:r>
        <w:r>
          <w:rPr>
            <w:noProof/>
            <w:webHidden/>
          </w:rPr>
          <w:tab/>
        </w:r>
        <w:r>
          <w:rPr>
            <w:noProof/>
            <w:webHidden/>
          </w:rPr>
          <w:fldChar w:fldCharType="begin"/>
        </w:r>
        <w:r>
          <w:rPr>
            <w:noProof/>
            <w:webHidden/>
          </w:rPr>
          <w:instrText xml:space="preserve"> PAGEREF _Toc70181517 \h </w:instrText>
        </w:r>
        <w:r>
          <w:rPr>
            <w:noProof/>
            <w:webHidden/>
          </w:rPr>
        </w:r>
        <w:r>
          <w:rPr>
            <w:noProof/>
            <w:webHidden/>
          </w:rPr>
          <w:fldChar w:fldCharType="separate"/>
        </w:r>
        <w:r>
          <w:rPr>
            <w:noProof/>
            <w:webHidden/>
          </w:rPr>
          <w:t>61</w:t>
        </w:r>
        <w:r>
          <w:rPr>
            <w:noProof/>
            <w:webHidden/>
          </w:rPr>
          <w:fldChar w:fldCharType="end"/>
        </w:r>
      </w:hyperlink>
    </w:p>
    <w:p w14:paraId="7E0CC790" w14:textId="3F08BFAA" w:rsidR="00D420BE" w:rsidRDefault="00D420BE">
      <w:pPr>
        <w:pStyle w:val="TableofFigures"/>
        <w:tabs>
          <w:tab w:val="right" w:leader="dot" w:pos="9350"/>
        </w:tabs>
        <w:rPr>
          <w:rFonts w:asciiTheme="minorHAnsi" w:eastAsiaTheme="minorEastAsia" w:hAnsiTheme="minorHAnsi"/>
          <w:noProof/>
          <w:sz w:val="22"/>
        </w:rPr>
      </w:pPr>
      <w:hyperlink w:anchor="_Toc70181518" w:history="1">
        <w:r w:rsidRPr="0015315D">
          <w:rPr>
            <w:rStyle w:val="Hyperlink"/>
            <w:noProof/>
          </w:rPr>
          <w:t>Table 3: Summary Statistics Non-Tennessee CTE Enrollment</w:t>
        </w:r>
        <w:r>
          <w:rPr>
            <w:noProof/>
            <w:webHidden/>
          </w:rPr>
          <w:tab/>
        </w:r>
        <w:r>
          <w:rPr>
            <w:noProof/>
            <w:webHidden/>
          </w:rPr>
          <w:fldChar w:fldCharType="begin"/>
        </w:r>
        <w:r>
          <w:rPr>
            <w:noProof/>
            <w:webHidden/>
          </w:rPr>
          <w:instrText xml:space="preserve"> PAGEREF _Toc70181518 \h </w:instrText>
        </w:r>
        <w:r>
          <w:rPr>
            <w:noProof/>
            <w:webHidden/>
          </w:rPr>
        </w:r>
        <w:r>
          <w:rPr>
            <w:noProof/>
            <w:webHidden/>
          </w:rPr>
          <w:fldChar w:fldCharType="separate"/>
        </w:r>
        <w:r>
          <w:rPr>
            <w:noProof/>
            <w:webHidden/>
          </w:rPr>
          <w:t>82</w:t>
        </w:r>
        <w:r>
          <w:rPr>
            <w:noProof/>
            <w:webHidden/>
          </w:rPr>
          <w:fldChar w:fldCharType="end"/>
        </w:r>
      </w:hyperlink>
    </w:p>
    <w:p w14:paraId="4B50DC11" w14:textId="4A39C3BE" w:rsidR="00D420BE" w:rsidRDefault="00D420BE">
      <w:pPr>
        <w:pStyle w:val="TableofFigures"/>
        <w:tabs>
          <w:tab w:val="right" w:leader="dot" w:pos="9350"/>
        </w:tabs>
        <w:rPr>
          <w:rFonts w:asciiTheme="minorHAnsi" w:eastAsiaTheme="minorEastAsia" w:hAnsiTheme="minorHAnsi"/>
          <w:noProof/>
          <w:sz w:val="22"/>
        </w:rPr>
      </w:pPr>
      <w:hyperlink w:anchor="_Toc70181519" w:history="1">
        <w:r w:rsidRPr="0015315D">
          <w:rPr>
            <w:rStyle w:val="Hyperlink"/>
            <w:noProof/>
          </w:rPr>
          <w:t>Table 4: Summary Statistics Contiguous States CTE Enrollment</w:t>
        </w:r>
        <w:r>
          <w:rPr>
            <w:noProof/>
            <w:webHidden/>
          </w:rPr>
          <w:tab/>
        </w:r>
        <w:r>
          <w:rPr>
            <w:noProof/>
            <w:webHidden/>
          </w:rPr>
          <w:fldChar w:fldCharType="begin"/>
        </w:r>
        <w:r>
          <w:rPr>
            <w:noProof/>
            <w:webHidden/>
          </w:rPr>
          <w:instrText xml:space="preserve"> PAGEREF _Toc70181519 \h </w:instrText>
        </w:r>
        <w:r>
          <w:rPr>
            <w:noProof/>
            <w:webHidden/>
          </w:rPr>
        </w:r>
        <w:r>
          <w:rPr>
            <w:noProof/>
            <w:webHidden/>
          </w:rPr>
          <w:fldChar w:fldCharType="separate"/>
        </w:r>
        <w:r>
          <w:rPr>
            <w:noProof/>
            <w:webHidden/>
          </w:rPr>
          <w:t>82</w:t>
        </w:r>
        <w:r>
          <w:rPr>
            <w:noProof/>
            <w:webHidden/>
          </w:rPr>
          <w:fldChar w:fldCharType="end"/>
        </w:r>
      </w:hyperlink>
    </w:p>
    <w:p w14:paraId="781762A5" w14:textId="16C313F0" w:rsidR="00D420BE" w:rsidRDefault="00D420BE">
      <w:pPr>
        <w:pStyle w:val="TableofFigures"/>
        <w:tabs>
          <w:tab w:val="right" w:leader="dot" w:pos="9350"/>
        </w:tabs>
        <w:rPr>
          <w:rFonts w:asciiTheme="minorHAnsi" w:eastAsiaTheme="minorEastAsia" w:hAnsiTheme="minorHAnsi"/>
          <w:noProof/>
          <w:sz w:val="22"/>
        </w:rPr>
      </w:pPr>
      <w:hyperlink w:anchor="_Toc70181520" w:history="1">
        <w:r w:rsidRPr="0015315D">
          <w:rPr>
            <w:rStyle w:val="Hyperlink"/>
            <w:noProof/>
          </w:rPr>
          <w:t>Table 5: Summary Statistics Tennessee CTE Enrollment</w:t>
        </w:r>
        <w:r>
          <w:rPr>
            <w:noProof/>
            <w:webHidden/>
          </w:rPr>
          <w:tab/>
        </w:r>
        <w:r>
          <w:rPr>
            <w:noProof/>
            <w:webHidden/>
          </w:rPr>
          <w:fldChar w:fldCharType="begin"/>
        </w:r>
        <w:r>
          <w:rPr>
            <w:noProof/>
            <w:webHidden/>
          </w:rPr>
          <w:instrText xml:space="preserve"> PAGEREF _Toc70181520 \h </w:instrText>
        </w:r>
        <w:r>
          <w:rPr>
            <w:noProof/>
            <w:webHidden/>
          </w:rPr>
        </w:r>
        <w:r>
          <w:rPr>
            <w:noProof/>
            <w:webHidden/>
          </w:rPr>
          <w:fldChar w:fldCharType="separate"/>
        </w:r>
        <w:r>
          <w:rPr>
            <w:noProof/>
            <w:webHidden/>
          </w:rPr>
          <w:t>82</w:t>
        </w:r>
        <w:r>
          <w:rPr>
            <w:noProof/>
            <w:webHidden/>
          </w:rPr>
          <w:fldChar w:fldCharType="end"/>
        </w:r>
      </w:hyperlink>
    </w:p>
    <w:p w14:paraId="3430586A" w14:textId="6CDC803A" w:rsidR="00D420BE" w:rsidRDefault="00D420BE">
      <w:pPr>
        <w:pStyle w:val="TableofFigures"/>
        <w:tabs>
          <w:tab w:val="right" w:leader="dot" w:pos="9350"/>
        </w:tabs>
        <w:rPr>
          <w:rFonts w:asciiTheme="minorHAnsi" w:eastAsiaTheme="minorEastAsia" w:hAnsiTheme="minorHAnsi"/>
          <w:noProof/>
          <w:sz w:val="22"/>
        </w:rPr>
      </w:pPr>
      <w:hyperlink w:anchor="_Toc70181521" w:history="1">
        <w:r w:rsidRPr="0015315D">
          <w:rPr>
            <w:rStyle w:val="Hyperlink"/>
            <w:noProof/>
          </w:rPr>
          <w:t>Table 6: Differences-in-Differences Estimation Results for CTE Program Enrollment</w:t>
        </w:r>
        <w:r>
          <w:rPr>
            <w:noProof/>
            <w:webHidden/>
          </w:rPr>
          <w:tab/>
        </w:r>
        <w:r>
          <w:rPr>
            <w:noProof/>
            <w:webHidden/>
          </w:rPr>
          <w:fldChar w:fldCharType="begin"/>
        </w:r>
        <w:r>
          <w:rPr>
            <w:noProof/>
            <w:webHidden/>
          </w:rPr>
          <w:instrText xml:space="preserve"> PAGEREF _Toc70181521 \h </w:instrText>
        </w:r>
        <w:r>
          <w:rPr>
            <w:noProof/>
            <w:webHidden/>
          </w:rPr>
        </w:r>
        <w:r>
          <w:rPr>
            <w:noProof/>
            <w:webHidden/>
          </w:rPr>
          <w:fldChar w:fldCharType="separate"/>
        </w:r>
        <w:r>
          <w:rPr>
            <w:noProof/>
            <w:webHidden/>
          </w:rPr>
          <w:t>87</w:t>
        </w:r>
        <w:r>
          <w:rPr>
            <w:noProof/>
            <w:webHidden/>
          </w:rPr>
          <w:fldChar w:fldCharType="end"/>
        </w:r>
      </w:hyperlink>
    </w:p>
    <w:p w14:paraId="160F703C" w14:textId="7FBE1808" w:rsidR="00D420BE" w:rsidRDefault="0041045C" w:rsidP="00B67D60">
      <w:pPr>
        <w:rPr>
          <w:noProof/>
        </w:rPr>
      </w:pPr>
      <w:r>
        <w:rPr>
          <w:rFonts w:cs="Times New Roman"/>
          <w:b/>
          <w:szCs w:val="24"/>
        </w:rPr>
        <w:fldChar w:fldCharType="end"/>
      </w:r>
      <w:r w:rsidR="009F6602">
        <w:rPr>
          <w:rFonts w:cs="Times New Roman"/>
          <w:b/>
          <w:szCs w:val="24"/>
        </w:rPr>
        <w:fldChar w:fldCharType="begin"/>
      </w:r>
      <w:r w:rsidR="009F6602">
        <w:rPr>
          <w:rFonts w:cs="Times New Roman"/>
          <w:b/>
          <w:szCs w:val="24"/>
        </w:rPr>
        <w:instrText xml:space="preserve"> TOC \h \z \c "Table A" </w:instrText>
      </w:r>
      <w:r w:rsidR="009F6602">
        <w:rPr>
          <w:rFonts w:cs="Times New Roman"/>
          <w:b/>
          <w:szCs w:val="24"/>
        </w:rPr>
        <w:fldChar w:fldCharType="separate"/>
      </w:r>
    </w:p>
    <w:p w14:paraId="74BF6D0F" w14:textId="112C3E41" w:rsidR="00D420BE" w:rsidRDefault="00D420BE">
      <w:pPr>
        <w:pStyle w:val="TableofFigures"/>
        <w:tabs>
          <w:tab w:val="right" w:leader="dot" w:pos="9350"/>
        </w:tabs>
        <w:rPr>
          <w:rFonts w:asciiTheme="minorHAnsi" w:eastAsiaTheme="minorEastAsia" w:hAnsiTheme="minorHAnsi"/>
          <w:noProof/>
          <w:sz w:val="22"/>
        </w:rPr>
      </w:pPr>
      <w:hyperlink w:anchor="_Toc70181511" w:history="1">
        <w:r w:rsidRPr="005224D8">
          <w:rPr>
            <w:rStyle w:val="Hyperlink"/>
            <w:noProof/>
          </w:rPr>
          <w:t>Table A 1: Emergent/Theory-Based Themes</w:t>
        </w:r>
        <w:r>
          <w:rPr>
            <w:noProof/>
            <w:webHidden/>
          </w:rPr>
          <w:tab/>
        </w:r>
        <w:r>
          <w:rPr>
            <w:noProof/>
            <w:webHidden/>
          </w:rPr>
          <w:fldChar w:fldCharType="begin"/>
        </w:r>
        <w:r>
          <w:rPr>
            <w:noProof/>
            <w:webHidden/>
          </w:rPr>
          <w:instrText xml:space="preserve"> PAGEREF _Toc70181511 \h </w:instrText>
        </w:r>
        <w:r>
          <w:rPr>
            <w:noProof/>
            <w:webHidden/>
          </w:rPr>
        </w:r>
        <w:r>
          <w:rPr>
            <w:noProof/>
            <w:webHidden/>
          </w:rPr>
          <w:fldChar w:fldCharType="separate"/>
        </w:r>
        <w:r>
          <w:rPr>
            <w:noProof/>
            <w:webHidden/>
          </w:rPr>
          <w:t>42</w:t>
        </w:r>
        <w:r>
          <w:rPr>
            <w:noProof/>
            <w:webHidden/>
          </w:rPr>
          <w:fldChar w:fldCharType="end"/>
        </w:r>
      </w:hyperlink>
    </w:p>
    <w:p w14:paraId="6EC7E097" w14:textId="56DC973E" w:rsidR="00D420BE" w:rsidRDefault="00D420BE">
      <w:pPr>
        <w:pStyle w:val="TableofFigures"/>
        <w:tabs>
          <w:tab w:val="right" w:leader="dot" w:pos="9350"/>
        </w:tabs>
        <w:rPr>
          <w:rFonts w:asciiTheme="minorHAnsi" w:eastAsiaTheme="minorEastAsia" w:hAnsiTheme="minorHAnsi"/>
          <w:noProof/>
          <w:sz w:val="22"/>
        </w:rPr>
      </w:pPr>
      <w:hyperlink w:anchor="_Toc70181512" w:history="1">
        <w:r w:rsidRPr="005224D8">
          <w:rPr>
            <w:rStyle w:val="Hyperlink"/>
            <w:noProof/>
          </w:rPr>
          <w:t>Table A 2: Student Demographic Information</w:t>
        </w:r>
        <w:r>
          <w:rPr>
            <w:noProof/>
            <w:webHidden/>
          </w:rPr>
          <w:tab/>
        </w:r>
        <w:r>
          <w:rPr>
            <w:noProof/>
            <w:webHidden/>
          </w:rPr>
          <w:fldChar w:fldCharType="begin"/>
        </w:r>
        <w:r>
          <w:rPr>
            <w:noProof/>
            <w:webHidden/>
          </w:rPr>
          <w:instrText xml:space="preserve"> PAGEREF _Toc70181512 \h </w:instrText>
        </w:r>
        <w:r>
          <w:rPr>
            <w:noProof/>
            <w:webHidden/>
          </w:rPr>
        </w:r>
        <w:r>
          <w:rPr>
            <w:noProof/>
            <w:webHidden/>
          </w:rPr>
          <w:fldChar w:fldCharType="separate"/>
        </w:r>
        <w:r>
          <w:rPr>
            <w:noProof/>
            <w:webHidden/>
          </w:rPr>
          <w:t>43</w:t>
        </w:r>
        <w:r>
          <w:rPr>
            <w:noProof/>
            <w:webHidden/>
          </w:rPr>
          <w:fldChar w:fldCharType="end"/>
        </w:r>
      </w:hyperlink>
    </w:p>
    <w:p w14:paraId="050002B6" w14:textId="693FBAC2" w:rsidR="00D420BE" w:rsidRDefault="00D420BE">
      <w:pPr>
        <w:pStyle w:val="TableofFigures"/>
        <w:tabs>
          <w:tab w:val="right" w:leader="dot" w:pos="9350"/>
        </w:tabs>
        <w:rPr>
          <w:rFonts w:asciiTheme="minorHAnsi" w:eastAsiaTheme="minorEastAsia" w:hAnsiTheme="minorHAnsi"/>
          <w:noProof/>
          <w:sz w:val="22"/>
        </w:rPr>
      </w:pPr>
      <w:hyperlink w:anchor="_Toc70181513" w:history="1">
        <w:r w:rsidRPr="005224D8">
          <w:rPr>
            <w:rStyle w:val="Hyperlink"/>
            <w:noProof/>
          </w:rPr>
          <w:t>Table A 3: Cohort Demographic Information</w:t>
        </w:r>
        <w:r>
          <w:rPr>
            <w:noProof/>
            <w:webHidden/>
          </w:rPr>
          <w:tab/>
        </w:r>
        <w:r>
          <w:rPr>
            <w:noProof/>
            <w:webHidden/>
          </w:rPr>
          <w:fldChar w:fldCharType="begin"/>
        </w:r>
        <w:r>
          <w:rPr>
            <w:noProof/>
            <w:webHidden/>
          </w:rPr>
          <w:instrText xml:space="preserve"> PAGEREF _Toc70181513 \h </w:instrText>
        </w:r>
        <w:r>
          <w:rPr>
            <w:noProof/>
            <w:webHidden/>
          </w:rPr>
        </w:r>
        <w:r>
          <w:rPr>
            <w:noProof/>
            <w:webHidden/>
          </w:rPr>
          <w:fldChar w:fldCharType="separate"/>
        </w:r>
        <w:r>
          <w:rPr>
            <w:noProof/>
            <w:webHidden/>
          </w:rPr>
          <w:t>44</w:t>
        </w:r>
        <w:r>
          <w:rPr>
            <w:noProof/>
            <w:webHidden/>
          </w:rPr>
          <w:fldChar w:fldCharType="end"/>
        </w:r>
      </w:hyperlink>
    </w:p>
    <w:p w14:paraId="6C74AB59" w14:textId="4092FB18" w:rsidR="00D420BE" w:rsidRDefault="00D420BE">
      <w:pPr>
        <w:pStyle w:val="TableofFigures"/>
        <w:tabs>
          <w:tab w:val="right" w:leader="dot" w:pos="9350"/>
        </w:tabs>
        <w:rPr>
          <w:rFonts w:asciiTheme="minorHAnsi" w:eastAsiaTheme="minorEastAsia" w:hAnsiTheme="minorHAnsi"/>
          <w:noProof/>
          <w:sz w:val="22"/>
        </w:rPr>
      </w:pPr>
      <w:hyperlink w:anchor="_Toc70181514" w:history="1">
        <w:r w:rsidRPr="005224D8">
          <w:rPr>
            <w:rStyle w:val="Hyperlink"/>
            <w:noProof/>
          </w:rPr>
          <w:t>Table A 4: Tennessee Public 2-Year Institution Adult Student Enrollment</w:t>
        </w:r>
        <w:r>
          <w:rPr>
            <w:noProof/>
            <w:webHidden/>
          </w:rPr>
          <w:tab/>
        </w:r>
        <w:r>
          <w:rPr>
            <w:noProof/>
            <w:webHidden/>
          </w:rPr>
          <w:fldChar w:fldCharType="begin"/>
        </w:r>
        <w:r>
          <w:rPr>
            <w:noProof/>
            <w:webHidden/>
          </w:rPr>
          <w:instrText xml:space="preserve"> PAGEREF _Toc70181514 \h </w:instrText>
        </w:r>
        <w:r>
          <w:rPr>
            <w:noProof/>
            <w:webHidden/>
          </w:rPr>
        </w:r>
        <w:r>
          <w:rPr>
            <w:noProof/>
            <w:webHidden/>
          </w:rPr>
          <w:fldChar w:fldCharType="separate"/>
        </w:r>
        <w:r>
          <w:rPr>
            <w:noProof/>
            <w:webHidden/>
          </w:rPr>
          <w:t>69</w:t>
        </w:r>
        <w:r>
          <w:rPr>
            <w:noProof/>
            <w:webHidden/>
          </w:rPr>
          <w:fldChar w:fldCharType="end"/>
        </w:r>
      </w:hyperlink>
    </w:p>
    <w:p w14:paraId="52DE6E1E" w14:textId="77383B14" w:rsidR="00D420BE" w:rsidRDefault="00D420BE">
      <w:pPr>
        <w:pStyle w:val="TableofFigures"/>
        <w:tabs>
          <w:tab w:val="right" w:leader="dot" w:pos="9350"/>
        </w:tabs>
        <w:rPr>
          <w:rFonts w:asciiTheme="minorHAnsi" w:eastAsiaTheme="minorEastAsia" w:hAnsiTheme="minorHAnsi"/>
          <w:noProof/>
          <w:sz w:val="22"/>
        </w:rPr>
      </w:pPr>
      <w:hyperlink w:anchor="_Toc70181515" w:history="1">
        <w:r w:rsidRPr="005224D8">
          <w:rPr>
            <w:rStyle w:val="Hyperlink"/>
            <w:noProof/>
          </w:rPr>
          <w:t>Table A 5: Non-Tennessee Public 2-Year Institution Adult Student Enrollment</w:t>
        </w:r>
        <w:r>
          <w:rPr>
            <w:noProof/>
            <w:webHidden/>
          </w:rPr>
          <w:tab/>
        </w:r>
        <w:r>
          <w:rPr>
            <w:noProof/>
            <w:webHidden/>
          </w:rPr>
          <w:fldChar w:fldCharType="begin"/>
        </w:r>
        <w:r>
          <w:rPr>
            <w:noProof/>
            <w:webHidden/>
          </w:rPr>
          <w:instrText xml:space="preserve"> PAGEREF _Toc70181515 \h </w:instrText>
        </w:r>
        <w:r>
          <w:rPr>
            <w:noProof/>
            <w:webHidden/>
          </w:rPr>
        </w:r>
        <w:r>
          <w:rPr>
            <w:noProof/>
            <w:webHidden/>
          </w:rPr>
          <w:fldChar w:fldCharType="separate"/>
        </w:r>
        <w:r>
          <w:rPr>
            <w:noProof/>
            <w:webHidden/>
          </w:rPr>
          <w:t>70</w:t>
        </w:r>
        <w:r>
          <w:rPr>
            <w:noProof/>
            <w:webHidden/>
          </w:rPr>
          <w:fldChar w:fldCharType="end"/>
        </w:r>
      </w:hyperlink>
    </w:p>
    <w:p w14:paraId="36F438F6" w14:textId="77D382EE" w:rsidR="009F6602" w:rsidRDefault="009F6602" w:rsidP="00B67D60">
      <w:pPr>
        <w:rPr>
          <w:rFonts w:cs="Times New Roman"/>
          <w:b/>
          <w:szCs w:val="24"/>
        </w:rPr>
      </w:pPr>
      <w:r>
        <w:rPr>
          <w:rFonts w:cs="Times New Roman"/>
          <w:b/>
          <w:szCs w:val="24"/>
        </w:rPr>
        <w:fldChar w:fldCharType="end"/>
      </w:r>
    </w:p>
    <w:p w14:paraId="5783D6C7" w14:textId="786CF224" w:rsidR="00B67D60" w:rsidRDefault="009F6602" w:rsidP="00B67D60">
      <w:pPr>
        <w:rPr>
          <w:rFonts w:cs="Times New Roman"/>
          <w:b/>
          <w:szCs w:val="24"/>
        </w:rPr>
      </w:pPr>
      <w:r>
        <w:rPr>
          <w:rFonts w:cs="Times New Roman"/>
          <w:b/>
          <w:szCs w:val="24"/>
        </w:rPr>
        <w:br w:type="page"/>
      </w:r>
    </w:p>
    <w:p w14:paraId="06924E29" w14:textId="1E52170E" w:rsidR="009F6602" w:rsidRDefault="009F6602" w:rsidP="009F6602">
      <w:pPr>
        <w:jc w:val="center"/>
        <w:rPr>
          <w:rFonts w:cs="Times New Roman"/>
          <w:b/>
          <w:szCs w:val="24"/>
        </w:rPr>
      </w:pPr>
      <w:r>
        <w:rPr>
          <w:rFonts w:cs="Times New Roman"/>
          <w:b/>
          <w:szCs w:val="24"/>
        </w:rPr>
        <w:lastRenderedPageBreak/>
        <w:t>List of Figures</w:t>
      </w:r>
    </w:p>
    <w:p w14:paraId="6DD580F3" w14:textId="4DAF8428" w:rsidR="005835C9" w:rsidRDefault="005835C9">
      <w:pPr>
        <w:pStyle w:val="TableofFigures"/>
        <w:tabs>
          <w:tab w:val="right" w:leader="dot" w:pos="9350"/>
        </w:tabs>
        <w:rPr>
          <w:rFonts w:asciiTheme="minorHAnsi" w:eastAsiaTheme="minorEastAsia" w:hAnsiTheme="minorHAnsi"/>
          <w:noProof/>
          <w:sz w:val="22"/>
        </w:rPr>
      </w:pPr>
      <w:r>
        <w:rPr>
          <w:rFonts w:cs="Times New Roman"/>
          <w:b/>
          <w:szCs w:val="24"/>
        </w:rPr>
        <w:fldChar w:fldCharType="begin"/>
      </w:r>
      <w:r>
        <w:rPr>
          <w:rFonts w:cs="Times New Roman"/>
          <w:b/>
          <w:szCs w:val="24"/>
        </w:rPr>
        <w:instrText xml:space="preserve"> TOC \h \z \c "Figure" </w:instrText>
      </w:r>
      <w:r>
        <w:rPr>
          <w:rFonts w:cs="Times New Roman"/>
          <w:b/>
          <w:szCs w:val="24"/>
        </w:rPr>
        <w:fldChar w:fldCharType="separate"/>
      </w:r>
      <w:hyperlink w:anchor="_Toc70181174" w:history="1">
        <w:r w:rsidRPr="00DB07DF">
          <w:rPr>
            <w:rStyle w:val="Hyperlink"/>
            <w:noProof/>
          </w:rPr>
          <w:t>Figure 1: Common Trends Adult Student Enrollment</w:t>
        </w:r>
        <w:r>
          <w:rPr>
            <w:noProof/>
            <w:webHidden/>
          </w:rPr>
          <w:tab/>
        </w:r>
        <w:r>
          <w:rPr>
            <w:noProof/>
            <w:webHidden/>
          </w:rPr>
          <w:fldChar w:fldCharType="begin"/>
        </w:r>
        <w:r>
          <w:rPr>
            <w:noProof/>
            <w:webHidden/>
          </w:rPr>
          <w:instrText xml:space="preserve"> PAGEREF _Toc70181174 \h </w:instrText>
        </w:r>
        <w:r>
          <w:rPr>
            <w:noProof/>
            <w:webHidden/>
          </w:rPr>
        </w:r>
        <w:r>
          <w:rPr>
            <w:noProof/>
            <w:webHidden/>
          </w:rPr>
          <w:fldChar w:fldCharType="separate"/>
        </w:r>
        <w:r>
          <w:rPr>
            <w:noProof/>
            <w:webHidden/>
          </w:rPr>
          <w:t>58</w:t>
        </w:r>
        <w:r>
          <w:rPr>
            <w:noProof/>
            <w:webHidden/>
          </w:rPr>
          <w:fldChar w:fldCharType="end"/>
        </w:r>
      </w:hyperlink>
    </w:p>
    <w:p w14:paraId="32C0D61A" w14:textId="19C4FB50" w:rsidR="005835C9" w:rsidRDefault="005835C9">
      <w:pPr>
        <w:pStyle w:val="TableofFigures"/>
        <w:tabs>
          <w:tab w:val="right" w:leader="dot" w:pos="9350"/>
        </w:tabs>
        <w:rPr>
          <w:rFonts w:asciiTheme="minorHAnsi" w:eastAsiaTheme="minorEastAsia" w:hAnsiTheme="minorHAnsi"/>
          <w:noProof/>
          <w:sz w:val="22"/>
        </w:rPr>
      </w:pPr>
      <w:hyperlink w:anchor="_Toc70181175" w:history="1">
        <w:r w:rsidRPr="00DB07DF">
          <w:rPr>
            <w:rStyle w:val="Hyperlink"/>
            <w:noProof/>
          </w:rPr>
          <w:t>Figure 2: Common Trends Full-Time Adult Student Enrollment</w:t>
        </w:r>
        <w:r>
          <w:rPr>
            <w:noProof/>
            <w:webHidden/>
          </w:rPr>
          <w:tab/>
        </w:r>
        <w:r>
          <w:rPr>
            <w:noProof/>
            <w:webHidden/>
          </w:rPr>
          <w:fldChar w:fldCharType="begin"/>
        </w:r>
        <w:r>
          <w:rPr>
            <w:noProof/>
            <w:webHidden/>
          </w:rPr>
          <w:instrText xml:space="preserve"> PAGEREF _Toc70181175 \h </w:instrText>
        </w:r>
        <w:r>
          <w:rPr>
            <w:noProof/>
            <w:webHidden/>
          </w:rPr>
        </w:r>
        <w:r>
          <w:rPr>
            <w:noProof/>
            <w:webHidden/>
          </w:rPr>
          <w:fldChar w:fldCharType="separate"/>
        </w:r>
        <w:r>
          <w:rPr>
            <w:noProof/>
            <w:webHidden/>
          </w:rPr>
          <w:t>58</w:t>
        </w:r>
        <w:r>
          <w:rPr>
            <w:noProof/>
            <w:webHidden/>
          </w:rPr>
          <w:fldChar w:fldCharType="end"/>
        </w:r>
      </w:hyperlink>
    </w:p>
    <w:p w14:paraId="2AE2659C" w14:textId="456B0B53" w:rsidR="005835C9" w:rsidRDefault="005835C9">
      <w:pPr>
        <w:pStyle w:val="TableofFigures"/>
        <w:tabs>
          <w:tab w:val="right" w:leader="dot" w:pos="9350"/>
        </w:tabs>
        <w:rPr>
          <w:rFonts w:asciiTheme="minorHAnsi" w:eastAsiaTheme="minorEastAsia" w:hAnsiTheme="minorHAnsi"/>
          <w:noProof/>
          <w:sz w:val="22"/>
        </w:rPr>
      </w:pPr>
      <w:hyperlink w:anchor="_Toc70181176" w:history="1">
        <w:r w:rsidRPr="00DB07DF">
          <w:rPr>
            <w:rStyle w:val="Hyperlink"/>
            <w:noProof/>
          </w:rPr>
          <w:t>Figure 3: Common Trends Part-Time Adult Student Enrollment</w:t>
        </w:r>
        <w:r>
          <w:rPr>
            <w:noProof/>
            <w:webHidden/>
          </w:rPr>
          <w:tab/>
        </w:r>
        <w:r>
          <w:rPr>
            <w:noProof/>
            <w:webHidden/>
          </w:rPr>
          <w:fldChar w:fldCharType="begin"/>
        </w:r>
        <w:r>
          <w:rPr>
            <w:noProof/>
            <w:webHidden/>
          </w:rPr>
          <w:instrText xml:space="preserve"> PAGEREF _Toc70181176 \h </w:instrText>
        </w:r>
        <w:r>
          <w:rPr>
            <w:noProof/>
            <w:webHidden/>
          </w:rPr>
        </w:r>
        <w:r>
          <w:rPr>
            <w:noProof/>
            <w:webHidden/>
          </w:rPr>
          <w:fldChar w:fldCharType="separate"/>
        </w:r>
        <w:r>
          <w:rPr>
            <w:noProof/>
            <w:webHidden/>
          </w:rPr>
          <w:t>59</w:t>
        </w:r>
        <w:r>
          <w:rPr>
            <w:noProof/>
            <w:webHidden/>
          </w:rPr>
          <w:fldChar w:fldCharType="end"/>
        </w:r>
      </w:hyperlink>
    </w:p>
    <w:p w14:paraId="4A60D40F" w14:textId="25A9DBC4" w:rsidR="005835C9" w:rsidRDefault="005835C9">
      <w:pPr>
        <w:pStyle w:val="TableofFigures"/>
        <w:tabs>
          <w:tab w:val="right" w:leader="dot" w:pos="9350"/>
        </w:tabs>
        <w:rPr>
          <w:rFonts w:asciiTheme="minorHAnsi" w:eastAsiaTheme="minorEastAsia" w:hAnsiTheme="minorHAnsi"/>
          <w:noProof/>
          <w:sz w:val="22"/>
        </w:rPr>
      </w:pPr>
      <w:hyperlink w:anchor="_Toc70181177" w:history="1">
        <w:r w:rsidRPr="00DB07DF">
          <w:rPr>
            <w:rStyle w:val="Hyperlink"/>
            <w:noProof/>
          </w:rPr>
          <w:t>Figure 4: Common Trends Female Adult Student Enrollment</w:t>
        </w:r>
        <w:r>
          <w:rPr>
            <w:noProof/>
            <w:webHidden/>
          </w:rPr>
          <w:tab/>
        </w:r>
        <w:r>
          <w:rPr>
            <w:noProof/>
            <w:webHidden/>
          </w:rPr>
          <w:fldChar w:fldCharType="begin"/>
        </w:r>
        <w:r>
          <w:rPr>
            <w:noProof/>
            <w:webHidden/>
          </w:rPr>
          <w:instrText xml:space="preserve"> PAGEREF _Toc70181177 \h </w:instrText>
        </w:r>
        <w:r>
          <w:rPr>
            <w:noProof/>
            <w:webHidden/>
          </w:rPr>
        </w:r>
        <w:r>
          <w:rPr>
            <w:noProof/>
            <w:webHidden/>
          </w:rPr>
          <w:fldChar w:fldCharType="separate"/>
        </w:r>
        <w:r>
          <w:rPr>
            <w:noProof/>
            <w:webHidden/>
          </w:rPr>
          <w:t>59</w:t>
        </w:r>
        <w:r>
          <w:rPr>
            <w:noProof/>
            <w:webHidden/>
          </w:rPr>
          <w:fldChar w:fldCharType="end"/>
        </w:r>
      </w:hyperlink>
    </w:p>
    <w:p w14:paraId="7FB41ABD" w14:textId="0F7F594E" w:rsidR="005835C9" w:rsidRDefault="005835C9">
      <w:pPr>
        <w:pStyle w:val="TableofFigures"/>
        <w:tabs>
          <w:tab w:val="right" w:leader="dot" w:pos="9350"/>
        </w:tabs>
        <w:rPr>
          <w:rFonts w:asciiTheme="minorHAnsi" w:eastAsiaTheme="minorEastAsia" w:hAnsiTheme="minorHAnsi"/>
          <w:noProof/>
          <w:sz w:val="22"/>
        </w:rPr>
      </w:pPr>
      <w:hyperlink w:anchor="_Toc70181178" w:history="1">
        <w:r w:rsidRPr="00DB07DF">
          <w:rPr>
            <w:rStyle w:val="Hyperlink"/>
            <w:noProof/>
          </w:rPr>
          <w:t>Figure 5: Common Trends Male Adult Student Enrollment</w:t>
        </w:r>
        <w:r>
          <w:rPr>
            <w:noProof/>
            <w:webHidden/>
          </w:rPr>
          <w:tab/>
        </w:r>
        <w:r>
          <w:rPr>
            <w:noProof/>
            <w:webHidden/>
          </w:rPr>
          <w:fldChar w:fldCharType="begin"/>
        </w:r>
        <w:r>
          <w:rPr>
            <w:noProof/>
            <w:webHidden/>
          </w:rPr>
          <w:instrText xml:space="preserve"> PAGEREF _Toc70181178 \h </w:instrText>
        </w:r>
        <w:r>
          <w:rPr>
            <w:noProof/>
            <w:webHidden/>
          </w:rPr>
        </w:r>
        <w:r>
          <w:rPr>
            <w:noProof/>
            <w:webHidden/>
          </w:rPr>
          <w:fldChar w:fldCharType="separate"/>
        </w:r>
        <w:r>
          <w:rPr>
            <w:noProof/>
            <w:webHidden/>
          </w:rPr>
          <w:t>59</w:t>
        </w:r>
        <w:r>
          <w:rPr>
            <w:noProof/>
            <w:webHidden/>
          </w:rPr>
          <w:fldChar w:fldCharType="end"/>
        </w:r>
      </w:hyperlink>
    </w:p>
    <w:p w14:paraId="3B72B5F4" w14:textId="743E7F89" w:rsidR="005835C9" w:rsidRDefault="005835C9">
      <w:pPr>
        <w:pStyle w:val="TableofFigures"/>
        <w:tabs>
          <w:tab w:val="right" w:leader="dot" w:pos="9350"/>
        </w:tabs>
        <w:rPr>
          <w:rFonts w:asciiTheme="minorHAnsi" w:eastAsiaTheme="minorEastAsia" w:hAnsiTheme="minorHAnsi"/>
          <w:noProof/>
          <w:sz w:val="22"/>
        </w:rPr>
      </w:pPr>
      <w:hyperlink w:anchor="_Toc70181179" w:history="1">
        <w:r w:rsidRPr="00DB07DF">
          <w:rPr>
            <w:rStyle w:val="Hyperlink"/>
            <w:noProof/>
          </w:rPr>
          <w:t>Figure 6: Common Trend Plot Nationwide Sample</w:t>
        </w:r>
        <w:r>
          <w:rPr>
            <w:noProof/>
            <w:webHidden/>
          </w:rPr>
          <w:tab/>
        </w:r>
        <w:r>
          <w:rPr>
            <w:noProof/>
            <w:webHidden/>
          </w:rPr>
          <w:fldChar w:fldCharType="begin"/>
        </w:r>
        <w:r>
          <w:rPr>
            <w:noProof/>
            <w:webHidden/>
          </w:rPr>
          <w:instrText xml:space="preserve"> PAGEREF _Toc70181179 \h </w:instrText>
        </w:r>
        <w:r>
          <w:rPr>
            <w:noProof/>
            <w:webHidden/>
          </w:rPr>
        </w:r>
        <w:r>
          <w:rPr>
            <w:noProof/>
            <w:webHidden/>
          </w:rPr>
          <w:fldChar w:fldCharType="separate"/>
        </w:r>
        <w:r>
          <w:rPr>
            <w:noProof/>
            <w:webHidden/>
          </w:rPr>
          <w:t>85</w:t>
        </w:r>
        <w:r>
          <w:rPr>
            <w:noProof/>
            <w:webHidden/>
          </w:rPr>
          <w:fldChar w:fldCharType="end"/>
        </w:r>
      </w:hyperlink>
    </w:p>
    <w:p w14:paraId="3ABB1DB2" w14:textId="324D017A" w:rsidR="005835C9" w:rsidRDefault="005835C9">
      <w:pPr>
        <w:pStyle w:val="TableofFigures"/>
        <w:tabs>
          <w:tab w:val="right" w:leader="dot" w:pos="9350"/>
        </w:tabs>
        <w:rPr>
          <w:rFonts w:asciiTheme="minorHAnsi" w:eastAsiaTheme="minorEastAsia" w:hAnsiTheme="minorHAnsi"/>
          <w:noProof/>
          <w:sz w:val="22"/>
        </w:rPr>
      </w:pPr>
      <w:hyperlink w:anchor="_Toc70181180" w:history="1">
        <w:r w:rsidRPr="00DB07DF">
          <w:rPr>
            <w:rStyle w:val="Hyperlink"/>
            <w:noProof/>
          </w:rPr>
          <w:t>Figure 7: Common Trends Plot Contiguous States</w:t>
        </w:r>
        <w:r>
          <w:rPr>
            <w:noProof/>
            <w:webHidden/>
          </w:rPr>
          <w:tab/>
        </w:r>
        <w:r>
          <w:rPr>
            <w:noProof/>
            <w:webHidden/>
          </w:rPr>
          <w:fldChar w:fldCharType="begin"/>
        </w:r>
        <w:r>
          <w:rPr>
            <w:noProof/>
            <w:webHidden/>
          </w:rPr>
          <w:instrText xml:space="preserve"> PAGEREF _Toc70181180 \h </w:instrText>
        </w:r>
        <w:r>
          <w:rPr>
            <w:noProof/>
            <w:webHidden/>
          </w:rPr>
        </w:r>
        <w:r>
          <w:rPr>
            <w:noProof/>
            <w:webHidden/>
          </w:rPr>
          <w:fldChar w:fldCharType="separate"/>
        </w:r>
        <w:r>
          <w:rPr>
            <w:noProof/>
            <w:webHidden/>
          </w:rPr>
          <w:t>85</w:t>
        </w:r>
        <w:r>
          <w:rPr>
            <w:noProof/>
            <w:webHidden/>
          </w:rPr>
          <w:fldChar w:fldCharType="end"/>
        </w:r>
      </w:hyperlink>
    </w:p>
    <w:p w14:paraId="4E4B3E0A" w14:textId="11EA032C" w:rsidR="009F6602" w:rsidRDefault="005835C9" w:rsidP="009F6602">
      <w:pPr>
        <w:jc w:val="center"/>
        <w:rPr>
          <w:rFonts w:cs="Times New Roman"/>
          <w:b/>
          <w:szCs w:val="24"/>
        </w:rPr>
      </w:pPr>
      <w:r>
        <w:rPr>
          <w:rFonts w:cs="Times New Roman"/>
          <w:b/>
          <w:szCs w:val="24"/>
        </w:rPr>
        <w:fldChar w:fldCharType="end"/>
      </w:r>
    </w:p>
    <w:p w14:paraId="031B4F8B" w14:textId="77777777" w:rsidR="009F6602" w:rsidRPr="009F6602" w:rsidRDefault="009F6602" w:rsidP="00B67D60">
      <w:pPr>
        <w:rPr>
          <w:rFonts w:cs="Times New Roman"/>
          <w:b/>
          <w:szCs w:val="24"/>
        </w:rPr>
      </w:pPr>
    </w:p>
    <w:p w14:paraId="0129F322" w14:textId="77777777" w:rsidR="00B67D60" w:rsidRDefault="00B67D60" w:rsidP="0015321A">
      <w:pPr>
        <w:rPr>
          <w:rFonts w:cs="Times New Roman"/>
          <w:szCs w:val="24"/>
        </w:rPr>
      </w:pPr>
    </w:p>
    <w:p w14:paraId="3902CB9E" w14:textId="77777777" w:rsidR="00B67D60" w:rsidRPr="00FA38B2" w:rsidRDefault="00B67D60" w:rsidP="0015321A">
      <w:pPr>
        <w:rPr>
          <w:rFonts w:cs="Times New Roman"/>
          <w:szCs w:val="24"/>
        </w:rPr>
        <w:sectPr w:rsidR="00B67D60" w:rsidRPr="00FA38B2" w:rsidSect="005F5B83">
          <w:headerReference w:type="default" r:id="rId11"/>
          <w:pgSz w:w="12240" w:h="15840"/>
          <w:pgMar w:top="1440" w:right="1440" w:bottom="1440" w:left="1440" w:header="720" w:footer="720" w:gutter="0"/>
          <w:pgNumType w:fmt="lowerRoman"/>
          <w:cols w:space="720"/>
          <w:titlePg/>
          <w:docGrid w:linePitch="360"/>
        </w:sectPr>
      </w:pPr>
    </w:p>
    <w:p w14:paraId="79F0905A" w14:textId="0F3DE451" w:rsidR="00513AF3" w:rsidRPr="00FA38B2" w:rsidRDefault="00A21E50" w:rsidP="0015321A">
      <w:pPr>
        <w:pStyle w:val="Heading1"/>
        <w:spacing w:line="480" w:lineRule="auto"/>
        <w:rPr>
          <w:rFonts w:cs="Times New Roman"/>
          <w:szCs w:val="24"/>
        </w:rPr>
      </w:pPr>
      <w:bookmarkStart w:id="0" w:name="_Toc70181476"/>
      <w:r w:rsidRPr="00FA38B2">
        <w:rPr>
          <w:rFonts w:cs="Times New Roman"/>
          <w:szCs w:val="24"/>
        </w:rPr>
        <w:lastRenderedPageBreak/>
        <w:t>Chapter 1: Introduction to the Study</w:t>
      </w:r>
      <w:bookmarkEnd w:id="0"/>
    </w:p>
    <w:p w14:paraId="0736A04C" w14:textId="61004E6C" w:rsidR="00F85B8B" w:rsidRPr="00FA38B2" w:rsidRDefault="00F85B8B" w:rsidP="0015321A">
      <w:pPr>
        <w:jc w:val="center"/>
        <w:rPr>
          <w:rFonts w:cs="Times New Roman"/>
          <w:i/>
          <w:szCs w:val="24"/>
        </w:rPr>
      </w:pPr>
      <w:r w:rsidRPr="00FA38B2">
        <w:rPr>
          <w:rFonts w:cs="Times New Roman"/>
          <w:i/>
          <w:szCs w:val="24"/>
        </w:rPr>
        <w:t xml:space="preserve">A college degree is the surest ticket to the middle class. It is the key to getting a good job that pays a good income-and to provide you the security where even if you don’t have the same job for 30 years, you’re so adaptable and you have a skill set and the capacity to learn new skills, it ensures you’re always employable. – </w:t>
      </w:r>
      <w:r w:rsidR="00B404FC" w:rsidRPr="00FA38B2">
        <w:rPr>
          <w:rFonts w:cs="Times New Roman"/>
          <w:i/>
          <w:szCs w:val="24"/>
        </w:rPr>
        <w:t xml:space="preserve">President </w:t>
      </w:r>
      <w:r w:rsidRPr="00FA38B2">
        <w:rPr>
          <w:rFonts w:cs="Times New Roman"/>
          <w:i/>
          <w:szCs w:val="24"/>
        </w:rPr>
        <w:t>Barack Obama, address at the unveiling of America’s College Promise in Knoxville, Tennessee.</w:t>
      </w:r>
    </w:p>
    <w:p w14:paraId="78D6EAEC" w14:textId="1AE14D6A" w:rsidR="005D0110" w:rsidRPr="00FA38B2" w:rsidRDefault="00605C2F" w:rsidP="0015321A">
      <w:pPr>
        <w:rPr>
          <w:rFonts w:cs="Times New Roman"/>
          <w:szCs w:val="24"/>
        </w:rPr>
      </w:pPr>
      <w:r w:rsidRPr="00FA38B2">
        <w:rPr>
          <w:rFonts w:cs="Times New Roman"/>
          <w:szCs w:val="24"/>
        </w:rPr>
        <w:tab/>
      </w:r>
      <w:r w:rsidR="005D0110" w:rsidRPr="00FA38B2">
        <w:rPr>
          <w:rFonts w:cs="Times New Roman"/>
          <w:szCs w:val="24"/>
        </w:rPr>
        <w:t>Policymakers in the United States often proclaim their education initi</w:t>
      </w:r>
      <w:r w:rsidR="00190321" w:rsidRPr="00FA38B2">
        <w:rPr>
          <w:rFonts w:cs="Times New Roman"/>
          <w:szCs w:val="24"/>
        </w:rPr>
        <w:t>ative will</w:t>
      </w:r>
      <w:r w:rsidR="0025163B" w:rsidRPr="00FA38B2">
        <w:rPr>
          <w:rFonts w:cs="Times New Roman"/>
          <w:szCs w:val="24"/>
        </w:rPr>
        <w:t xml:space="preserve"> </w:t>
      </w:r>
      <w:r w:rsidR="00785915" w:rsidRPr="00FA38B2">
        <w:rPr>
          <w:rFonts w:cs="Times New Roman"/>
          <w:szCs w:val="24"/>
        </w:rPr>
        <w:t>improve the lives of low-income or other marginalized groups</w:t>
      </w:r>
      <w:r w:rsidR="005D0110" w:rsidRPr="00FA38B2">
        <w:rPr>
          <w:rFonts w:cs="Times New Roman"/>
          <w:szCs w:val="24"/>
        </w:rPr>
        <w:t>. Since the 1944 Servicemen’s Readjustment Act</w:t>
      </w:r>
      <w:r w:rsidR="000C4110" w:rsidRPr="00FA38B2">
        <w:rPr>
          <w:rFonts w:cs="Times New Roman"/>
          <w:szCs w:val="24"/>
        </w:rPr>
        <w:t xml:space="preserve"> </w:t>
      </w:r>
      <w:r w:rsidR="005D0110" w:rsidRPr="00FA38B2">
        <w:rPr>
          <w:rFonts w:cs="Times New Roman"/>
          <w:szCs w:val="24"/>
        </w:rPr>
        <w:t>-</w:t>
      </w:r>
      <w:r w:rsidR="000C4110" w:rsidRPr="00FA38B2">
        <w:rPr>
          <w:rFonts w:cs="Times New Roman"/>
          <w:szCs w:val="24"/>
        </w:rPr>
        <w:t xml:space="preserve"> </w:t>
      </w:r>
      <w:r w:rsidR="005D0110" w:rsidRPr="00FA38B2">
        <w:rPr>
          <w:rFonts w:cs="Times New Roman"/>
          <w:szCs w:val="24"/>
        </w:rPr>
        <w:t>commonly referred to as the GI Bill</w:t>
      </w:r>
      <w:r w:rsidR="000C4110" w:rsidRPr="00FA38B2">
        <w:rPr>
          <w:rFonts w:cs="Times New Roman"/>
          <w:szCs w:val="24"/>
        </w:rPr>
        <w:t xml:space="preserve"> </w:t>
      </w:r>
      <w:r w:rsidR="005D0110" w:rsidRPr="00FA38B2">
        <w:rPr>
          <w:rFonts w:cs="Times New Roman"/>
          <w:szCs w:val="24"/>
        </w:rPr>
        <w:t>-</w:t>
      </w:r>
      <w:r w:rsidR="000C4110" w:rsidRPr="00FA38B2">
        <w:rPr>
          <w:rFonts w:cs="Times New Roman"/>
          <w:szCs w:val="24"/>
        </w:rPr>
        <w:t xml:space="preserve"> </w:t>
      </w:r>
      <w:r w:rsidR="005D0110" w:rsidRPr="00FA38B2">
        <w:rPr>
          <w:rFonts w:cs="Times New Roman"/>
          <w:szCs w:val="24"/>
        </w:rPr>
        <w:t xml:space="preserve">dramatically altered the landscape of postsecondary educational policy reform in the United States, policymakers strategically depict their initiatives as the next great progressive postsecondary educational reform. Policymakers and many of the public whom they represent </w:t>
      </w:r>
      <w:r w:rsidR="00DF78F0" w:rsidRPr="00FA38B2">
        <w:rPr>
          <w:rFonts w:cs="Times New Roman"/>
          <w:szCs w:val="24"/>
        </w:rPr>
        <w:t>believe that pursuing a</w:t>
      </w:r>
      <w:r w:rsidR="001D1206" w:rsidRPr="00FA38B2">
        <w:rPr>
          <w:rFonts w:cs="Times New Roman"/>
          <w:szCs w:val="24"/>
        </w:rPr>
        <w:t xml:space="preserve"> </w:t>
      </w:r>
      <w:r w:rsidR="005D0110" w:rsidRPr="00FA38B2">
        <w:rPr>
          <w:rFonts w:cs="Times New Roman"/>
          <w:szCs w:val="24"/>
        </w:rPr>
        <w:t>postsecondary educatio</w:t>
      </w:r>
      <w:r w:rsidR="00DC5508" w:rsidRPr="00FA38B2">
        <w:rPr>
          <w:rFonts w:cs="Times New Roman"/>
          <w:szCs w:val="24"/>
        </w:rPr>
        <w:t>n</w:t>
      </w:r>
      <w:r w:rsidR="005D0110" w:rsidRPr="00FA38B2">
        <w:rPr>
          <w:rFonts w:cs="Times New Roman"/>
          <w:szCs w:val="24"/>
        </w:rPr>
        <w:t xml:space="preserve"> can be a tool to climb the metaphorical ladder of soci</w:t>
      </w:r>
      <w:r w:rsidR="006C3E2E" w:rsidRPr="00FA38B2">
        <w:rPr>
          <w:rFonts w:cs="Times New Roman"/>
          <w:szCs w:val="24"/>
        </w:rPr>
        <w:t>oeconomic status (Bourdieu, 1984</w:t>
      </w:r>
      <w:r w:rsidR="005D0110" w:rsidRPr="00FA38B2">
        <w:rPr>
          <w:rFonts w:cs="Times New Roman"/>
          <w:szCs w:val="24"/>
        </w:rPr>
        <w:t xml:space="preserve">). </w:t>
      </w:r>
    </w:p>
    <w:p w14:paraId="39196F31" w14:textId="232D3F90" w:rsidR="00D839C6" w:rsidRPr="00FA38B2" w:rsidRDefault="005D0110" w:rsidP="0015321A">
      <w:pPr>
        <w:rPr>
          <w:rFonts w:cs="Times New Roman"/>
          <w:szCs w:val="24"/>
        </w:rPr>
      </w:pPr>
      <w:r w:rsidRPr="00FA38B2">
        <w:rPr>
          <w:rFonts w:cs="Times New Roman"/>
          <w:szCs w:val="24"/>
        </w:rPr>
        <w:tab/>
      </w:r>
      <w:r w:rsidR="00D90DFC">
        <w:rPr>
          <w:rFonts w:cs="Times New Roman"/>
          <w:szCs w:val="24"/>
        </w:rPr>
        <w:t>Promise</w:t>
      </w:r>
      <w:r w:rsidR="00D243EE" w:rsidRPr="00FA38B2">
        <w:rPr>
          <w:rFonts w:cs="Times New Roman"/>
          <w:szCs w:val="24"/>
        </w:rPr>
        <w:t xml:space="preserve"> programs, </w:t>
      </w:r>
      <w:r w:rsidR="00884F8C" w:rsidRPr="00FA38B2">
        <w:rPr>
          <w:rFonts w:cs="Times New Roman"/>
          <w:szCs w:val="24"/>
        </w:rPr>
        <w:t xml:space="preserve">which began as small </w:t>
      </w:r>
      <w:r w:rsidR="00390EC2" w:rsidRPr="00FA38B2">
        <w:rPr>
          <w:rFonts w:cs="Times New Roman"/>
          <w:szCs w:val="24"/>
        </w:rPr>
        <w:t>community-based</w:t>
      </w:r>
      <w:r w:rsidR="00D243EE" w:rsidRPr="00FA38B2">
        <w:rPr>
          <w:rFonts w:cs="Times New Roman"/>
          <w:szCs w:val="24"/>
        </w:rPr>
        <w:t xml:space="preserve"> scholarships</w:t>
      </w:r>
      <w:r w:rsidR="00D90DFC">
        <w:rPr>
          <w:rFonts w:cs="Times New Roman"/>
          <w:szCs w:val="24"/>
        </w:rPr>
        <w:t xml:space="preserve"> that provide free college</w:t>
      </w:r>
      <w:r w:rsidR="00D243EE" w:rsidRPr="00FA38B2">
        <w:rPr>
          <w:rFonts w:cs="Times New Roman"/>
          <w:szCs w:val="24"/>
        </w:rPr>
        <w:t>, are quickly becoming the next progressive postsecondary education reform touted by policymakers</w:t>
      </w:r>
      <w:r w:rsidR="00884F8C" w:rsidRPr="00FA38B2">
        <w:rPr>
          <w:rFonts w:cs="Times New Roman"/>
          <w:szCs w:val="24"/>
        </w:rPr>
        <w:t xml:space="preserve"> at state and federal</w:t>
      </w:r>
      <w:r w:rsidR="00D243EE" w:rsidRPr="00FA38B2">
        <w:rPr>
          <w:rFonts w:cs="Times New Roman"/>
          <w:szCs w:val="24"/>
        </w:rPr>
        <w:t xml:space="preserve"> levels. </w:t>
      </w:r>
      <w:r w:rsidRPr="00FA38B2">
        <w:rPr>
          <w:rFonts w:cs="Times New Roman"/>
          <w:szCs w:val="24"/>
        </w:rPr>
        <w:t>Scholars and politicians alike point to the United States approaching a pivotal crossroads regarding postsecondary education policy (Bell, 2020;</w:t>
      </w:r>
      <w:r w:rsidR="00D51347" w:rsidRPr="00FA38B2">
        <w:rPr>
          <w:rFonts w:cs="Times New Roman"/>
          <w:szCs w:val="24"/>
        </w:rPr>
        <w:t xml:space="preserve"> </w:t>
      </w:r>
      <w:proofErr w:type="spellStart"/>
      <w:r w:rsidR="00FD4307" w:rsidRPr="00FA38B2">
        <w:rPr>
          <w:rFonts w:cs="Times New Roman"/>
          <w:szCs w:val="24"/>
        </w:rPr>
        <w:t>Callender</w:t>
      </w:r>
      <w:proofErr w:type="spellEnd"/>
      <w:r w:rsidR="00FD4307" w:rsidRPr="00FA38B2">
        <w:rPr>
          <w:rFonts w:cs="Times New Roman"/>
          <w:szCs w:val="24"/>
        </w:rPr>
        <w:t xml:space="preserve"> &amp; Mason, 2017; </w:t>
      </w:r>
      <w:proofErr w:type="spellStart"/>
      <w:r w:rsidR="00326FFE" w:rsidRPr="00FA38B2">
        <w:rPr>
          <w:rFonts w:cs="Times New Roman"/>
          <w:szCs w:val="24"/>
        </w:rPr>
        <w:t>Perna</w:t>
      </w:r>
      <w:proofErr w:type="spellEnd"/>
      <w:r w:rsidR="00D839C6" w:rsidRPr="00FA38B2">
        <w:rPr>
          <w:rFonts w:cs="Times New Roman"/>
          <w:szCs w:val="24"/>
        </w:rPr>
        <w:t xml:space="preserve"> et al.</w:t>
      </w:r>
      <w:r w:rsidR="00326FFE" w:rsidRPr="00FA38B2">
        <w:rPr>
          <w:rFonts w:cs="Times New Roman"/>
          <w:szCs w:val="24"/>
        </w:rPr>
        <w:t>, 2017</w:t>
      </w:r>
      <w:r w:rsidRPr="00FA38B2">
        <w:rPr>
          <w:rFonts w:cs="Times New Roman"/>
          <w:szCs w:val="24"/>
        </w:rPr>
        <w:t>). The cost to attend college has increased exponentially since the early 1990s</w:t>
      </w:r>
      <w:r w:rsidR="000A555F" w:rsidRPr="00FA38B2">
        <w:rPr>
          <w:rFonts w:cs="Times New Roman"/>
          <w:szCs w:val="24"/>
        </w:rPr>
        <w:t xml:space="preserve"> due to </w:t>
      </w:r>
      <w:r w:rsidR="0032174F" w:rsidRPr="00FA38B2">
        <w:rPr>
          <w:rFonts w:cs="Times New Roman"/>
          <w:szCs w:val="24"/>
        </w:rPr>
        <w:t>substantial decreases in state and federal appropriations</w:t>
      </w:r>
      <w:r w:rsidR="000A555F" w:rsidRPr="00FA38B2">
        <w:rPr>
          <w:rFonts w:cs="Times New Roman"/>
          <w:szCs w:val="24"/>
        </w:rPr>
        <w:t xml:space="preserve"> (Geiger, 2015). </w:t>
      </w:r>
      <w:r w:rsidR="00005544" w:rsidRPr="00FA38B2">
        <w:rPr>
          <w:rFonts w:cs="Times New Roman"/>
          <w:szCs w:val="24"/>
        </w:rPr>
        <w:t xml:space="preserve">Tuition increases </w:t>
      </w:r>
      <w:r w:rsidR="00305165" w:rsidRPr="00FA38B2">
        <w:rPr>
          <w:rFonts w:cs="Times New Roman"/>
          <w:szCs w:val="24"/>
        </w:rPr>
        <w:t>resulted in a ballooning</w:t>
      </w:r>
      <w:r w:rsidR="00BB5748" w:rsidRPr="00FA38B2">
        <w:rPr>
          <w:rFonts w:cs="Times New Roman"/>
          <w:szCs w:val="24"/>
        </w:rPr>
        <w:t xml:space="preserve"> student loan debt</w:t>
      </w:r>
      <w:r w:rsidR="00583822" w:rsidRPr="00FA38B2">
        <w:rPr>
          <w:rFonts w:cs="Times New Roman"/>
          <w:szCs w:val="24"/>
        </w:rPr>
        <w:t>. I</w:t>
      </w:r>
      <w:r w:rsidR="00305165" w:rsidRPr="00FA38B2">
        <w:rPr>
          <w:rFonts w:cs="Times New Roman"/>
          <w:szCs w:val="24"/>
        </w:rPr>
        <w:t>n 2019, the U.S. consumer balance for student loans was over $1.5 trillion, making it the second highest form of debt in the country (</w:t>
      </w:r>
      <w:proofErr w:type="spellStart"/>
      <w:r w:rsidR="00305165" w:rsidRPr="00FA38B2">
        <w:rPr>
          <w:rFonts w:cs="Times New Roman"/>
          <w:szCs w:val="24"/>
        </w:rPr>
        <w:t>Cilluffo</w:t>
      </w:r>
      <w:proofErr w:type="spellEnd"/>
      <w:r w:rsidR="00305165" w:rsidRPr="00FA38B2">
        <w:rPr>
          <w:rFonts w:cs="Times New Roman"/>
          <w:szCs w:val="24"/>
        </w:rPr>
        <w:t>, 2019)</w:t>
      </w:r>
      <w:r w:rsidR="00FA59C9" w:rsidRPr="00FA38B2">
        <w:rPr>
          <w:rFonts w:cs="Times New Roman"/>
          <w:szCs w:val="24"/>
        </w:rPr>
        <w:t xml:space="preserve">. </w:t>
      </w:r>
      <w:r w:rsidR="004739A5" w:rsidRPr="00FA38B2">
        <w:rPr>
          <w:rFonts w:cs="Times New Roman"/>
          <w:szCs w:val="24"/>
        </w:rPr>
        <w:t>While student loans “are likely to remain a central component of our higher education system for the foreseeable future” (</w:t>
      </w:r>
      <w:proofErr w:type="spellStart"/>
      <w:r w:rsidR="004739A5" w:rsidRPr="00FA38B2">
        <w:rPr>
          <w:rFonts w:cs="Times New Roman"/>
          <w:szCs w:val="24"/>
        </w:rPr>
        <w:t>Perna</w:t>
      </w:r>
      <w:proofErr w:type="spellEnd"/>
      <w:r w:rsidR="00D839C6" w:rsidRPr="00FA38B2">
        <w:rPr>
          <w:rFonts w:cs="Times New Roman"/>
          <w:szCs w:val="24"/>
        </w:rPr>
        <w:t xml:space="preserve"> et al.</w:t>
      </w:r>
      <w:r w:rsidR="004739A5" w:rsidRPr="00FA38B2">
        <w:rPr>
          <w:rFonts w:cs="Times New Roman"/>
          <w:szCs w:val="24"/>
        </w:rPr>
        <w:t xml:space="preserve">, 2017, </w:t>
      </w:r>
      <w:r w:rsidR="004739A5" w:rsidRPr="00FA38B2">
        <w:rPr>
          <w:rFonts w:cs="Times New Roman"/>
          <w:szCs w:val="24"/>
        </w:rPr>
        <w:lastRenderedPageBreak/>
        <w:t xml:space="preserve">p. 274), </w:t>
      </w:r>
      <w:r w:rsidR="00D90DFC">
        <w:rPr>
          <w:rFonts w:cs="Times New Roman"/>
          <w:szCs w:val="24"/>
        </w:rPr>
        <w:t>promise</w:t>
      </w:r>
      <w:r w:rsidR="004739A5" w:rsidRPr="00FA38B2">
        <w:rPr>
          <w:rFonts w:cs="Times New Roman"/>
          <w:szCs w:val="24"/>
        </w:rPr>
        <w:t xml:space="preserve"> programs and the feasibility of </w:t>
      </w:r>
      <w:r w:rsidR="00CE67BD" w:rsidRPr="00FA38B2">
        <w:rPr>
          <w:rFonts w:cs="Times New Roman"/>
          <w:szCs w:val="24"/>
        </w:rPr>
        <w:t>eliminating tuition has</w:t>
      </w:r>
      <w:r w:rsidR="004739A5" w:rsidRPr="00FA38B2">
        <w:rPr>
          <w:rFonts w:cs="Times New Roman"/>
          <w:szCs w:val="24"/>
        </w:rPr>
        <w:t xml:space="preserve"> gone from an afterthought to a driving policy initiative in the United States.</w:t>
      </w:r>
      <w:r w:rsidR="000548A5" w:rsidRPr="00FA38B2">
        <w:rPr>
          <w:rFonts w:cs="Times New Roman"/>
          <w:szCs w:val="24"/>
        </w:rPr>
        <w:t xml:space="preserve"> </w:t>
      </w:r>
    </w:p>
    <w:p w14:paraId="2376BDF6" w14:textId="33104EAB" w:rsidR="004B6734" w:rsidRPr="00FA38B2" w:rsidRDefault="00735D55" w:rsidP="0015321A">
      <w:pPr>
        <w:rPr>
          <w:rFonts w:cs="Times New Roman"/>
          <w:szCs w:val="24"/>
        </w:rPr>
      </w:pPr>
      <w:r w:rsidRPr="00FA38B2">
        <w:rPr>
          <w:rFonts w:cs="Times New Roman"/>
          <w:szCs w:val="24"/>
        </w:rPr>
        <w:tab/>
      </w:r>
      <w:r w:rsidR="00B809B4" w:rsidRPr="00FA38B2">
        <w:rPr>
          <w:rFonts w:cs="Times New Roman"/>
          <w:szCs w:val="24"/>
        </w:rPr>
        <w:t xml:space="preserve">Concurrently, </w:t>
      </w:r>
      <w:r w:rsidR="00C66D91" w:rsidRPr="00FA38B2">
        <w:rPr>
          <w:rFonts w:cs="Times New Roman"/>
          <w:szCs w:val="24"/>
        </w:rPr>
        <w:t xml:space="preserve">policymakers </w:t>
      </w:r>
      <w:r w:rsidR="00E92266" w:rsidRPr="00FA38B2">
        <w:rPr>
          <w:rFonts w:cs="Times New Roman"/>
          <w:szCs w:val="24"/>
        </w:rPr>
        <w:t xml:space="preserve">and education advocates </w:t>
      </w:r>
      <w:r w:rsidR="00C66D91" w:rsidRPr="00FA38B2">
        <w:rPr>
          <w:rFonts w:cs="Times New Roman"/>
          <w:szCs w:val="24"/>
        </w:rPr>
        <w:t xml:space="preserve">push for increased postsecondary credential and degree attainment in the United States. </w:t>
      </w:r>
      <w:r w:rsidR="004D7765" w:rsidRPr="00FA38B2">
        <w:rPr>
          <w:rFonts w:cs="Times New Roman"/>
          <w:szCs w:val="24"/>
        </w:rPr>
        <w:t xml:space="preserve">The Lumina Foundation, for example, partners with states to </w:t>
      </w:r>
      <w:r w:rsidR="000654D6" w:rsidRPr="00FA38B2">
        <w:rPr>
          <w:rFonts w:cs="Times New Roman"/>
          <w:szCs w:val="24"/>
        </w:rPr>
        <w:t>assist with creating</w:t>
      </w:r>
      <w:r w:rsidR="004D7765" w:rsidRPr="00FA38B2">
        <w:rPr>
          <w:rFonts w:cs="Times New Roman"/>
          <w:szCs w:val="24"/>
        </w:rPr>
        <w:t xml:space="preserve"> strategies and policies that will help increase credential and degree attainment to 60% in the U</w:t>
      </w:r>
      <w:r w:rsidR="00B97205" w:rsidRPr="00FA38B2">
        <w:rPr>
          <w:rFonts w:cs="Times New Roman"/>
          <w:szCs w:val="24"/>
        </w:rPr>
        <w:t xml:space="preserve">nited </w:t>
      </w:r>
      <w:r w:rsidR="004D7765" w:rsidRPr="00FA38B2">
        <w:rPr>
          <w:rFonts w:cs="Times New Roman"/>
          <w:szCs w:val="24"/>
        </w:rPr>
        <w:t>S</w:t>
      </w:r>
      <w:r w:rsidR="00B97205" w:rsidRPr="00FA38B2">
        <w:rPr>
          <w:rFonts w:cs="Times New Roman"/>
          <w:szCs w:val="24"/>
        </w:rPr>
        <w:t>tates</w:t>
      </w:r>
      <w:r w:rsidR="004D7765" w:rsidRPr="00FA38B2">
        <w:rPr>
          <w:rFonts w:cs="Times New Roman"/>
          <w:szCs w:val="24"/>
        </w:rPr>
        <w:t xml:space="preserve"> by 2027. The foundation specifically</w:t>
      </w:r>
      <w:r w:rsidR="00E92266" w:rsidRPr="00FA38B2">
        <w:rPr>
          <w:rFonts w:cs="Times New Roman"/>
          <w:szCs w:val="24"/>
        </w:rPr>
        <w:t xml:space="preserve"> aims</w:t>
      </w:r>
      <w:r w:rsidR="004D7765" w:rsidRPr="00FA38B2">
        <w:rPr>
          <w:rFonts w:cs="Times New Roman"/>
          <w:szCs w:val="24"/>
        </w:rPr>
        <w:t xml:space="preserve"> to increase postsecondary attainment among </w:t>
      </w:r>
      <w:r w:rsidR="00B809B4" w:rsidRPr="00FA38B2">
        <w:rPr>
          <w:rFonts w:cs="Times New Roman"/>
          <w:szCs w:val="24"/>
        </w:rPr>
        <w:t>adult learners</w:t>
      </w:r>
      <w:r w:rsidR="004D7765" w:rsidRPr="00FA38B2">
        <w:rPr>
          <w:rFonts w:cs="Times New Roman"/>
          <w:szCs w:val="24"/>
        </w:rPr>
        <w:t xml:space="preserve"> and within postsecondary career and technical education programs (Lumina Foundation, 2019</w:t>
      </w:r>
      <w:r w:rsidR="00E92266" w:rsidRPr="00FA38B2">
        <w:rPr>
          <w:rFonts w:cs="Times New Roman"/>
          <w:szCs w:val="24"/>
        </w:rPr>
        <w:t>)</w:t>
      </w:r>
      <w:r w:rsidR="004D7765" w:rsidRPr="00FA38B2">
        <w:rPr>
          <w:rFonts w:cs="Times New Roman"/>
          <w:szCs w:val="24"/>
        </w:rPr>
        <w:t xml:space="preserve">. </w:t>
      </w:r>
      <w:r w:rsidR="005557E1" w:rsidRPr="00FA38B2">
        <w:rPr>
          <w:rFonts w:cs="Times New Roman"/>
          <w:szCs w:val="24"/>
        </w:rPr>
        <w:t xml:space="preserve">The Lumina Foundation’s goals align with the trajectory of postsecondary education in the United States broadly. There is a </w:t>
      </w:r>
      <w:r w:rsidR="00A21E50" w:rsidRPr="00FA38B2">
        <w:rPr>
          <w:rFonts w:cs="Times New Roman"/>
          <w:szCs w:val="24"/>
        </w:rPr>
        <w:t>growing movement in the United States to promote and support programs focused on postsecondary career and technical education</w:t>
      </w:r>
      <w:r w:rsidR="005557E1" w:rsidRPr="00FA38B2">
        <w:rPr>
          <w:rFonts w:cs="Times New Roman"/>
          <w:szCs w:val="24"/>
        </w:rPr>
        <w:t xml:space="preserve"> </w:t>
      </w:r>
      <w:r w:rsidR="001A04AE" w:rsidRPr="00FA38B2">
        <w:rPr>
          <w:rFonts w:cs="Times New Roman"/>
          <w:szCs w:val="24"/>
        </w:rPr>
        <w:t>(Cowan et al., 2020)</w:t>
      </w:r>
      <w:r w:rsidR="005557E1" w:rsidRPr="00FA38B2">
        <w:rPr>
          <w:rFonts w:cs="Times New Roman"/>
          <w:szCs w:val="24"/>
        </w:rPr>
        <w:t xml:space="preserve"> and to increase postsecondary credential attainment among adult students and students who have some college credit but no degree (</w:t>
      </w:r>
      <w:proofErr w:type="spellStart"/>
      <w:r w:rsidR="000654D6" w:rsidRPr="00FA38B2">
        <w:rPr>
          <w:rFonts w:cs="Times New Roman"/>
          <w:szCs w:val="24"/>
        </w:rPr>
        <w:t>Soares</w:t>
      </w:r>
      <w:proofErr w:type="spellEnd"/>
      <w:r w:rsidR="000654D6" w:rsidRPr="00FA38B2">
        <w:rPr>
          <w:rFonts w:cs="Times New Roman"/>
          <w:szCs w:val="24"/>
        </w:rPr>
        <w:t xml:space="preserve"> et al., 2017)</w:t>
      </w:r>
      <w:r w:rsidR="00A21E50" w:rsidRPr="00FA38B2">
        <w:rPr>
          <w:rFonts w:cs="Times New Roman"/>
          <w:szCs w:val="24"/>
        </w:rPr>
        <w:t xml:space="preserve">. </w:t>
      </w:r>
    </w:p>
    <w:p w14:paraId="18440A5F" w14:textId="7CFEF1B2" w:rsidR="00590BE8" w:rsidRPr="00FA38B2" w:rsidRDefault="00A21E50" w:rsidP="0015321A">
      <w:pPr>
        <w:ind w:firstLine="720"/>
        <w:rPr>
          <w:rFonts w:cs="Times New Roman"/>
          <w:szCs w:val="24"/>
        </w:rPr>
      </w:pPr>
      <w:r w:rsidRPr="00FA38B2">
        <w:rPr>
          <w:rFonts w:cs="Times New Roman"/>
          <w:szCs w:val="24"/>
        </w:rPr>
        <w:t xml:space="preserve">While there is a growing body of research exploring the effectiveness of </w:t>
      </w:r>
      <w:r w:rsidR="00D90DFC">
        <w:rPr>
          <w:rFonts w:cs="Times New Roman"/>
          <w:szCs w:val="24"/>
        </w:rPr>
        <w:t>promise</w:t>
      </w:r>
      <w:r w:rsidRPr="00FA38B2">
        <w:rPr>
          <w:rFonts w:cs="Times New Roman"/>
          <w:szCs w:val="24"/>
        </w:rPr>
        <w:t xml:space="preserve"> p</w:t>
      </w:r>
      <w:r w:rsidR="00D90DFC">
        <w:rPr>
          <w:rFonts w:cs="Times New Roman"/>
          <w:szCs w:val="24"/>
        </w:rPr>
        <w:t>rograms</w:t>
      </w:r>
      <w:r w:rsidRPr="00FA38B2">
        <w:rPr>
          <w:rFonts w:cs="Times New Roman"/>
          <w:szCs w:val="24"/>
        </w:rPr>
        <w:t xml:space="preserve"> as they are currently structured, there is no research exploring the effectiveness of </w:t>
      </w:r>
      <w:r w:rsidR="00D90DFC">
        <w:rPr>
          <w:rFonts w:cs="Times New Roman"/>
          <w:szCs w:val="24"/>
        </w:rPr>
        <w:t>promise</w:t>
      </w:r>
      <w:r w:rsidRPr="00FA38B2">
        <w:rPr>
          <w:rFonts w:cs="Times New Roman"/>
          <w:szCs w:val="24"/>
        </w:rPr>
        <w:t xml:space="preserve"> p</w:t>
      </w:r>
      <w:r w:rsidR="00D90DFC">
        <w:rPr>
          <w:rFonts w:cs="Times New Roman"/>
          <w:szCs w:val="24"/>
        </w:rPr>
        <w:t>rograms</w:t>
      </w:r>
      <w:r w:rsidRPr="00FA38B2">
        <w:rPr>
          <w:rFonts w:cs="Times New Roman"/>
          <w:szCs w:val="24"/>
        </w:rPr>
        <w:t xml:space="preserve"> available to adult students, nor is there research exploring how </w:t>
      </w:r>
      <w:r w:rsidR="00D90DFC">
        <w:rPr>
          <w:rFonts w:cs="Times New Roman"/>
          <w:szCs w:val="24"/>
        </w:rPr>
        <w:t>promise</w:t>
      </w:r>
      <w:r w:rsidRPr="00FA38B2">
        <w:rPr>
          <w:rFonts w:cs="Times New Roman"/>
          <w:szCs w:val="24"/>
        </w:rPr>
        <w:t xml:space="preserve"> p</w:t>
      </w:r>
      <w:r w:rsidR="00D90DFC">
        <w:rPr>
          <w:rFonts w:cs="Times New Roman"/>
          <w:szCs w:val="24"/>
        </w:rPr>
        <w:t>rograms</w:t>
      </w:r>
      <w:r w:rsidRPr="00FA38B2">
        <w:rPr>
          <w:rFonts w:cs="Times New Roman"/>
          <w:szCs w:val="24"/>
        </w:rPr>
        <w:t xml:space="preserve"> impact enrollment in postsecondary career and technical education.</w:t>
      </w:r>
      <w:r w:rsidR="004275BF" w:rsidRPr="00FA38B2">
        <w:rPr>
          <w:rFonts w:cs="Times New Roman"/>
          <w:szCs w:val="24"/>
        </w:rPr>
        <w:t xml:space="preserve"> </w:t>
      </w:r>
      <w:r w:rsidR="001E2C8F" w:rsidRPr="00FA38B2">
        <w:rPr>
          <w:rFonts w:cs="Times New Roman"/>
          <w:szCs w:val="24"/>
        </w:rPr>
        <w:t xml:space="preserve">This dissertation expands on the existing college promise program literature by exploring </w:t>
      </w:r>
      <w:r w:rsidR="004275BF" w:rsidRPr="00FA38B2">
        <w:rPr>
          <w:rFonts w:cs="Times New Roman"/>
          <w:szCs w:val="24"/>
        </w:rPr>
        <w:t xml:space="preserve">Tennessee’s </w:t>
      </w:r>
      <w:r w:rsidR="00FC1792" w:rsidRPr="00FA38B2">
        <w:rPr>
          <w:rFonts w:cs="Times New Roman"/>
          <w:szCs w:val="24"/>
        </w:rPr>
        <w:t>promise</w:t>
      </w:r>
      <w:r w:rsidR="004275BF" w:rsidRPr="00FA38B2">
        <w:rPr>
          <w:rFonts w:cs="Times New Roman"/>
          <w:szCs w:val="24"/>
        </w:rPr>
        <w:t xml:space="preserve"> policies</w:t>
      </w:r>
      <w:r w:rsidR="00590BE8" w:rsidRPr="00FA38B2">
        <w:rPr>
          <w:rFonts w:cs="Times New Roman"/>
          <w:szCs w:val="24"/>
        </w:rPr>
        <w:t xml:space="preserve"> in three separate studies</w:t>
      </w:r>
      <w:r w:rsidR="004275BF" w:rsidRPr="00FA38B2">
        <w:rPr>
          <w:rFonts w:cs="Times New Roman"/>
          <w:szCs w:val="24"/>
        </w:rPr>
        <w:t>.</w:t>
      </w:r>
      <w:r w:rsidR="00590BE8" w:rsidRPr="00FA38B2">
        <w:rPr>
          <w:rFonts w:cs="Times New Roman"/>
          <w:szCs w:val="24"/>
        </w:rPr>
        <w:t xml:space="preserve"> The first two studies explore Tennessee Reconnect, a </w:t>
      </w:r>
      <w:r w:rsidR="00DD68DC" w:rsidRPr="00FA38B2">
        <w:rPr>
          <w:rFonts w:cs="Times New Roman"/>
          <w:szCs w:val="24"/>
        </w:rPr>
        <w:t>statewide</w:t>
      </w:r>
      <w:r w:rsidR="00590BE8" w:rsidRPr="00FA38B2">
        <w:rPr>
          <w:rFonts w:cs="Times New Roman"/>
          <w:szCs w:val="24"/>
        </w:rPr>
        <w:t xml:space="preserve"> policy which provides tuition free college to adult students at all public and select private technical colleges, community colleges, and associate degree granting institutions in Tennessee. </w:t>
      </w:r>
      <w:r w:rsidR="00B97205" w:rsidRPr="00FA38B2">
        <w:rPr>
          <w:rFonts w:cs="Times New Roman"/>
          <w:szCs w:val="24"/>
        </w:rPr>
        <w:t>The first study</w:t>
      </w:r>
      <w:r w:rsidR="00590BE8" w:rsidRPr="00FA38B2">
        <w:rPr>
          <w:rFonts w:cs="Times New Roman"/>
          <w:szCs w:val="24"/>
        </w:rPr>
        <w:t xml:space="preserve"> qualitatively explores the lived experiences of students who used Tennessee Reconnect in its first two years. </w:t>
      </w:r>
      <w:r w:rsidR="00B97205" w:rsidRPr="00FA38B2">
        <w:rPr>
          <w:rFonts w:cs="Times New Roman"/>
          <w:szCs w:val="24"/>
        </w:rPr>
        <w:t>The second study</w:t>
      </w:r>
      <w:r w:rsidR="00590BE8" w:rsidRPr="00FA38B2">
        <w:rPr>
          <w:rFonts w:cs="Times New Roman"/>
          <w:szCs w:val="24"/>
        </w:rPr>
        <w:t xml:space="preserve"> deploys a differences-in-differences analysis</w:t>
      </w:r>
      <w:r w:rsidR="00B97205" w:rsidRPr="00FA38B2">
        <w:rPr>
          <w:rFonts w:cs="Times New Roman"/>
          <w:szCs w:val="24"/>
        </w:rPr>
        <w:t xml:space="preserve"> </w:t>
      </w:r>
      <w:r w:rsidR="00B97205" w:rsidRPr="00FA38B2">
        <w:rPr>
          <w:rFonts w:cs="Times New Roman"/>
          <w:szCs w:val="24"/>
        </w:rPr>
        <w:lastRenderedPageBreak/>
        <w:t>to</w:t>
      </w:r>
      <w:r w:rsidR="00590BE8" w:rsidRPr="00FA38B2">
        <w:rPr>
          <w:rFonts w:cs="Times New Roman"/>
          <w:szCs w:val="24"/>
        </w:rPr>
        <w:t xml:space="preserve"> analyze the causal effect of Tennessee </w:t>
      </w:r>
      <w:proofErr w:type="spellStart"/>
      <w:r w:rsidR="00590BE8" w:rsidRPr="00FA38B2">
        <w:rPr>
          <w:rFonts w:cs="Times New Roman"/>
          <w:szCs w:val="24"/>
        </w:rPr>
        <w:t>Reconnect’s</w:t>
      </w:r>
      <w:proofErr w:type="spellEnd"/>
      <w:r w:rsidR="00590BE8" w:rsidRPr="00FA38B2">
        <w:rPr>
          <w:rFonts w:cs="Times New Roman"/>
          <w:szCs w:val="24"/>
        </w:rPr>
        <w:t xml:space="preserve"> implementation on adult student enrollment behaviors. </w:t>
      </w:r>
    </w:p>
    <w:p w14:paraId="0AD00620" w14:textId="348CF9D6" w:rsidR="006B6412" w:rsidRPr="00FA38B2" w:rsidRDefault="00590BE8" w:rsidP="0015321A">
      <w:pPr>
        <w:ind w:firstLine="720"/>
        <w:rPr>
          <w:rFonts w:cs="Times New Roman"/>
          <w:szCs w:val="24"/>
        </w:rPr>
      </w:pPr>
      <w:r w:rsidRPr="00FA38B2">
        <w:rPr>
          <w:rFonts w:cs="Times New Roman"/>
          <w:szCs w:val="24"/>
        </w:rPr>
        <w:t xml:space="preserve">The third study included in this dissertation explores </w:t>
      </w:r>
      <w:r w:rsidR="001A04AE" w:rsidRPr="00FA38B2">
        <w:rPr>
          <w:rFonts w:cs="Times New Roman"/>
          <w:szCs w:val="24"/>
        </w:rPr>
        <w:t>whether</w:t>
      </w:r>
      <w:r w:rsidRPr="00FA38B2">
        <w:rPr>
          <w:rFonts w:cs="Times New Roman"/>
          <w:szCs w:val="24"/>
        </w:rPr>
        <w:t xml:space="preserve"> Tennessee Promise - the original </w:t>
      </w:r>
      <w:r w:rsidR="002852FB" w:rsidRPr="00FA38B2">
        <w:rPr>
          <w:rFonts w:cs="Times New Roman"/>
          <w:szCs w:val="24"/>
        </w:rPr>
        <w:t>free college</w:t>
      </w:r>
      <w:r w:rsidRPr="00FA38B2">
        <w:rPr>
          <w:rFonts w:cs="Times New Roman"/>
          <w:szCs w:val="24"/>
        </w:rPr>
        <w:t xml:space="preserve"> policy in the state that limits eligib</w:t>
      </w:r>
      <w:r w:rsidR="001A04AE" w:rsidRPr="00FA38B2">
        <w:rPr>
          <w:rFonts w:cs="Times New Roman"/>
          <w:szCs w:val="24"/>
        </w:rPr>
        <w:t>ility to high school graduates -</w:t>
      </w:r>
      <w:r w:rsidRPr="00FA38B2">
        <w:rPr>
          <w:rFonts w:cs="Times New Roman"/>
          <w:szCs w:val="24"/>
        </w:rPr>
        <w:t xml:space="preserve"> impacted enrollment in postsecondary career and technical education programs in the state. I again deploy</w:t>
      </w:r>
      <w:r w:rsidR="003016C3" w:rsidRPr="00FA38B2">
        <w:rPr>
          <w:rFonts w:cs="Times New Roman"/>
          <w:szCs w:val="24"/>
        </w:rPr>
        <w:t>ed</w:t>
      </w:r>
      <w:r w:rsidRPr="00FA38B2">
        <w:rPr>
          <w:rFonts w:cs="Times New Roman"/>
          <w:szCs w:val="24"/>
        </w:rPr>
        <w:t xml:space="preserve"> a differences-in-differences analysis to analyze the effect of Tennessee Promise on student participation in postsecondary career and technical education programs. Findings from these studies build on the growing body of scholarship on promise programs and specifically contribute to the non-existent literature on promise programs created for adult students and the effect of statewide promise programs on postsecondary career and technical education</w:t>
      </w:r>
      <w:r w:rsidR="001A04AE" w:rsidRPr="00FA38B2">
        <w:rPr>
          <w:rFonts w:cs="Times New Roman"/>
          <w:szCs w:val="24"/>
        </w:rPr>
        <w:t xml:space="preserve"> participation</w:t>
      </w:r>
      <w:r w:rsidRPr="00FA38B2">
        <w:rPr>
          <w:rFonts w:cs="Times New Roman"/>
          <w:szCs w:val="24"/>
        </w:rPr>
        <w:t>. Implications from all three studies are discussed in chapter 5, where I provide recommendations for future research, policy, and practice.</w:t>
      </w:r>
    </w:p>
    <w:p w14:paraId="5E1DE0C7" w14:textId="4F03B731" w:rsidR="00FB748A" w:rsidRPr="00FA38B2" w:rsidRDefault="00DD68DC" w:rsidP="0015321A">
      <w:pPr>
        <w:pStyle w:val="Heading2"/>
        <w:jc w:val="center"/>
        <w:rPr>
          <w:rFonts w:cs="Times New Roman"/>
          <w:szCs w:val="24"/>
        </w:rPr>
      </w:pPr>
      <w:bookmarkStart w:id="1" w:name="_Toc70181477"/>
      <w:r w:rsidRPr="00FA38B2">
        <w:rPr>
          <w:rFonts w:cs="Times New Roman"/>
          <w:szCs w:val="24"/>
        </w:rPr>
        <w:t>Background: Statew</w:t>
      </w:r>
      <w:r w:rsidR="00FB748A" w:rsidRPr="00FA38B2">
        <w:rPr>
          <w:rFonts w:cs="Times New Roman"/>
          <w:szCs w:val="24"/>
        </w:rPr>
        <w:t>ide Promise Programs</w:t>
      </w:r>
      <w:bookmarkEnd w:id="1"/>
    </w:p>
    <w:p w14:paraId="28EE9DA5" w14:textId="37BEA483" w:rsidR="00865FEE" w:rsidRPr="00FA38B2" w:rsidRDefault="00DD68DC" w:rsidP="0015321A">
      <w:pPr>
        <w:ind w:firstLine="720"/>
        <w:rPr>
          <w:rFonts w:cs="Times New Roman"/>
          <w:szCs w:val="24"/>
        </w:rPr>
      </w:pPr>
      <w:r w:rsidRPr="00FA38B2">
        <w:rPr>
          <w:rFonts w:cs="Times New Roman"/>
          <w:szCs w:val="24"/>
        </w:rPr>
        <w:t>Statewide</w:t>
      </w:r>
      <w:r w:rsidR="00865FEE" w:rsidRPr="00FA38B2">
        <w:rPr>
          <w:rFonts w:cs="Times New Roman"/>
          <w:szCs w:val="24"/>
        </w:rPr>
        <w:t xml:space="preserve"> promise programs </w:t>
      </w:r>
      <w:r w:rsidR="00217EEB" w:rsidRPr="00FA38B2">
        <w:rPr>
          <w:rFonts w:cs="Times New Roman"/>
          <w:szCs w:val="24"/>
        </w:rPr>
        <w:t>are a recent developme</w:t>
      </w:r>
      <w:r w:rsidR="00FC5590" w:rsidRPr="00FA38B2">
        <w:rPr>
          <w:rFonts w:cs="Times New Roman"/>
          <w:szCs w:val="24"/>
        </w:rPr>
        <w:t>nt</w:t>
      </w:r>
      <w:r w:rsidR="007F2DC5" w:rsidRPr="00FA38B2">
        <w:rPr>
          <w:rFonts w:cs="Times New Roman"/>
          <w:szCs w:val="24"/>
        </w:rPr>
        <w:t xml:space="preserve"> (Davidson et al</w:t>
      </w:r>
      <w:r w:rsidR="001A04AE" w:rsidRPr="00FA38B2">
        <w:rPr>
          <w:rFonts w:cs="Times New Roman"/>
          <w:szCs w:val="24"/>
        </w:rPr>
        <w:t xml:space="preserve">., 2020). </w:t>
      </w:r>
      <w:r w:rsidR="00CD14AB" w:rsidRPr="00FA38B2">
        <w:rPr>
          <w:rFonts w:cs="Times New Roman"/>
          <w:szCs w:val="24"/>
        </w:rPr>
        <w:t xml:space="preserve">There is limited research exploring </w:t>
      </w:r>
      <w:r w:rsidRPr="00FA38B2">
        <w:rPr>
          <w:rFonts w:cs="Times New Roman"/>
          <w:szCs w:val="24"/>
        </w:rPr>
        <w:t>statewide</w:t>
      </w:r>
      <w:r w:rsidR="00CD14AB" w:rsidRPr="00FA38B2">
        <w:rPr>
          <w:rFonts w:cs="Times New Roman"/>
          <w:szCs w:val="24"/>
        </w:rPr>
        <w:t xml:space="preserve"> college promise programs, and a need for further </w:t>
      </w:r>
      <w:r w:rsidR="00263C2F" w:rsidRPr="00FA38B2">
        <w:rPr>
          <w:rFonts w:cs="Times New Roman"/>
          <w:szCs w:val="24"/>
        </w:rPr>
        <w:t xml:space="preserve">investigation </w:t>
      </w:r>
      <w:r w:rsidR="00FC1792" w:rsidRPr="00FA38B2">
        <w:rPr>
          <w:rFonts w:cs="Times New Roman"/>
          <w:szCs w:val="24"/>
        </w:rPr>
        <w:t>into how variations in the state policies impact student outcomes</w:t>
      </w:r>
      <w:r w:rsidR="00CA62C6" w:rsidRPr="00FA38B2">
        <w:rPr>
          <w:rFonts w:cs="Times New Roman"/>
          <w:szCs w:val="24"/>
        </w:rPr>
        <w:t xml:space="preserve"> (</w:t>
      </w:r>
      <w:proofErr w:type="spellStart"/>
      <w:r w:rsidR="00CA62C6" w:rsidRPr="00FA38B2">
        <w:rPr>
          <w:rFonts w:cs="Times New Roman"/>
          <w:szCs w:val="24"/>
        </w:rPr>
        <w:t>Perna</w:t>
      </w:r>
      <w:proofErr w:type="spellEnd"/>
      <w:r w:rsidR="00CA62C6" w:rsidRPr="00FA38B2">
        <w:rPr>
          <w:rFonts w:cs="Times New Roman"/>
          <w:szCs w:val="24"/>
        </w:rPr>
        <w:t xml:space="preserve"> &amp; Smith, 2020). This section provides a brief review of the limited research exploring statewide promise programs. </w:t>
      </w:r>
    </w:p>
    <w:p w14:paraId="3ECA3226" w14:textId="798519DD" w:rsidR="002A5954" w:rsidRPr="00FA38B2" w:rsidRDefault="00587D35" w:rsidP="0015321A">
      <w:pPr>
        <w:rPr>
          <w:rFonts w:cs="Times New Roman"/>
          <w:szCs w:val="24"/>
        </w:rPr>
      </w:pPr>
      <w:r w:rsidRPr="00FA38B2">
        <w:rPr>
          <w:rFonts w:cs="Times New Roman"/>
          <w:szCs w:val="24"/>
        </w:rPr>
        <w:tab/>
      </w:r>
      <w:r w:rsidR="002A5954" w:rsidRPr="00FA38B2">
        <w:rPr>
          <w:rFonts w:cs="Times New Roman"/>
          <w:szCs w:val="24"/>
        </w:rPr>
        <w:t xml:space="preserve">Davidson, Ashby-King, and </w:t>
      </w:r>
      <w:proofErr w:type="spellStart"/>
      <w:r w:rsidR="002A5954" w:rsidRPr="00FA38B2">
        <w:rPr>
          <w:rFonts w:cs="Times New Roman"/>
          <w:szCs w:val="24"/>
        </w:rPr>
        <w:t>Sciulli</w:t>
      </w:r>
      <w:proofErr w:type="spellEnd"/>
      <w:r w:rsidR="002A5954" w:rsidRPr="00FA38B2">
        <w:rPr>
          <w:rFonts w:cs="Times New Roman"/>
          <w:szCs w:val="24"/>
        </w:rPr>
        <w:t xml:space="preserve"> (20</w:t>
      </w:r>
      <w:r w:rsidR="003F6C16" w:rsidRPr="00FA38B2">
        <w:rPr>
          <w:rFonts w:cs="Times New Roman"/>
          <w:szCs w:val="24"/>
        </w:rPr>
        <w:t>20</w:t>
      </w:r>
      <w:r w:rsidR="002A5954" w:rsidRPr="00FA38B2">
        <w:rPr>
          <w:rFonts w:cs="Times New Roman"/>
          <w:szCs w:val="24"/>
        </w:rPr>
        <w:t xml:space="preserve">) defined statewide </w:t>
      </w:r>
      <w:r w:rsidR="003016C3" w:rsidRPr="00FA38B2">
        <w:rPr>
          <w:rFonts w:cs="Times New Roman"/>
          <w:szCs w:val="24"/>
        </w:rPr>
        <w:t xml:space="preserve">promise </w:t>
      </w:r>
      <w:r w:rsidR="002A5954" w:rsidRPr="00FA38B2">
        <w:rPr>
          <w:rFonts w:cs="Times New Roman"/>
          <w:szCs w:val="24"/>
        </w:rPr>
        <w:t xml:space="preserve">programs as programs which are only offered in the entire state and programs which do not have high merit-based requirements. </w:t>
      </w:r>
      <w:r w:rsidR="00800165" w:rsidRPr="00FA38B2">
        <w:rPr>
          <w:rFonts w:cs="Times New Roman"/>
          <w:szCs w:val="24"/>
        </w:rPr>
        <w:t>In their analysis, the authors identified</w:t>
      </w:r>
      <w:r w:rsidR="002A5954" w:rsidRPr="00FA38B2">
        <w:rPr>
          <w:rFonts w:cs="Times New Roman"/>
          <w:szCs w:val="24"/>
        </w:rPr>
        <w:t xml:space="preserve"> 13 </w:t>
      </w:r>
      <w:r w:rsidR="00DD68DC" w:rsidRPr="00FA38B2">
        <w:rPr>
          <w:rFonts w:cs="Times New Roman"/>
          <w:szCs w:val="24"/>
        </w:rPr>
        <w:t>statewide</w:t>
      </w:r>
      <w:r w:rsidR="00800165" w:rsidRPr="00FA38B2">
        <w:rPr>
          <w:rFonts w:cs="Times New Roman"/>
          <w:szCs w:val="24"/>
        </w:rPr>
        <w:t xml:space="preserve"> </w:t>
      </w:r>
      <w:r w:rsidR="002A5954" w:rsidRPr="00FA38B2">
        <w:rPr>
          <w:rFonts w:cs="Times New Roman"/>
          <w:szCs w:val="24"/>
        </w:rPr>
        <w:t xml:space="preserve">programs </w:t>
      </w:r>
      <w:r w:rsidR="00800165" w:rsidRPr="00FA38B2">
        <w:rPr>
          <w:rFonts w:cs="Times New Roman"/>
          <w:szCs w:val="24"/>
        </w:rPr>
        <w:t xml:space="preserve">which </w:t>
      </w:r>
      <w:r w:rsidR="002A5954" w:rsidRPr="00FA38B2">
        <w:rPr>
          <w:rFonts w:cs="Times New Roman"/>
          <w:szCs w:val="24"/>
        </w:rPr>
        <w:t xml:space="preserve">shared five common traits: </w:t>
      </w:r>
      <w:r w:rsidR="003016C3" w:rsidRPr="00FA38B2">
        <w:rPr>
          <w:rFonts w:cs="Times New Roman"/>
          <w:szCs w:val="24"/>
        </w:rPr>
        <w:t>(a) the program r</w:t>
      </w:r>
      <w:r w:rsidR="002A5954" w:rsidRPr="00FA38B2">
        <w:rPr>
          <w:rFonts w:cs="Times New Roman"/>
          <w:szCs w:val="24"/>
        </w:rPr>
        <w:t>equire</w:t>
      </w:r>
      <w:r w:rsidR="00800165" w:rsidRPr="00FA38B2">
        <w:rPr>
          <w:rFonts w:cs="Times New Roman"/>
          <w:szCs w:val="24"/>
        </w:rPr>
        <w:t>d</w:t>
      </w:r>
      <w:r w:rsidR="002A5954" w:rsidRPr="00FA38B2">
        <w:rPr>
          <w:rFonts w:cs="Times New Roman"/>
          <w:szCs w:val="24"/>
        </w:rPr>
        <w:t xml:space="preserve"> </w:t>
      </w:r>
      <w:r w:rsidR="003016C3" w:rsidRPr="00FA38B2">
        <w:rPr>
          <w:rFonts w:cs="Times New Roman"/>
          <w:szCs w:val="24"/>
        </w:rPr>
        <w:t xml:space="preserve">a </w:t>
      </w:r>
      <w:r w:rsidR="002A5954" w:rsidRPr="00FA38B2">
        <w:rPr>
          <w:rFonts w:cs="Times New Roman"/>
          <w:szCs w:val="24"/>
        </w:rPr>
        <w:t xml:space="preserve">high school diploma or GED, </w:t>
      </w:r>
      <w:r w:rsidR="003016C3" w:rsidRPr="00FA38B2">
        <w:rPr>
          <w:rFonts w:cs="Times New Roman"/>
          <w:szCs w:val="24"/>
        </w:rPr>
        <w:t>(b) the program r</w:t>
      </w:r>
      <w:r w:rsidR="002A5954" w:rsidRPr="00FA38B2">
        <w:rPr>
          <w:rFonts w:cs="Times New Roman"/>
          <w:szCs w:val="24"/>
        </w:rPr>
        <w:t>equire</w:t>
      </w:r>
      <w:r w:rsidR="00800165" w:rsidRPr="00FA38B2">
        <w:rPr>
          <w:rFonts w:cs="Times New Roman"/>
          <w:szCs w:val="24"/>
        </w:rPr>
        <w:t>d</w:t>
      </w:r>
      <w:r w:rsidR="002A5954" w:rsidRPr="00FA38B2">
        <w:rPr>
          <w:rFonts w:cs="Times New Roman"/>
          <w:szCs w:val="24"/>
        </w:rPr>
        <w:t xml:space="preserve"> FAFSA application, </w:t>
      </w:r>
      <w:r w:rsidR="003016C3" w:rsidRPr="00FA38B2">
        <w:rPr>
          <w:rFonts w:cs="Times New Roman"/>
          <w:szCs w:val="24"/>
        </w:rPr>
        <w:t>(c) the program was a l</w:t>
      </w:r>
      <w:r w:rsidR="002A5954" w:rsidRPr="00FA38B2">
        <w:rPr>
          <w:rFonts w:cs="Times New Roman"/>
          <w:szCs w:val="24"/>
        </w:rPr>
        <w:t xml:space="preserve">ast-dollar program, </w:t>
      </w:r>
      <w:r w:rsidR="003016C3" w:rsidRPr="00FA38B2">
        <w:rPr>
          <w:rFonts w:cs="Times New Roman"/>
          <w:szCs w:val="24"/>
        </w:rPr>
        <w:t>(d) the program u</w:t>
      </w:r>
      <w:r w:rsidR="002A5954" w:rsidRPr="00FA38B2">
        <w:rPr>
          <w:rFonts w:cs="Times New Roman"/>
          <w:szCs w:val="24"/>
        </w:rPr>
        <w:t>se</w:t>
      </w:r>
      <w:r w:rsidR="00800165" w:rsidRPr="00FA38B2">
        <w:rPr>
          <w:rFonts w:cs="Times New Roman"/>
          <w:szCs w:val="24"/>
        </w:rPr>
        <w:t>d</w:t>
      </w:r>
      <w:r w:rsidR="002A5954" w:rsidRPr="00FA38B2">
        <w:rPr>
          <w:rFonts w:cs="Times New Roman"/>
          <w:szCs w:val="24"/>
        </w:rPr>
        <w:t xml:space="preserve"> </w:t>
      </w:r>
      <w:r w:rsidR="002A5954" w:rsidRPr="00FA38B2">
        <w:rPr>
          <w:rFonts w:cs="Times New Roman"/>
          <w:szCs w:val="24"/>
        </w:rPr>
        <w:lastRenderedPageBreak/>
        <w:t xml:space="preserve">state appropriations and funds, and </w:t>
      </w:r>
      <w:r w:rsidR="00A26AE7" w:rsidRPr="00FA38B2">
        <w:rPr>
          <w:rFonts w:cs="Times New Roman"/>
          <w:szCs w:val="24"/>
        </w:rPr>
        <w:t>(e) the program r</w:t>
      </w:r>
      <w:r w:rsidR="002A5954" w:rsidRPr="00FA38B2">
        <w:rPr>
          <w:rFonts w:cs="Times New Roman"/>
          <w:szCs w:val="24"/>
        </w:rPr>
        <w:t>equire</w:t>
      </w:r>
      <w:r w:rsidR="00800165" w:rsidRPr="00FA38B2">
        <w:rPr>
          <w:rFonts w:cs="Times New Roman"/>
          <w:szCs w:val="24"/>
        </w:rPr>
        <w:t>d</w:t>
      </w:r>
      <w:r w:rsidR="002A5954" w:rsidRPr="00FA38B2">
        <w:rPr>
          <w:rFonts w:cs="Times New Roman"/>
          <w:szCs w:val="24"/>
        </w:rPr>
        <w:t xml:space="preserve"> satisfactory academic progress (Davidson</w:t>
      </w:r>
      <w:r w:rsidR="004F121A" w:rsidRPr="00FA38B2">
        <w:rPr>
          <w:rFonts w:cs="Times New Roman"/>
          <w:szCs w:val="24"/>
        </w:rPr>
        <w:t xml:space="preserve"> et al.</w:t>
      </w:r>
      <w:r w:rsidR="00FC1792" w:rsidRPr="00FA38B2">
        <w:rPr>
          <w:rFonts w:cs="Times New Roman"/>
          <w:szCs w:val="24"/>
        </w:rPr>
        <w:t>, 2020</w:t>
      </w:r>
      <w:r w:rsidR="002A5954" w:rsidRPr="00FA38B2">
        <w:rPr>
          <w:rFonts w:cs="Times New Roman"/>
          <w:szCs w:val="24"/>
        </w:rPr>
        <w:t>).</w:t>
      </w:r>
      <w:r w:rsidR="00114BBC" w:rsidRPr="00FA38B2">
        <w:rPr>
          <w:rFonts w:cs="Times New Roman"/>
          <w:szCs w:val="24"/>
        </w:rPr>
        <w:t xml:space="preserve"> T</w:t>
      </w:r>
      <w:r w:rsidR="002A5954" w:rsidRPr="00FA38B2">
        <w:rPr>
          <w:rFonts w:cs="Times New Roman"/>
          <w:szCs w:val="24"/>
        </w:rPr>
        <w:t xml:space="preserve">he authors concluded that </w:t>
      </w:r>
      <w:r w:rsidR="00DD68DC" w:rsidRPr="00FA38B2">
        <w:rPr>
          <w:rFonts w:cs="Times New Roman"/>
          <w:szCs w:val="24"/>
        </w:rPr>
        <w:t>statewide</w:t>
      </w:r>
      <w:r w:rsidR="002B44BD" w:rsidRPr="00FA38B2">
        <w:rPr>
          <w:rFonts w:cs="Times New Roman"/>
          <w:szCs w:val="24"/>
        </w:rPr>
        <w:t xml:space="preserve"> </w:t>
      </w:r>
      <w:r w:rsidR="002A5954" w:rsidRPr="00FA38B2">
        <w:rPr>
          <w:rFonts w:cs="Times New Roman"/>
          <w:szCs w:val="24"/>
        </w:rPr>
        <w:t>promise programs may increase postsecondary access and participation</w:t>
      </w:r>
      <w:r w:rsidR="00D9624E" w:rsidRPr="00FA38B2">
        <w:rPr>
          <w:rFonts w:cs="Times New Roman"/>
          <w:szCs w:val="24"/>
        </w:rPr>
        <w:t>, although the last-dollar structure limited the financial benefit to low-income students</w:t>
      </w:r>
      <w:r w:rsidR="009C041F" w:rsidRPr="00FA38B2">
        <w:rPr>
          <w:rFonts w:cs="Times New Roman"/>
          <w:szCs w:val="24"/>
        </w:rPr>
        <w:t xml:space="preserve"> </w:t>
      </w:r>
      <w:r w:rsidR="002A5954" w:rsidRPr="00FA38B2">
        <w:rPr>
          <w:rFonts w:cs="Times New Roman"/>
          <w:szCs w:val="24"/>
        </w:rPr>
        <w:t>(Davidson</w:t>
      </w:r>
      <w:r w:rsidR="004F121A" w:rsidRPr="00FA38B2">
        <w:rPr>
          <w:rFonts w:cs="Times New Roman"/>
          <w:szCs w:val="24"/>
        </w:rPr>
        <w:t xml:space="preserve"> et al.</w:t>
      </w:r>
      <w:r w:rsidR="00FC1792" w:rsidRPr="00FA38B2">
        <w:rPr>
          <w:rFonts w:cs="Times New Roman"/>
          <w:szCs w:val="24"/>
        </w:rPr>
        <w:t>, 2020</w:t>
      </w:r>
      <w:r w:rsidR="002A5954" w:rsidRPr="00FA38B2">
        <w:rPr>
          <w:rFonts w:cs="Times New Roman"/>
          <w:szCs w:val="24"/>
        </w:rPr>
        <w:t xml:space="preserve">). </w:t>
      </w:r>
    </w:p>
    <w:p w14:paraId="3347D182" w14:textId="49CD85A2" w:rsidR="00BC72A6" w:rsidRPr="00FA38B2" w:rsidRDefault="001A11BD" w:rsidP="0015321A">
      <w:pPr>
        <w:rPr>
          <w:rFonts w:cs="Times New Roman"/>
          <w:szCs w:val="24"/>
        </w:rPr>
      </w:pPr>
      <w:r w:rsidRPr="00FA38B2">
        <w:rPr>
          <w:rFonts w:cs="Times New Roman"/>
          <w:szCs w:val="24"/>
        </w:rPr>
        <w:tab/>
      </w:r>
      <w:r w:rsidR="00BC72A6" w:rsidRPr="00FA38B2">
        <w:rPr>
          <w:rFonts w:cs="Times New Roman"/>
          <w:szCs w:val="24"/>
        </w:rPr>
        <w:t>Similarly, in his 2019 analysis of the New York Excelsior program</w:t>
      </w:r>
      <w:r w:rsidR="00CE67BD" w:rsidRPr="00FA38B2">
        <w:rPr>
          <w:rFonts w:cs="Times New Roman"/>
          <w:szCs w:val="24"/>
        </w:rPr>
        <w:t>,</w:t>
      </w:r>
      <w:r w:rsidR="00BC72A6" w:rsidRPr="00FA38B2">
        <w:rPr>
          <w:rFonts w:cs="Times New Roman"/>
          <w:szCs w:val="24"/>
        </w:rPr>
        <w:t xml:space="preserve"> Nguyen found that the positive effects of the promise program may be mitigated by its strict requirements. The author stated that:</w:t>
      </w:r>
    </w:p>
    <w:p w14:paraId="653D2CB6" w14:textId="77777777" w:rsidR="00BC72A6" w:rsidRPr="00FA38B2" w:rsidRDefault="00BC72A6" w:rsidP="0015321A">
      <w:pPr>
        <w:ind w:left="720"/>
        <w:rPr>
          <w:rFonts w:cs="Times New Roman"/>
          <w:szCs w:val="24"/>
        </w:rPr>
      </w:pPr>
      <w:r w:rsidRPr="00FA38B2">
        <w:rPr>
          <w:rFonts w:cs="Times New Roman"/>
          <w:szCs w:val="24"/>
        </w:rPr>
        <w:t>While Excelsior provides New Yorkers with a highly cost-effective option for pursing postsecondary education, the program involves an intricate set of binding academic and institutional requirements, the existence of which is likely to deter at least a portion of students who could have enjoyed the benefits of such a large-scale tuition reduction program. (Nguyen, 2019, p. 584)</w:t>
      </w:r>
    </w:p>
    <w:p w14:paraId="76E91CB4" w14:textId="33EFD0A8" w:rsidR="00BC72A6" w:rsidRPr="00FA38B2" w:rsidRDefault="00BC72A6" w:rsidP="0015321A">
      <w:pPr>
        <w:rPr>
          <w:rFonts w:cs="Times New Roman"/>
          <w:szCs w:val="24"/>
        </w:rPr>
      </w:pPr>
      <w:r w:rsidRPr="00FA38B2">
        <w:rPr>
          <w:rFonts w:cs="Times New Roman"/>
          <w:szCs w:val="24"/>
        </w:rPr>
        <w:t xml:space="preserve">The Excelsior program began in 2017 and provides a last-dollar scholarship to all public State University of New York and City University of New York institutions </w:t>
      </w:r>
      <w:r w:rsidR="00A26AE7" w:rsidRPr="00FA38B2">
        <w:rPr>
          <w:rFonts w:cs="Times New Roman"/>
          <w:szCs w:val="24"/>
        </w:rPr>
        <w:t>for</w:t>
      </w:r>
      <w:r w:rsidRPr="00FA38B2">
        <w:rPr>
          <w:rFonts w:cs="Times New Roman"/>
          <w:szCs w:val="24"/>
        </w:rPr>
        <w:t xml:space="preserve"> students who have a household income under $125,000 and are residents of the state. However, the program requires that students finish their education (associate or bachelor’s degrees) in </w:t>
      </w:r>
      <w:r w:rsidR="00A26AE7" w:rsidRPr="00FA38B2">
        <w:rPr>
          <w:rFonts w:cs="Times New Roman"/>
          <w:szCs w:val="24"/>
        </w:rPr>
        <w:t xml:space="preserve">two to </w:t>
      </w:r>
      <w:proofErr w:type="spellStart"/>
      <w:r w:rsidR="00A26AE7" w:rsidRPr="00FA38B2">
        <w:rPr>
          <w:rFonts w:cs="Times New Roman"/>
          <w:szCs w:val="24"/>
        </w:rPr>
        <w:t>four</w:t>
      </w:r>
      <w:r w:rsidRPr="00FA38B2">
        <w:rPr>
          <w:rFonts w:cs="Times New Roman"/>
          <w:szCs w:val="24"/>
        </w:rPr>
        <w:t>years</w:t>
      </w:r>
      <w:proofErr w:type="spellEnd"/>
      <w:r w:rsidRPr="00FA38B2">
        <w:rPr>
          <w:rFonts w:cs="Times New Roman"/>
          <w:szCs w:val="24"/>
        </w:rPr>
        <w:t xml:space="preserve">, and that students stay in New York to work for the same number of years they used the scholarship. If they fail to meet this requirement, their scholarships are converted to loans (Quinlan, 2017). The program has been criticized for limiting career prospects of students in the military, students pursuing graduate or professional school, and those with better career prospects outside of the state (Billings, 2018). </w:t>
      </w:r>
    </w:p>
    <w:p w14:paraId="67FF1661" w14:textId="2D76AA44" w:rsidR="00BC72A6" w:rsidRPr="00FA38B2" w:rsidRDefault="00BC72A6" w:rsidP="0015321A">
      <w:pPr>
        <w:rPr>
          <w:rFonts w:cs="Times New Roman"/>
          <w:szCs w:val="24"/>
        </w:rPr>
      </w:pPr>
      <w:r w:rsidRPr="00FA38B2">
        <w:rPr>
          <w:rFonts w:cs="Times New Roman"/>
          <w:szCs w:val="24"/>
        </w:rPr>
        <w:tab/>
        <w:t xml:space="preserve">Washington State’s College Bound Scholarship program places less strict stipulations on its promise program for low-income students – do not be convicted of a felony in high school </w:t>
      </w:r>
      <w:r w:rsidRPr="00FA38B2">
        <w:rPr>
          <w:rFonts w:cs="Times New Roman"/>
          <w:szCs w:val="24"/>
        </w:rPr>
        <w:lastRenderedPageBreak/>
        <w:t>(</w:t>
      </w:r>
      <w:proofErr w:type="spellStart"/>
      <w:r w:rsidRPr="00FA38B2">
        <w:rPr>
          <w:rFonts w:cs="Times New Roman"/>
          <w:szCs w:val="24"/>
        </w:rPr>
        <w:t>Goldhaber</w:t>
      </w:r>
      <w:proofErr w:type="spellEnd"/>
      <w:r w:rsidR="004F121A" w:rsidRPr="00FA38B2">
        <w:rPr>
          <w:rFonts w:cs="Times New Roman"/>
          <w:szCs w:val="24"/>
        </w:rPr>
        <w:t xml:space="preserve"> et al.</w:t>
      </w:r>
      <w:r w:rsidRPr="00FA38B2">
        <w:rPr>
          <w:rFonts w:cs="Times New Roman"/>
          <w:szCs w:val="24"/>
        </w:rPr>
        <w:t xml:space="preserve">, 2019). Yet, in their 2019 study </w:t>
      </w:r>
      <w:proofErr w:type="spellStart"/>
      <w:r w:rsidRPr="00FA38B2">
        <w:rPr>
          <w:rFonts w:cs="Times New Roman"/>
          <w:szCs w:val="24"/>
        </w:rPr>
        <w:t>Goldhaber</w:t>
      </w:r>
      <w:proofErr w:type="spellEnd"/>
      <w:r w:rsidRPr="00FA38B2">
        <w:rPr>
          <w:rFonts w:cs="Times New Roman"/>
          <w:szCs w:val="24"/>
        </w:rPr>
        <w:t xml:space="preserve"> et al. found insignificant evidence that th</w:t>
      </w:r>
      <w:r w:rsidR="00CE67BD" w:rsidRPr="00FA38B2">
        <w:rPr>
          <w:rFonts w:cs="Times New Roman"/>
          <w:szCs w:val="24"/>
        </w:rPr>
        <w:t>e scholarship program had a positive effect on low-income student enrollment and persistence</w:t>
      </w:r>
      <w:r w:rsidRPr="00FA38B2">
        <w:rPr>
          <w:rFonts w:cs="Times New Roman"/>
          <w:szCs w:val="24"/>
        </w:rPr>
        <w:t>. The authors observed that students were often confused about eligibility requirements of the program, if the program covered costs beyond the Pell Grant, and the sustainability of the program (</w:t>
      </w:r>
      <w:proofErr w:type="spellStart"/>
      <w:r w:rsidRPr="00FA38B2">
        <w:rPr>
          <w:rFonts w:cs="Times New Roman"/>
          <w:szCs w:val="24"/>
        </w:rPr>
        <w:t>Goldhaber</w:t>
      </w:r>
      <w:proofErr w:type="spellEnd"/>
      <w:r w:rsidR="004F121A" w:rsidRPr="00FA38B2">
        <w:rPr>
          <w:rFonts w:cs="Times New Roman"/>
          <w:szCs w:val="24"/>
        </w:rPr>
        <w:t xml:space="preserve"> et al.</w:t>
      </w:r>
      <w:r w:rsidRPr="00FA38B2">
        <w:rPr>
          <w:rFonts w:cs="Times New Roman"/>
          <w:szCs w:val="24"/>
        </w:rPr>
        <w:t xml:space="preserve">, 2019). </w:t>
      </w:r>
    </w:p>
    <w:p w14:paraId="474D638D" w14:textId="3D8ED0DE" w:rsidR="00CA62C6" w:rsidRPr="00FA38B2" w:rsidRDefault="00BC72A6" w:rsidP="0015321A">
      <w:pPr>
        <w:rPr>
          <w:rFonts w:cs="Times New Roman"/>
          <w:szCs w:val="24"/>
        </w:rPr>
      </w:pPr>
      <w:r w:rsidRPr="00FA38B2">
        <w:rPr>
          <w:rFonts w:cs="Times New Roman"/>
          <w:szCs w:val="24"/>
        </w:rPr>
        <w:tab/>
        <w:t>A promise program which has yielded encouraging results i</w:t>
      </w:r>
      <w:r w:rsidR="00A26AE7" w:rsidRPr="00FA38B2">
        <w:rPr>
          <w:rFonts w:cs="Times New Roman"/>
          <w:szCs w:val="24"/>
        </w:rPr>
        <w:t>s</w:t>
      </w:r>
      <w:r w:rsidRPr="00FA38B2">
        <w:rPr>
          <w:rFonts w:cs="Times New Roman"/>
          <w:szCs w:val="24"/>
        </w:rPr>
        <w:t xml:space="preserve"> the Tennessee </w:t>
      </w:r>
      <w:r w:rsidR="00C96C98" w:rsidRPr="00FA38B2">
        <w:rPr>
          <w:rFonts w:cs="Times New Roman"/>
          <w:szCs w:val="24"/>
        </w:rPr>
        <w:t>Promise</w:t>
      </w:r>
      <w:r w:rsidR="00CA62C6" w:rsidRPr="00FA38B2">
        <w:rPr>
          <w:rFonts w:cs="Times New Roman"/>
          <w:szCs w:val="24"/>
        </w:rPr>
        <w:t>. In their 2016</w:t>
      </w:r>
      <w:r w:rsidRPr="00FA38B2">
        <w:rPr>
          <w:rFonts w:cs="Times New Roman"/>
          <w:szCs w:val="24"/>
        </w:rPr>
        <w:t xml:space="preserve"> analysis of Knox Achieve</w:t>
      </w:r>
      <w:r w:rsidR="00CA62C6" w:rsidRPr="00FA38B2">
        <w:rPr>
          <w:rFonts w:cs="Times New Roman"/>
          <w:szCs w:val="24"/>
        </w:rPr>
        <w:t xml:space="preserve">s, the precursor program to the </w:t>
      </w:r>
      <w:r w:rsidRPr="00FA38B2">
        <w:rPr>
          <w:rFonts w:cs="Times New Roman"/>
          <w:szCs w:val="24"/>
        </w:rPr>
        <w:t>T</w:t>
      </w:r>
      <w:r w:rsidR="00A26AE7" w:rsidRPr="00FA38B2">
        <w:rPr>
          <w:rFonts w:cs="Times New Roman"/>
          <w:szCs w:val="24"/>
        </w:rPr>
        <w:t>ennessee</w:t>
      </w:r>
      <w:r w:rsidRPr="00FA38B2">
        <w:rPr>
          <w:rFonts w:cs="Times New Roman"/>
          <w:szCs w:val="24"/>
        </w:rPr>
        <w:t xml:space="preserve"> Promise, Carruthers and Fox found that participating in the program was strongly associated with</w:t>
      </w:r>
      <w:r w:rsidR="008577B7" w:rsidRPr="00FA38B2">
        <w:rPr>
          <w:rFonts w:cs="Times New Roman"/>
          <w:szCs w:val="24"/>
        </w:rPr>
        <w:t xml:space="preserve"> increased</w:t>
      </w:r>
      <w:r w:rsidRPr="00FA38B2">
        <w:rPr>
          <w:rFonts w:cs="Times New Roman"/>
          <w:szCs w:val="24"/>
        </w:rPr>
        <w:t xml:space="preserve"> high school graduation rates and college enrollment. The success of the Knox Achieves promise program resulted in </w:t>
      </w:r>
      <w:r w:rsidR="002C439A" w:rsidRPr="00FA38B2">
        <w:rPr>
          <w:rFonts w:cs="Times New Roman"/>
          <w:szCs w:val="24"/>
        </w:rPr>
        <w:t>a</w:t>
      </w:r>
      <w:r w:rsidRPr="00FA38B2">
        <w:rPr>
          <w:rFonts w:cs="Times New Roman"/>
          <w:szCs w:val="24"/>
        </w:rPr>
        <w:t xml:space="preserve"> </w:t>
      </w:r>
      <w:r w:rsidR="002C439A" w:rsidRPr="00FA38B2">
        <w:rPr>
          <w:rFonts w:cs="Times New Roman"/>
          <w:szCs w:val="24"/>
        </w:rPr>
        <w:t>statewide expansion of the</w:t>
      </w:r>
      <w:r w:rsidR="00CE67BD" w:rsidRPr="00FA38B2">
        <w:rPr>
          <w:rFonts w:cs="Times New Roman"/>
          <w:szCs w:val="24"/>
        </w:rPr>
        <w:t xml:space="preserve"> Tennessee Promise in 2015.</w:t>
      </w:r>
      <w:r w:rsidR="00C91C25" w:rsidRPr="00FA38B2">
        <w:rPr>
          <w:rFonts w:cs="Times New Roman"/>
          <w:szCs w:val="24"/>
        </w:rPr>
        <w:t xml:space="preserve"> </w:t>
      </w:r>
      <w:r w:rsidR="00CA62C6" w:rsidRPr="00FA38B2">
        <w:rPr>
          <w:rFonts w:cs="Times New Roman"/>
          <w:szCs w:val="24"/>
        </w:rPr>
        <w:t>Designed as a last-dollar scholarship policy, T</w:t>
      </w:r>
      <w:r w:rsidR="00A26AE7" w:rsidRPr="00FA38B2">
        <w:rPr>
          <w:rFonts w:cs="Times New Roman"/>
          <w:szCs w:val="24"/>
        </w:rPr>
        <w:t>ennessee</w:t>
      </w:r>
      <w:r w:rsidR="00CA62C6" w:rsidRPr="00FA38B2">
        <w:rPr>
          <w:rFonts w:cs="Times New Roman"/>
          <w:szCs w:val="24"/>
        </w:rPr>
        <w:t xml:space="preserve"> Promise covers full tuition and fees for any high school graduate who attends a public two-year college, including the Tennessee College of Applied Technology (TCAT), community colleges, and select private institutions. A primary goal stated by policymakers who implemented the T</w:t>
      </w:r>
      <w:r w:rsidR="00A26AE7" w:rsidRPr="00FA38B2">
        <w:rPr>
          <w:rFonts w:cs="Times New Roman"/>
          <w:szCs w:val="24"/>
        </w:rPr>
        <w:t>ennessee</w:t>
      </w:r>
      <w:r w:rsidR="00CA62C6" w:rsidRPr="00FA38B2">
        <w:rPr>
          <w:rFonts w:cs="Times New Roman"/>
          <w:szCs w:val="24"/>
        </w:rPr>
        <w:t xml:space="preserve"> Promise was to increase the amount of Tennessee students pursuing a postsecondary career and technical education credential or degree and to broaden access to postsecondary programs. </w:t>
      </w:r>
    </w:p>
    <w:p w14:paraId="014C2F51" w14:textId="42E391E5" w:rsidR="004C7F9D" w:rsidRPr="00FA38B2" w:rsidRDefault="00CA62C6" w:rsidP="0015321A">
      <w:pPr>
        <w:ind w:firstLine="720"/>
        <w:rPr>
          <w:rFonts w:cs="Times New Roman"/>
          <w:szCs w:val="24"/>
        </w:rPr>
      </w:pPr>
      <w:r w:rsidRPr="00FA38B2">
        <w:rPr>
          <w:rFonts w:cs="Times New Roman"/>
          <w:szCs w:val="24"/>
        </w:rPr>
        <w:t>The small but growing body of research on T</w:t>
      </w:r>
      <w:r w:rsidR="00A26AE7" w:rsidRPr="00FA38B2">
        <w:rPr>
          <w:rFonts w:cs="Times New Roman"/>
          <w:szCs w:val="24"/>
        </w:rPr>
        <w:t>ennessee</w:t>
      </w:r>
      <w:r w:rsidRPr="00FA38B2">
        <w:rPr>
          <w:rFonts w:cs="Times New Roman"/>
          <w:szCs w:val="24"/>
        </w:rPr>
        <w:t xml:space="preserve"> Promise is revealing, showing that the program may decrease dependence on student loans (</w:t>
      </w:r>
      <w:proofErr w:type="spellStart"/>
      <w:r w:rsidRPr="00FA38B2">
        <w:rPr>
          <w:rFonts w:cs="Times New Roman"/>
          <w:szCs w:val="24"/>
        </w:rPr>
        <w:t>Odle</w:t>
      </w:r>
      <w:proofErr w:type="spellEnd"/>
      <w:r w:rsidRPr="00FA38B2">
        <w:rPr>
          <w:rFonts w:cs="Times New Roman"/>
          <w:szCs w:val="24"/>
        </w:rPr>
        <w:t xml:space="preserve"> et al., </w:t>
      </w:r>
      <w:r w:rsidR="00232E7B">
        <w:rPr>
          <w:rFonts w:cs="Times New Roman"/>
          <w:szCs w:val="24"/>
        </w:rPr>
        <w:t>2021</w:t>
      </w:r>
      <w:r w:rsidRPr="00FA38B2">
        <w:rPr>
          <w:rFonts w:cs="Times New Roman"/>
          <w:szCs w:val="24"/>
        </w:rPr>
        <w:t>), increase postsecondary enrollment among Black and Hispanic students and students who would not have oth</w:t>
      </w:r>
      <w:r w:rsidR="002F1E47">
        <w:rPr>
          <w:rFonts w:cs="Times New Roman"/>
          <w:szCs w:val="24"/>
        </w:rPr>
        <w:t>erwise enrolled in college (Ngu</w:t>
      </w:r>
      <w:r w:rsidRPr="00FA38B2">
        <w:rPr>
          <w:rFonts w:cs="Times New Roman"/>
          <w:szCs w:val="24"/>
        </w:rPr>
        <w:t xml:space="preserve">yen, 2020), and divert enrollment away from private colleges and to public Promise eligible institutions (Bell, 2021). </w:t>
      </w:r>
      <w:r w:rsidR="00CE67BD" w:rsidRPr="00FA38B2">
        <w:rPr>
          <w:rFonts w:cs="Times New Roman"/>
          <w:szCs w:val="24"/>
        </w:rPr>
        <w:t xml:space="preserve">Nguyen (2020) </w:t>
      </w:r>
      <w:r w:rsidR="0090049C" w:rsidRPr="00FA38B2">
        <w:rPr>
          <w:rFonts w:cs="Times New Roman"/>
          <w:szCs w:val="24"/>
        </w:rPr>
        <w:t>deployed a difference</w:t>
      </w:r>
      <w:r w:rsidR="002852FB" w:rsidRPr="00FA38B2">
        <w:rPr>
          <w:rFonts w:cs="Times New Roman"/>
          <w:szCs w:val="24"/>
        </w:rPr>
        <w:t>s</w:t>
      </w:r>
      <w:r w:rsidR="0090049C" w:rsidRPr="00FA38B2">
        <w:rPr>
          <w:rFonts w:cs="Times New Roman"/>
          <w:szCs w:val="24"/>
        </w:rPr>
        <w:t>-in-difference</w:t>
      </w:r>
      <w:r w:rsidR="002852FB" w:rsidRPr="00FA38B2">
        <w:rPr>
          <w:rFonts w:cs="Times New Roman"/>
          <w:szCs w:val="24"/>
        </w:rPr>
        <w:t>s</w:t>
      </w:r>
      <w:r w:rsidR="0090049C" w:rsidRPr="00FA38B2">
        <w:rPr>
          <w:rFonts w:cs="Times New Roman"/>
          <w:szCs w:val="24"/>
        </w:rPr>
        <w:t xml:space="preserve"> estimation to analyze the Tennessee Promise and its impact on enrollment in the state. The study found that while implementation of the Tennessee Promise was associated with </w:t>
      </w:r>
      <w:r w:rsidR="0090049C" w:rsidRPr="00FA38B2">
        <w:rPr>
          <w:rFonts w:cs="Times New Roman"/>
          <w:szCs w:val="24"/>
        </w:rPr>
        <w:lastRenderedPageBreak/>
        <w:t xml:space="preserve">a 2% enrollment decrease in the state’s public four-year institutions, there was an enrollment increase of 40% of full-time first-time undergraduates at the state’s community colleges. </w:t>
      </w:r>
      <w:r w:rsidR="002A1245" w:rsidRPr="00FA38B2">
        <w:rPr>
          <w:rFonts w:cs="Times New Roman"/>
          <w:szCs w:val="24"/>
        </w:rPr>
        <w:t xml:space="preserve">He concludes by </w:t>
      </w:r>
      <w:r w:rsidR="005501AE" w:rsidRPr="00FA38B2">
        <w:rPr>
          <w:rFonts w:cs="Times New Roman"/>
          <w:szCs w:val="24"/>
        </w:rPr>
        <w:t>calling for further research which explores</w:t>
      </w:r>
      <w:r w:rsidR="00F33020" w:rsidRPr="00FA38B2">
        <w:rPr>
          <w:rFonts w:cs="Times New Roman"/>
          <w:szCs w:val="24"/>
        </w:rPr>
        <w:t xml:space="preserve"> the effects of </w:t>
      </w:r>
      <w:r w:rsidR="005501AE" w:rsidRPr="00FA38B2">
        <w:rPr>
          <w:rFonts w:cs="Times New Roman"/>
          <w:szCs w:val="24"/>
        </w:rPr>
        <w:t xml:space="preserve">components </w:t>
      </w:r>
      <w:r w:rsidR="00F33020" w:rsidRPr="00FA38B2">
        <w:rPr>
          <w:rFonts w:cs="Times New Roman"/>
          <w:szCs w:val="24"/>
        </w:rPr>
        <w:t xml:space="preserve">other than free tuition </w:t>
      </w:r>
      <w:r w:rsidR="005501AE" w:rsidRPr="00FA38B2">
        <w:rPr>
          <w:rFonts w:cs="Times New Roman"/>
          <w:szCs w:val="24"/>
        </w:rPr>
        <w:t>of the Tennessee Promise</w:t>
      </w:r>
      <w:r w:rsidR="00F33020" w:rsidRPr="00FA38B2">
        <w:rPr>
          <w:rFonts w:cs="Times New Roman"/>
          <w:szCs w:val="24"/>
        </w:rPr>
        <w:t xml:space="preserve">, such as </w:t>
      </w:r>
      <w:r w:rsidR="000D3380" w:rsidRPr="00FA38B2">
        <w:rPr>
          <w:rFonts w:cs="Times New Roman"/>
          <w:szCs w:val="24"/>
        </w:rPr>
        <w:t>the program’s built-in mentoring component (Ngu</w:t>
      </w:r>
      <w:r w:rsidR="00C91C25" w:rsidRPr="00FA38B2">
        <w:rPr>
          <w:rFonts w:cs="Times New Roman"/>
          <w:szCs w:val="24"/>
        </w:rPr>
        <w:t>yen, 2020)</w:t>
      </w:r>
      <w:r w:rsidRPr="00FA38B2">
        <w:rPr>
          <w:rFonts w:cs="Times New Roman"/>
          <w:szCs w:val="24"/>
        </w:rPr>
        <w:t xml:space="preserve">. </w:t>
      </w:r>
    </w:p>
    <w:p w14:paraId="16309E30" w14:textId="1966B0AA" w:rsidR="00DF3702" w:rsidRPr="00FA38B2" w:rsidRDefault="004C7F9D" w:rsidP="0015321A">
      <w:pPr>
        <w:ind w:firstLine="720"/>
        <w:rPr>
          <w:rFonts w:cs="Times New Roman"/>
          <w:szCs w:val="24"/>
        </w:rPr>
      </w:pPr>
      <w:r w:rsidRPr="00FA38B2">
        <w:rPr>
          <w:rFonts w:cs="Times New Roman"/>
          <w:szCs w:val="24"/>
        </w:rPr>
        <w:t>In 2018, free college funding in Tennessee was made available to adult students through the Tennessee Reconnect.</w:t>
      </w:r>
      <w:r w:rsidR="00BF71B4" w:rsidRPr="00FA38B2">
        <w:rPr>
          <w:rFonts w:cs="Times New Roman"/>
          <w:szCs w:val="24"/>
        </w:rPr>
        <w:t xml:space="preserve"> </w:t>
      </w:r>
      <w:r w:rsidR="009D60A2" w:rsidRPr="00FA38B2">
        <w:rPr>
          <w:rFonts w:cs="Times New Roman"/>
          <w:szCs w:val="24"/>
        </w:rPr>
        <w:t>T</w:t>
      </w:r>
      <w:r w:rsidR="00A26AE7" w:rsidRPr="00FA38B2">
        <w:rPr>
          <w:rFonts w:cs="Times New Roman"/>
          <w:szCs w:val="24"/>
        </w:rPr>
        <w:t>ennessee</w:t>
      </w:r>
      <w:r w:rsidR="009D60A2" w:rsidRPr="00FA38B2">
        <w:rPr>
          <w:rFonts w:cs="Times New Roman"/>
          <w:szCs w:val="24"/>
        </w:rPr>
        <w:t xml:space="preserve"> Reconnect is one of two programs </w:t>
      </w:r>
      <w:r w:rsidR="00BF71B4" w:rsidRPr="00FA38B2">
        <w:rPr>
          <w:rFonts w:cs="Times New Roman"/>
          <w:szCs w:val="24"/>
        </w:rPr>
        <w:t>available to</w:t>
      </w:r>
      <w:r w:rsidR="009D60A2" w:rsidRPr="00FA38B2">
        <w:rPr>
          <w:rFonts w:cs="Times New Roman"/>
          <w:szCs w:val="24"/>
        </w:rPr>
        <w:t xml:space="preserve"> adult learners in the United States (Davidson et al., 2018). </w:t>
      </w:r>
      <w:r w:rsidRPr="00FA38B2">
        <w:rPr>
          <w:rFonts w:cs="Times New Roman"/>
          <w:szCs w:val="24"/>
        </w:rPr>
        <w:t>T</w:t>
      </w:r>
      <w:r w:rsidR="00A26AE7" w:rsidRPr="00FA38B2">
        <w:rPr>
          <w:rFonts w:cs="Times New Roman"/>
          <w:szCs w:val="24"/>
        </w:rPr>
        <w:t>ennessee</w:t>
      </w:r>
      <w:r w:rsidRPr="00FA38B2">
        <w:rPr>
          <w:rFonts w:cs="Times New Roman"/>
          <w:szCs w:val="24"/>
        </w:rPr>
        <w:t xml:space="preserve"> Reconnect is a last-dollar grant that pays the remaining balance of tuition and mandatory fees after other state and federal financial aid have been applied. The T</w:t>
      </w:r>
      <w:r w:rsidR="00A26AE7" w:rsidRPr="00FA38B2">
        <w:rPr>
          <w:rFonts w:cs="Times New Roman"/>
          <w:szCs w:val="24"/>
        </w:rPr>
        <w:t>ennessee</w:t>
      </w:r>
      <w:r w:rsidRPr="00FA38B2">
        <w:rPr>
          <w:rFonts w:cs="Times New Roman"/>
          <w:szCs w:val="24"/>
        </w:rPr>
        <w:t xml:space="preserve"> Reconnect is part of former Tennessee governor Bill Haslam’s Drive to 55 Initiative, which challenged the state to get 55% of Tennesseans to earn an associate degree or technical certificate by 2025. The grant may be applied toward the pursuit of an associate degree, technical degree, or technical diploma at a Tennessee community college</w:t>
      </w:r>
      <w:r w:rsidR="008B19B0" w:rsidRPr="00FA38B2">
        <w:rPr>
          <w:rFonts w:cs="Times New Roman"/>
          <w:szCs w:val="24"/>
        </w:rPr>
        <w:t>,</w:t>
      </w:r>
      <w:r w:rsidRPr="00FA38B2">
        <w:rPr>
          <w:rFonts w:cs="Times New Roman"/>
          <w:szCs w:val="24"/>
        </w:rPr>
        <w:t xml:space="preserve"> or technical college. It may also be used at an eligible public or private college or university in Tennessee towards an eligible associate degree.</w:t>
      </w:r>
      <w:r w:rsidR="00DF3702" w:rsidRPr="00FA38B2">
        <w:rPr>
          <w:rFonts w:cs="Times New Roman"/>
          <w:szCs w:val="24"/>
        </w:rPr>
        <w:t xml:space="preserve"> </w:t>
      </w:r>
      <w:r w:rsidR="00A27DE2" w:rsidRPr="00FA38B2">
        <w:rPr>
          <w:rFonts w:cs="Times New Roman"/>
          <w:szCs w:val="24"/>
        </w:rPr>
        <w:t>There is limited research on T</w:t>
      </w:r>
      <w:r w:rsidR="008B19B0" w:rsidRPr="00FA38B2">
        <w:rPr>
          <w:rFonts w:cs="Times New Roman"/>
          <w:szCs w:val="24"/>
        </w:rPr>
        <w:t>ennessee</w:t>
      </w:r>
      <w:r w:rsidR="00A27DE2" w:rsidRPr="00FA38B2">
        <w:rPr>
          <w:rFonts w:cs="Times New Roman"/>
          <w:szCs w:val="24"/>
        </w:rPr>
        <w:t xml:space="preserve"> Reconnect (Collom et al., forthcoming), and no studies establishing a causal relationship between T</w:t>
      </w:r>
      <w:r w:rsidR="008B19B0" w:rsidRPr="00FA38B2">
        <w:rPr>
          <w:rFonts w:cs="Times New Roman"/>
          <w:szCs w:val="24"/>
        </w:rPr>
        <w:t>ennessee</w:t>
      </w:r>
      <w:r w:rsidR="00A27DE2" w:rsidRPr="00FA38B2">
        <w:rPr>
          <w:rFonts w:cs="Times New Roman"/>
          <w:szCs w:val="24"/>
        </w:rPr>
        <w:t xml:space="preserve"> Reconnect and student outcomes. </w:t>
      </w:r>
    </w:p>
    <w:p w14:paraId="594D5179" w14:textId="298E1C95" w:rsidR="0064510C" w:rsidRPr="00FA38B2" w:rsidRDefault="0064510C" w:rsidP="0015321A">
      <w:pPr>
        <w:pStyle w:val="Heading2"/>
        <w:jc w:val="center"/>
        <w:rPr>
          <w:rFonts w:cs="Times New Roman"/>
          <w:szCs w:val="24"/>
        </w:rPr>
      </w:pPr>
      <w:bookmarkStart w:id="2" w:name="_Toc70181478"/>
      <w:r w:rsidRPr="00FA38B2">
        <w:rPr>
          <w:rFonts w:cs="Times New Roman"/>
          <w:szCs w:val="24"/>
        </w:rPr>
        <w:t>Statement of the Problem</w:t>
      </w:r>
      <w:bookmarkEnd w:id="2"/>
    </w:p>
    <w:p w14:paraId="34EB5569" w14:textId="37DB6E4F" w:rsidR="0053405F" w:rsidRPr="00FA38B2" w:rsidRDefault="00E201C5" w:rsidP="0015321A">
      <w:pPr>
        <w:tabs>
          <w:tab w:val="left" w:pos="720"/>
          <w:tab w:val="left" w:pos="1265"/>
        </w:tabs>
        <w:rPr>
          <w:rFonts w:cs="Times New Roman"/>
          <w:szCs w:val="24"/>
        </w:rPr>
      </w:pPr>
      <w:r w:rsidRPr="00FA38B2">
        <w:rPr>
          <w:rFonts w:cs="Times New Roman"/>
          <w:szCs w:val="24"/>
        </w:rPr>
        <w:tab/>
      </w:r>
      <w:r w:rsidR="0053405F" w:rsidRPr="00FA38B2">
        <w:rPr>
          <w:rFonts w:cs="Times New Roman"/>
          <w:szCs w:val="24"/>
        </w:rPr>
        <w:t xml:space="preserve">The existing literature regarding the Tennessee Promise is small but growing, while the literature on Tennessee Reconnect is small and lacks quantitative analysis </w:t>
      </w:r>
      <w:r w:rsidR="003076C6" w:rsidRPr="00FA38B2">
        <w:rPr>
          <w:rFonts w:cs="Times New Roman"/>
          <w:szCs w:val="24"/>
        </w:rPr>
        <w:t>causally linking the policy</w:t>
      </w:r>
      <w:r w:rsidR="0053405F" w:rsidRPr="00FA38B2">
        <w:rPr>
          <w:rFonts w:cs="Times New Roman"/>
          <w:szCs w:val="24"/>
        </w:rPr>
        <w:t xml:space="preserve"> to stated outcomes (Collom et al., forthcoming)</w:t>
      </w:r>
      <w:r w:rsidR="003076C6" w:rsidRPr="00FA38B2">
        <w:rPr>
          <w:rFonts w:cs="Times New Roman"/>
          <w:szCs w:val="24"/>
        </w:rPr>
        <w:t>. As more states adopt their own promise programs, it is essential that researchers explore all possible intentional and unintentional consequences of offering a largescale statewi</w:t>
      </w:r>
      <w:r w:rsidR="00A27DE2" w:rsidRPr="00FA38B2">
        <w:rPr>
          <w:rFonts w:cs="Times New Roman"/>
          <w:szCs w:val="24"/>
        </w:rPr>
        <w:t>de, last-dollar promise program</w:t>
      </w:r>
      <w:r w:rsidR="004D6505" w:rsidRPr="00FA38B2">
        <w:rPr>
          <w:rFonts w:cs="Times New Roman"/>
          <w:szCs w:val="24"/>
        </w:rPr>
        <w:t xml:space="preserve"> and whether the </w:t>
      </w:r>
      <w:r w:rsidR="004D6505" w:rsidRPr="00FA38B2">
        <w:rPr>
          <w:rFonts w:cs="Times New Roman"/>
          <w:szCs w:val="24"/>
        </w:rPr>
        <w:lastRenderedPageBreak/>
        <w:t>policies align with national attainment goals</w:t>
      </w:r>
      <w:r w:rsidR="003076C6" w:rsidRPr="00FA38B2">
        <w:rPr>
          <w:rFonts w:cs="Times New Roman"/>
          <w:szCs w:val="24"/>
        </w:rPr>
        <w:t xml:space="preserve">. </w:t>
      </w:r>
      <w:r w:rsidR="003B08DF" w:rsidRPr="00FA38B2">
        <w:rPr>
          <w:rFonts w:cs="Times New Roman"/>
          <w:szCs w:val="24"/>
        </w:rPr>
        <w:t>I</w:t>
      </w:r>
      <w:r w:rsidR="003076C6" w:rsidRPr="00FA38B2">
        <w:rPr>
          <w:rFonts w:cs="Times New Roman"/>
          <w:szCs w:val="24"/>
        </w:rPr>
        <w:t xml:space="preserve">t is currently unknown how </w:t>
      </w:r>
      <w:r w:rsidR="006B5921" w:rsidRPr="00FA38B2">
        <w:rPr>
          <w:rFonts w:cs="Times New Roman"/>
          <w:szCs w:val="24"/>
        </w:rPr>
        <w:t xml:space="preserve">expanding </w:t>
      </w:r>
      <w:r w:rsidR="003076C6" w:rsidRPr="00FA38B2">
        <w:rPr>
          <w:rFonts w:cs="Times New Roman"/>
          <w:szCs w:val="24"/>
        </w:rPr>
        <w:t>promise availability to adult students impacts adult student experiences and enrollme</w:t>
      </w:r>
      <w:r w:rsidR="003B08DF" w:rsidRPr="00FA38B2">
        <w:rPr>
          <w:rFonts w:cs="Times New Roman"/>
          <w:szCs w:val="24"/>
        </w:rPr>
        <w:t>nt</w:t>
      </w:r>
      <w:r w:rsidR="00A27DE2" w:rsidRPr="00FA38B2">
        <w:rPr>
          <w:rFonts w:cs="Times New Roman"/>
          <w:szCs w:val="24"/>
        </w:rPr>
        <w:t>,</w:t>
      </w:r>
      <w:r w:rsidR="003B08DF" w:rsidRPr="00FA38B2">
        <w:rPr>
          <w:rFonts w:cs="Times New Roman"/>
          <w:szCs w:val="24"/>
        </w:rPr>
        <w:t xml:space="preserve"> and whether promise program availability impacts enrollment in postsecondary </w:t>
      </w:r>
      <w:r w:rsidR="00A27DE2" w:rsidRPr="00FA38B2">
        <w:rPr>
          <w:rFonts w:cs="Times New Roman"/>
          <w:szCs w:val="24"/>
        </w:rPr>
        <w:t xml:space="preserve">career and technical education. Further, as more states adopt </w:t>
      </w:r>
      <w:r w:rsidR="00C66D91" w:rsidRPr="00FA38B2">
        <w:rPr>
          <w:rFonts w:cs="Times New Roman"/>
          <w:szCs w:val="24"/>
        </w:rPr>
        <w:t>ambitious postsecondary credential goal</w:t>
      </w:r>
      <w:r w:rsidR="004D6505" w:rsidRPr="00FA38B2">
        <w:rPr>
          <w:rFonts w:cs="Times New Roman"/>
          <w:szCs w:val="24"/>
        </w:rPr>
        <w:t xml:space="preserve">s, </w:t>
      </w:r>
      <w:r w:rsidR="00C66D91" w:rsidRPr="00FA38B2">
        <w:rPr>
          <w:rFonts w:cs="Times New Roman"/>
          <w:szCs w:val="24"/>
        </w:rPr>
        <w:t>it is imperative to explore how existing state policies impact credential attainment among target student groups (</w:t>
      </w:r>
      <w:r w:rsidR="004D6505" w:rsidRPr="00FA38B2">
        <w:rPr>
          <w:rFonts w:cs="Times New Roman"/>
          <w:szCs w:val="24"/>
        </w:rPr>
        <w:t xml:space="preserve">i.e. </w:t>
      </w:r>
      <w:r w:rsidR="00C66D91" w:rsidRPr="00FA38B2">
        <w:rPr>
          <w:rFonts w:cs="Times New Roman"/>
          <w:szCs w:val="24"/>
        </w:rPr>
        <w:t xml:space="preserve">adult students) and target focus areas (postsecondary career and technical education). </w:t>
      </w:r>
    </w:p>
    <w:p w14:paraId="2A5A3EA2" w14:textId="6D155A75" w:rsidR="00647F22" w:rsidRPr="00FA38B2" w:rsidRDefault="003B08DF" w:rsidP="0015321A">
      <w:pPr>
        <w:ind w:firstLine="720"/>
        <w:rPr>
          <w:rFonts w:cs="Times New Roman"/>
          <w:szCs w:val="24"/>
        </w:rPr>
      </w:pPr>
      <w:r w:rsidRPr="00FA38B2">
        <w:rPr>
          <w:rFonts w:cs="Times New Roman"/>
          <w:szCs w:val="24"/>
        </w:rPr>
        <w:t>Thus, t</w:t>
      </w:r>
      <w:r w:rsidR="00DA27D0" w:rsidRPr="00FA38B2">
        <w:rPr>
          <w:rFonts w:cs="Times New Roman"/>
          <w:szCs w:val="24"/>
        </w:rPr>
        <w:t xml:space="preserve">he purpose of this </w:t>
      </w:r>
      <w:r w:rsidR="00C96C98" w:rsidRPr="00FA38B2">
        <w:rPr>
          <w:rFonts w:cs="Times New Roman"/>
          <w:szCs w:val="24"/>
        </w:rPr>
        <w:t>dissertation</w:t>
      </w:r>
      <w:r w:rsidR="00DE1323" w:rsidRPr="00FA38B2">
        <w:rPr>
          <w:rFonts w:cs="Times New Roman"/>
          <w:szCs w:val="24"/>
        </w:rPr>
        <w:t xml:space="preserve"> was</w:t>
      </w:r>
      <w:r w:rsidR="00DA27D0" w:rsidRPr="00FA38B2">
        <w:rPr>
          <w:rFonts w:cs="Times New Roman"/>
          <w:szCs w:val="24"/>
        </w:rPr>
        <w:t xml:space="preserve"> to</w:t>
      </w:r>
      <w:r w:rsidR="00083112" w:rsidRPr="00FA38B2">
        <w:rPr>
          <w:rFonts w:cs="Times New Roman"/>
          <w:szCs w:val="24"/>
        </w:rPr>
        <w:t xml:space="preserve"> </w:t>
      </w:r>
      <w:r w:rsidR="00C86683" w:rsidRPr="00FA38B2">
        <w:rPr>
          <w:rFonts w:cs="Times New Roman"/>
          <w:szCs w:val="24"/>
        </w:rPr>
        <w:t>explore</w:t>
      </w:r>
      <w:r w:rsidR="00083112" w:rsidRPr="00FA38B2">
        <w:rPr>
          <w:rFonts w:cs="Times New Roman"/>
          <w:szCs w:val="24"/>
        </w:rPr>
        <w:t xml:space="preserve"> </w:t>
      </w:r>
      <w:r w:rsidR="0069483F" w:rsidRPr="00FA38B2">
        <w:rPr>
          <w:rFonts w:cs="Times New Roman"/>
          <w:szCs w:val="24"/>
        </w:rPr>
        <w:t xml:space="preserve">the effect of the Tennessee Promise and </w:t>
      </w:r>
      <w:r w:rsidR="00083112" w:rsidRPr="00FA38B2">
        <w:rPr>
          <w:rFonts w:cs="Times New Roman"/>
          <w:szCs w:val="24"/>
        </w:rPr>
        <w:t xml:space="preserve">Tennessee </w:t>
      </w:r>
      <w:r w:rsidR="00C96C98" w:rsidRPr="00FA38B2">
        <w:rPr>
          <w:rFonts w:cs="Times New Roman"/>
          <w:szCs w:val="24"/>
        </w:rPr>
        <w:t>Reconnect</w:t>
      </w:r>
      <w:r w:rsidR="0069483F" w:rsidRPr="00FA38B2">
        <w:rPr>
          <w:rFonts w:cs="Times New Roman"/>
          <w:szCs w:val="24"/>
        </w:rPr>
        <w:t xml:space="preserve"> policies, respectively</w:t>
      </w:r>
      <w:r w:rsidR="00F076B1" w:rsidRPr="00FA38B2">
        <w:rPr>
          <w:rFonts w:cs="Times New Roman"/>
          <w:szCs w:val="24"/>
        </w:rPr>
        <w:t>.</w:t>
      </w:r>
      <w:r w:rsidR="00A55EE4" w:rsidRPr="00FA38B2">
        <w:rPr>
          <w:rFonts w:cs="Times New Roman"/>
          <w:szCs w:val="24"/>
        </w:rPr>
        <w:t xml:space="preserve"> This dissertation is presented using a three-article format and consis</w:t>
      </w:r>
      <w:r w:rsidR="002015CA" w:rsidRPr="00FA38B2">
        <w:rPr>
          <w:rFonts w:cs="Times New Roman"/>
          <w:szCs w:val="24"/>
        </w:rPr>
        <w:t>ts of three independent studies</w:t>
      </w:r>
      <w:r w:rsidR="00A55EE4" w:rsidRPr="00FA38B2">
        <w:rPr>
          <w:rFonts w:cs="Times New Roman"/>
          <w:szCs w:val="24"/>
        </w:rPr>
        <w:t xml:space="preserve">. The </w:t>
      </w:r>
      <w:r w:rsidRPr="00FA38B2">
        <w:rPr>
          <w:rFonts w:cs="Times New Roman"/>
          <w:szCs w:val="24"/>
        </w:rPr>
        <w:t xml:space="preserve">three articles provide </w:t>
      </w:r>
      <w:r w:rsidR="004D6505" w:rsidRPr="00FA38B2">
        <w:rPr>
          <w:rFonts w:cs="Times New Roman"/>
          <w:szCs w:val="24"/>
        </w:rPr>
        <w:t xml:space="preserve">a broad study </w:t>
      </w:r>
      <w:r w:rsidRPr="00FA38B2">
        <w:rPr>
          <w:rFonts w:cs="Times New Roman"/>
          <w:szCs w:val="24"/>
        </w:rPr>
        <w:t>of</w:t>
      </w:r>
      <w:r w:rsidR="00A55EE4" w:rsidRPr="00FA38B2">
        <w:rPr>
          <w:rFonts w:cs="Times New Roman"/>
          <w:szCs w:val="24"/>
        </w:rPr>
        <w:t xml:space="preserve"> </w:t>
      </w:r>
      <w:r w:rsidR="002015CA" w:rsidRPr="00FA38B2">
        <w:rPr>
          <w:rFonts w:cs="Times New Roman"/>
          <w:szCs w:val="24"/>
        </w:rPr>
        <w:t>Tennessee’s free college policies</w:t>
      </w:r>
      <w:r w:rsidR="00A55EE4" w:rsidRPr="00FA38B2">
        <w:rPr>
          <w:rFonts w:cs="Times New Roman"/>
          <w:szCs w:val="24"/>
        </w:rPr>
        <w:t xml:space="preserve"> using both qualitative and quantitative methods. </w:t>
      </w:r>
    </w:p>
    <w:p w14:paraId="1F077A46" w14:textId="7823A556" w:rsidR="002015CA" w:rsidRPr="00FA38B2" w:rsidRDefault="002015CA" w:rsidP="0015321A">
      <w:pPr>
        <w:ind w:firstLine="720"/>
        <w:rPr>
          <w:rFonts w:cs="Times New Roman"/>
          <w:szCs w:val="24"/>
        </w:rPr>
      </w:pPr>
      <w:r w:rsidRPr="00FA38B2">
        <w:rPr>
          <w:rFonts w:cs="Times New Roman"/>
          <w:szCs w:val="24"/>
        </w:rPr>
        <w:t xml:space="preserve">The first two studies explore Tennessee Reconnect. </w:t>
      </w:r>
      <w:r w:rsidR="008B19B0" w:rsidRPr="00FA38B2">
        <w:rPr>
          <w:rFonts w:cs="Times New Roman"/>
          <w:szCs w:val="24"/>
        </w:rPr>
        <w:t>The first study</w:t>
      </w:r>
      <w:r w:rsidRPr="00FA38B2">
        <w:rPr>
          <w:rFonts w:cs="Times New Roman"/>
          <w:szCs w:val="24"/>
        </w:rPr>
        <w:t xml:space="preserve"> was developed based on data from a longitudinal qualitativ</w:t>
      </w:r>
      <w:r w:rsidR="004D6505" w:rsidRPr="00FA38B2">
        <w:rPr>
          <w:rFonts w:cs="Times New Roman"/>
          <w:szCs w:val="24"/>
        </w:rPr>
        <w:t>e study conducted between 2018 and</w:t>
      </w:r>
      <w:r w:rsidRPr="00FA38B2">
        <w:rPr>
          <w:rFonts w:cs="Times New Roman"/>
          <w:szCs w:val="24"/>
        </w:rPr>
        <w:t xml:space="preserve"> 2021. In this study, I explored the lived experiences of students who used Tennessee Reconnect in its first two years</w:t>
      </w:r>
      <w:r w:rsidR="00DE1323" w:rsidRPr="00FA38B2">
        <w:rPr>
          <w:rFonts w:cs="Times New Roman"/>
          <w:szCs w:val="24"/>
        </w:rPr>
        <w:t xml:space="preserve"> and address the hardships often faced by students returning to college after prolonged absences from formal educational settings.</w:t>
      </w:r>
      <w:r w:rsidRPr="00FA38B2">
        <w:rPr>
          <w:rFonts w:cs="Times New Roman"/>
          <w:szCs w:val="24"/>
        </w:rPr>
        <w:t xml:space="preserve"> </w:t>
      </w:r>
      <w:r w:rsidR="00DE1323" w:rsidRPr="00FA38B2">
        <w:rPr>
          <w:rFonts w:cs="Times New Roman"/>
          <w:szCs w:val="24"/>
        </w:rPr>
        <w:t xml:space="preserve">In the second study, I </w:t>
      </w:r>
      <w:r w:rsidRPr="00FA38B2">
        <w:rPr>
          <w:rFonts w:cs="Times New Roman"/>
          <w:szCs w:val="24"/>
        </w:rPr>
        <w:t>deploy</w:t>
      </w:r>
      <w:r w:rsidR="00DE1323" w:rsidRPr="00FA38B2">
        <w:rPr>
          <w:rFonts w:cs="Times New Roman"/>
          <w:szCs w:val="24"/>
        </w:rPr>
        <w:t>ed quasi-experimental methods to</w:t>
      </w:r>
      <w:r w:rsidRPr="00FA38B2">
        <w:rPr>
          <w:rFonts w:cs="Times New Roman"/>
          <w:szCs w:val="24"/>
        </w:rPr>
        <w:t xml:space="preserve"> analyze the causal effect of Tennessee Reconnect on adult student enrollment behaviors. </w:t>
      </w:r>
    </w:p>
    <w:p w14:paraId="286662DE" w14:textId="0A8ACFE1" w:rsidR="00C96C98" w:rsidRPr="00FA38B2" w:rsidRDefault="00DE1323" w:rsidP="0015321A">
      <w:pPr>
        <w:ind w:firstLine="720"/>
        <w:rPr>
          <w:rFonts w:cs="Times New Roman"/>
          <w:szCs w:val="24"/>
        </w:rPr>
      </w:pPr>
      <w:r w:rsidRPr="00FA38B2">
        <w:rPr>
          <w:rFonts w:cs="Times New Roman"/>
          <w:szCs w:val="24"/>
        </w:rPr>
        <w:t xml:space="preserve">In the </w:t>
      </w:r>
      <w:r w:rsidR="002015CA" w:rsidRPr="00FA38B2">
        <w:rPr>
          <w:rFonts w:cs="Times New Roman"/>
          <w:szCs w:val="24"/>
        </w:rPr>
        <w:t xml:space="preserve">third study included in </w:t>
      </w:r>
      <w:r w:rsidRPr="00FA38B2">
        <w:rPr>
          <w:rFonts w:cs="Times New Roman"/>
          <w:szCs w:val="24"/>
        </w:rPr>
        <w:t xml:space="preserve">this dissertation, I </w:t>
      </w:r>
      <w:r w:rsidR="002015CA" w:rsidRPr="00FA38B2">
        <w:rPr>
          <w:rFonts w:cs="Times New Roman"/>
          <w:szCs w:val="24"/>
        </w:rPr>
        <w:t>e</w:t>
      </w:r>
      <w:r w:rsidRPr="00FA38B2">
        <w:rPr>
          <w:rFonts w:cs="Times New Roman"/>
          <w:szCs w:val="24"/>
        </w:rPr>
        <w:t xml:space="preserve">xplore </w:t>
      </w:r>
      <w:r w:rsidR="003B08DF" w:rsidRPr="00FA38B2">
        <w:rPr>
          <w:rFonts w:cs="Times New Roman"/>
          <w:szCs w:val="24"/>
        </w:rPr>
        <w:t xml:space="preserve">how </w:t>
      </w:r>
      <w:r w:rsidR="002015CA" w:rsidRPr="00FA38B2">
        <w:rPr>
          <w:rFonts w:cs="Times New Roman"/>
          <w:szCs w:val="24"/>
        </w:rPr>
        <w:t>Tennessee Promise impacted enrollment in postsecondary career and technical education programs in the state. I deploy</w:t>
      </w:r>
      <w:r w:rsidRPr="00FA38B2">
        <w:rPr>
          <w:rFonts w:cs="Times New Roman"/>
          <w:szCs w:val="24"/>
        </w:rPr>
        <w:t>ed</w:t>
      </w:r>
      <w:r w:rsidR="002015CA" w:rsidRPr="00FA38B2">
        <w:rPr>
          <w:rFonts w:cs="Times New Roman"/>
          <w:szCs w:val="24"/>
        </w:rPr>
        <w:t xml:space="preserve"> </w:t>
      </w:r>
      <w:r w:rsidRPr="00FA38B2">
        <w:rPr>
          <w:rFonts w:cs="Times New Roman"/>
          <w:szCs w:val="24"/>
        </w:rPr>
        <w:t>quasi-experimental methods to</w:t>
      </w:r>
      <w:r w:rsidR="002015CA" w:rsidRPr="00FA38B2">
        <w:rPr>
          <w:rFonts w:cs="Times New Roman"/>
          <w:szCs w:val="24"/>
        </w:rPr>
        <w:t xml:space="preserve"> analyze the effect of Tennessee Promise on student participation in postsecondary career and technical education programs.</w:t>
      </w:r>
      <w:r w:rsidR="003B08DF" w:rsidRPr="00FA38B2">
        <w:rPr>
          <w:rFonts w:cs="Times New Roman"/>
          <w:szCs w:val="24"/>
        </w:rPr>
        <w:t xml:space="preserve"> </w:t>
      </w:r>
      <w:r w:rsidR="001118FE" w:rsidRPr="00FA38B2">
        <w:rPr>
          <w:rFonts w:cs="Times New Roman"/>
          <w:szCs w:val="24"/>
        </w:rPr>
        <w:t>I</w:t>
      </w:r>
      <w:r w:rsidR="00D55DE3" w:rsidRPr="00FA38B2">
        <w:rPr>
          <w:rFonts w:cs="Times New Roman"/>
          <w:szCs w:val="24"/>
        </w:rPr>
        <w:t xml:space="preserve">n chapter </w:t>
      </w:r>
      <w:r w:rsidR="008B19B0" w:rsidRPr="00FA38B2">
        <w:rPr>
          <w:rFonts w:cs="Times New Roman"/>
          <w:szCs w:val="24"/>
        </w:rPr>
        <w:t>5</w:t>
      </w:r>
      <w:r w:rsidR="00734AD5" w:rsidRPr="00FA38B2">
        <w:rPr>
          <w:rFonts w:cs="Times New Roman"/>
          <w:szCs w:val="24"/>
        </w:rPr>
        <w:t>,</w:t>
      </w:r>
      <w:r w:rsidR="00D55DE3" w:rsidRPr="00FA38B2">
        <w:rPr>
          <w:rFonts w:cs="Times New Roman"/>
          <w:szCs w:val="24"/>
        </w:rPr>
        <w:t xml:space="preserve"> I </w:t>
      </w:r>
      <w:r w:rsidR="001118FE" w:rsidRPr="00FA38B2">
        <w:rPr>
          <w:rFonts w:cs="Times New Roman"/>
          <w:szCs w:val="24"/>
        </w:rPr>
        <w:t>conclude with</w:t>
      </w:r>
      <w:r w:rsidR="00B711D7" w:rsidRPr="00FA38B2">
        <w:rPr>
          <w:rFonts w:cs="Times New Roman"/>
          <w:szCs w:val="24"/>
        </w:rPr>
        <w:t xml:space="preserve"> a </w:t>
      </w:r>
      <w:r w:rsidRPr="00FA38B2">
        <w:rPr>
          <w:rFonts w:cs="Times New Roman"/>
          <w:szCs w:val="24"/>
        </w:rPr>
        <w:t>discussion</w:t>
      </w:r>
      <w:r w:rsidR="00B711D7" w:rsidRPr="00FA38B2">
        <w:rPr>
          <w:rFonts w:cs="Times New Roman"/>
          <w:szCs w:val="24"/>
        </w:rPr>
        <w:t xml:space="preserve"> </w:t>
      </w:r>
      <w:r w:rsidRPr="00FA38B2">
        <w:rPr>
          <w:rFonts w:cs="Times New Roman"/>
          <w:szCs w:val="24"/>
        </w:rPr>
        <w:t xml:space="preserve">of Tennessee’s </w:t>
      </w:r>
      <w:r w:rsidR="002852FB" w:rsidRPr="00FA38B2">
        <w:rPr>
          <w:rFonts w:cs="Times New Roman"/>
          <w:szCs w:val="24"/>
        </w:rPr>
        <w:t>free college</w:t>
      </w:r>
      <w:r w:rsidRPr="00FA38B2">
        <w:rPr>
          <w:rFonts w:cs="Times New Roman"/>
          <w:szCs w:val="24"/>
        </w:rPr>
        <w:t xml:space="preserve"> polices</w:t>
      </w:r>
      <w:r w:rsidR="002C6730" w:rsidRPr="00FA38B2">
        <w:rPr>
          <w:rFonts w:cs="Times New Roman"/>
          <w:szCs w:val="24"/>
        </w:rPr>
        <w:t xml:space="preserve"> based on findings from the three studies</w:t>
      </w:r>
      <w:r w:rsidR="003B08DF" w:rsidRPr="00FA38B2">
        <w:rPr>
          <w:rFonts w:cs="Times New Roman"/>
          <w:szCs w:val="24"/>
        </w:rPr>
        <w:t xml:space="preserve"> and provide recommendations for future research, policy, and practice. </w:t>
      </w:r>
      <w:r w:rsidR="00D55DE3" w:rsidRPr="00FA38B2">
        <w:rPr>
          <w:rFonts w:cs="Times New Roman"/>
          <w:szCs w:val="24"/>
        </w:rPr>
        <w:t xml:space="preserve"> </w:t>
      </w:r>
    </w:p>
    <w:p w14:paraId="6E315DC4" w14:textId="7A1C33CE" w:rsidR="005D0110" w:rsidRPr="00FA38B2" w:rsidRDefault="005D0110" w:rsidP="0015321A">
      <w:pPr>
        <w:pStyle w:val="Heading2"/>
        <w:jc w:val="center"/>
        <w:rPr>
          <w:rFonts w:cs="Times New Roman"/>
          <w:szCs w:val="24"/>
        </w:rPr>
      </w:pPr>
      <w:bookmarkStart w:id="3" w:name="_Toc70181479"/>
      <w:r w:rsidRPr="00FA38B2">
        <w:rPr>
          <w:rFonts w:cs="Times New Roman"/>
          <w:szCs w:val="24"/>
        </w:rPr>
        <w:lastRenderedPageBreak/>
        <w:t>Research Que</w:t>
      </w:r>
      <w:r w:rsidR="006F4C3D" w:rsidRPr="00FA38B2">
        <w:rPr>
          <w:rFonts w:cs="Times New Roman"/>
          <w:szCs w:val="24"/>
        </w:rPr>
        <w:t>s</w:t>
      </w:r>
      <w:r w:rsidRPr="00FA38B2">
        <w:rPr>
          <w:rFonts w:cs="Times New Roman"/>
          <w:szCs w:val="24"/>
        </w:rPr>
        <w:t>tions</w:t>
      </w:r>
      <w:bookmarkEnd w:id="3"/>
    </w:p>
    <w:p w14:paraId="6BC4805C" w14:textId="45D09E22" w:rsidR="0091548D" w:rsidRPr="00FA38B2" w:rsidRDefault="00B30AB6" w:rsidP="0015321A">
      <w:pPr>
        <w:ind w:firstLine="720"/>
        <w:rPr>
          <w:rFonts w:cs="Times New Roman"/>
          <w:szCs w:val="24"/>
        </w:rPr>
      </w:pPr>
      <w:r w:rsidRPr="00FA38B2">
        <w:rPr>
          <w:rFonts w:cs="Times New Roman"/>
          <w:szCs w:val="24"/>
        </w:rPr>
        <w:t>The three studies are</w:t>
      </w:r>
      <w:r w:rsidR="00C82B57" w:rsidRPr="00FA38B2">
        <w:rPr>
          <w:rFonts w:cs="Times New Roman"/>
          <w:szCs w:val="24"/>
        </w:rPr>
        <w:t xml:space="preserve"> guided by t</w:t>
      </w:r>
      <w:r w:rsidR="0064326B" w:rsidRPr="00FA38B2">
        <w:rPr>
          <w:rFonts w:cs="Times New Roman"/>
          <w:szCs w:val="24"/>
        </w:rPr>
        <w:t>he following research questions:</w:t>
      </w:r>
      <w:r w:rsidR="00C82B57" w:rsidRPr="00FA38B2">
        <w:rPr>
          <w:rFonts w:cs="Times New Roman"/>
          <w:szCs w:val="24"/>
        </w:rPr>
        <w:t xml:space="preserve"> </w:t>
      </w:r>
    </w:p>
    <w:p w14:paraId="557C3208" w14:textId="719114EB" w:rsidR="0091548D" w:rsidRPr="00FA38B2" w:rsidRDefault="00B30AB6" w:rsidP="0015321A">
      <w:pPr>
        <w:pStyle w:val="ListParagraph"/>
        <w:spacing w:line="480" w:lineRule="auto"/>
        <w:ind w:left="0"/>
        <w:rPr>
          <w:rFonts w:cs="Times New Roman"/>
          <w:b/>
          <w:szCs w:val="24"/>
        </w:rPr>
      </w:pPr>
      <w:r w:rsidRPr="00FA38B2">
        <w:rPr>
          <w:rFonts w:cs="Times New Roman"/>
          <w:b/>
          <w:szCs w:val="24"/>
        </w:rPr>
        <w:t>Study 1:</w:t>
      </w:r>
      <w:r w:rsidR="0064326B" w:rsidRPr="00FA38B2">
        <w:rPr>
          <w:rFonts w:cs="Times New Roman"/>
          <w:b/>
          <w:szCs w:val="24"/>
        </w:rPr>
        <w:t xml:space="preserve"> </w:t>
      </w:r>
      <w:r w:rsidR="00217EEB" w:rsidRPr="00FA38B2">
        <w:rPr>
          <w:rFonts w:cs="Times New Roman"/>
          <w:szCs w:val="24"/>
        </w:rPr>
        <w:t>What are the lived experiences of students who received the Tennessee Reconnect during its first two years</w:t>
      </w:r>
      <w:r w:rsidR="00672394" w:rsidRPr="00FA38B2">
        <w:rPr>
          <w:rFonts w:cs="Times New Roman"/>
          <w:szCs w:val="24"/>
        </w:rPr>
        <w:t>,</w:t>
      </w:r>
      <w:r w:rsidR="00217EEB" w:rsidRPr="00FA38B2">
        <w:rPr>
          <w:rFonts w:cs="Times New Roman"/>
          <w:szCs w:val="24"/>
        </w:rPr>
        <w:t xml:space="preserve"> and how did they experience the transition from non-student to adult learner</w:t>
      </w:r>
      <w:r w:rsidR="0091548D" w:rsidRPr="00FA38B2">
        <w:rPr>
          <w:rFonts w:cs="Times New Roman"/>
          <w:szCs w:val="24"/>
        </w:rPr>
        <w:t xml:space="preserve">? </w:t>
      </w:r>
    </w:p>
    <w:p w14:paraId="389943F3" w14:textId="37D521DB" w:rsidR="00E67C5B" w:rsidRPr="00FA38B2" w:rsidRDefault="00B30AB6" w:rsidP="0015321A">
      <w:pPr>
        <w:pStyle w:val="ListParagraph"/>
        <w:spacing w:line="480" w:lineRule="auto"/>
        <w:ind w:left="0"/>
        <w:rPr>
          <w:rFonts w:cs="Times New Roman"/>
          <w:b/>
          <w:szCs w:val="24"/>
        </w:rPr>
      </w:pPr>
      <w:r w:rsidRPr="00FA38B2">
        <w:rPr>
          <w:rFonts w:cs="Times New Roman"/>
          <w:b/>
          <w:szCs w:val="24"/>
        </w:rPr>
        <w:t>Study 2:</w:t>
      </w:r>
      <w:r w:rsidR="0064326B" w:rsidRPr="00FA38B2">
        <w:rPr>
          <w:rFonts w:cs="Times New Roman"/>
          <w:b/>
          <w:szCs w:val="24"/>
        </w:rPr>
        <w:t xml:space="preserve"> </w:t>
      </w:r>
      <w:r w:rsidR="00217EEB" w:rsidRPr="00FA38B2">
        <w:rPr>
          <w:rFonts w:cs="Times New Roman"/>
          <w:szCs w:val="24"/>
        </w:rPr>
        <w:t>What were the adult</w:t>
      </w:r>
      <w:r w:rsidR="003B08DF" w:rsidRPr="00FA38B2">
        <w:rPr>
          <w:rFonts w:cs="Times New Roman"/>
          <w:szCs w:val="24"/>
        </w:rPr>
        <w:t xml:space="preserve"> learner enrollment responses following</w:t>
      </w:r>
      <w:r w:rsidR="00217EEB" w:rsidRPr="00FA38B2">
        <w:rPr>
          <w:rFonts w:cs="Times New Roman"/>
          <w:szCs w:val="24"/>
        </w:rPr>
        <w:t xml:space="preserve"> the implementation of Tennessee Reconnect</w:t>
      </w:r>
      <w:r w:rsidR="0091548D" w:rsidRPr="00FA38B2">
        <w:rPr>
          <w:rFonts w:cs="Times New Roman"/>
          <w:szCs w:val="24"/>
        </w:rPr>
        <w:t xml:space="preserve">? </w:t>
      </w:r>
      <w:r w:rsidR="00DB1D03" w:rsidRPr="00FA38B2">
        <w:rPr>
          <w:rFonts w:cs="Times New Roman"/>
          <w:szCs w:val="24"/>
        </w:rPr>
        <w:tab/>
      </w:r>
    </w:p>
    <w:p w14:paraId="553DB3BD" w14:textId="7101C0CD" w:rsidR="00DE1323" w:rsidRPr="00FA38B2" w:rsidRDefault="00B30AB6" w:rsidP="0015321A">
      <w:pPr>
        <w:pStyle w:val="ListParagraph"/>
        <w:spacing w:line="480" w:lineRule="auto"/>
        <w:ind w:left="0"/>
        <w:rPr>
          <w:rFonts w:cs="Times New Roman"/>
          <w:b/>
          <w:szCs w:val="24"/>
        </w:rPr>
      </w:pPr>
      <w:r w:rsidRPr="00FA38B2">
        <w:rPr>
          <w:rFonts w:cs="Times New Roman"/>
          <w:b/>
          <w:szCs w:val="24"/>
        </w:rPr>
        <w:t>Study 3:</w:t>
      </w:r>
      <w:r w:rsidR="0064326B" w:rsidRPr="00FA38B2">
        <w:rPr>
          <w:rFonts w:cs="Times New Roman"/>
          <w:b/>
          <w:szCs w:val="24"/>
        </w:rPr>
        <w:t xml:space="preserve"> </w:t>
      </w:r>
      <w:r w:rsidR="003B08DF" w:rsidRPr="00FA38B2">
        <w:rPr>
          <w:rFonts w:cs="Times New Roman"/>
          <w:szCs w:val="24"/>
        </w:rPr>
        <w:t>What were the enrollment responses within postsecondary career and technical education programs following</w:t>
      </w:r>
      <w:r w:rsidR="00DE1323" w:rsidRPr="00FA38B2">
        <w:rPr>
          <w:rFonts w:cs="Times New Roman"/>
          <w:szCs w:val="24"/>
        </w:rPr>
        <w:t xml:space="preserve"> the </w:t>
      </w:r>
      <w:r w:rsidR="003B08DF" w:rsidRPr="00FA38B2">
        <w:rPr>
          <w:rFonts w:cs="Times New Roman"/>
          <w:szCs w:val="24"/>
        </w:rPr>
        <w:t xml:space="preserve">implementation of </w:t>
      </w:r>
      <w:r w:rsidR="00DE1323" w:rsidRPr="00FA38B2">
        <w:rPr>
          <w:rFonts w:cs="Times New Roman"/>
          <w:szCs w:val="24"/>
        </w:rPr>
        <w:t>Tennessee Promise?</w:t>
      </w:r>
    </w:p>
    <w:p w14:paraId="5CDF01F8" w14:textId="77777777" w:rsidR="00E67C5B" w:rsidRPr="00FA38B2" w:rsidRDefault="00E67C5B" w:rsidP="0015321A">
      <w:pPr>
        <w:rPr>
          <w:rFonts w:cs="Times New Roman"/>
          <w:szCs w:val="24"/>
        </w:rPr>
      </w:pPr>
      <w:r w:rsidRPr="00FA38B2">
        <w:rPr>
          <w:rFonts w:cs="Times New Roman"/>
          <w:szCs w:val="24"/>
        </w:rPr>
        <w:br w:type="page"/>
      </w:r>
    </w:p>
    <w:p w14:paraId="4F689A21" w14:textId="26BB1A60" w:rsidR="00B12206" w:rsidRPr="00FA38B2" w:rsidRDefault="002011C1" w:rsidP="0015321A">
      <w:pPr>
        <w:pStyle w:val="Heading1"/>
        <w:rPr>
          <w:rFonts w:cs="Times New Roman"/>
          <w:szCs w:val="24"/>
        </w:rPr>
      </w:pPr>
      <w:bookmarkStart w:id="4" w:name="_Toc70181480"/>
      <w:r w:rsidRPr="00FA38B2">
        <w:rPr>
          <w:rFonts w:cs="Times New Roman"/>
          <w:szCs w:val="24"/>
        </w:rPr>
        <w:lastRenderedPageBreak/>
        <w:t>Chapter 2</w:t>
      </w:r>
      <w:r w:rsidR="005918E0">
        <w:rPr>
          <w:rFonts w:cs="Times New Roman"/>
          <w:szCs w:val="24"/>
        </w:rPr>
        <w:t xml:space="preserve">: “I’m Not Letting Nothing Stop </w:t>
      </w:r>
      <w:proofErr w:type="gramStart"/>
      <w:r w:rsidR="005918E0">
        <w:rPr>
          <w:rFonts w:cs="Times New Roman"/>
          <w:szCs w:val="24"/>
        </w:rPr>
        <w:t>me</w:t>
      </w:r>
      <w:proofErr w:type="gramEnd"/>
      <w:r w:rsidR="005918E0">
        <w:rPr>
          <w:rFonts w:cs="Times New Roman"/>
          <w:szCs w:val="24"/>
        </w:rPr>
        <w:t xml:space="preserve"> This Time.”: Transitions Among Adult Learners U</w:t>
      </w:r>
      <w:r w:rsidR="00B12206" w:rsidRPr="00FA38B2">
        <w:rPr>
          <w:rFonts w:cs="Times New Roman"/>
          <w:szCs w:val="24"/>
        </w:rPr>
        <w:t>sing the Tennessee Reconnect Grant</w:t>
      </w:r>
      <w:bookmarkEnd w:id="4"/>
    </w:p>
    <w:p w14:paraId="29779B67" w14:textId="77777777" w:rsidR="00B12206" w:rsidRPr="00FA38B2" w:rsidRDefault="00B12206" w:rsidP="0015321A">
      <w:pPr>
        <w:rPr>
          <w:rFonts w:cs="Times New Roman"/>
          <w:szCs w:val="24"/>
        </w:rPr>
      </w:pPr>
    </w:p>
    <w:p w14:paraId="1EBF5586" w14:textId="77777777" w:rsidR="00001C39" w:rsidRPr="00FA38B2" w:rsidRDefault="00001C39" w:rsidP="0015321A">
      <w:pPr>
        <w:jc w:val="center"/>
        <w:rPr>
          <w:rFonts w:cs="Times New Roman"/>
          <w:szCs w:val="24"/>
        </w:rPr>
      </w:pPr>
    </w:p>
    <w:p w14:paraId="0137FC76" w14:textId="77777777" w:rsidR="00001C39" w:rsidRPr="00FA38B2" w:rsidRDefault="00001C39" w:rsidP="0015321A">
      <w:pPr>
        <w:jc w:val="center"/>
        <w:rPr>
          <w:rFonts w:cs="Times New Roman"/>
          <w:szCs w:val="24"/>
        </w:rPr>
      </w:pPr>
    </w:p>
    <w:p w14:paraId="11093FEE" w14:textId="77777777" w:rsidR="00001C39" w:rsidRPr="00FA38B2" w:rsidRDefault="00001C39" w:rsidP="0015321A">
      <w:pPr>
        <w:jc w:val="center"/>
        <w:rPr>
          <w:rFonts w:cs="Times New Roman"/>
          <w:szCs w:val="24"/>
        </w:rPr>
      </w:pPr>
    </w:p>
    <w:p w14:paraId="2F0F4F65" w14:textId="4E000588" w:rsidR="009E1933" w:rsidRPr="00FA38B2" w:rsidRDefault="009E1933" w:rsidP="0015321A">
      <w:pPr>
        <w:jc w:val="center"/>
        <w:rPr>
          <w:rFonts w:cs="Times New Roman"/>
          <w:szCs w:val="24"/>
        </w:rPr>
      </w:pPr>
      <w:r w:rsidRPr="00FA38B2">
        <w:rPr>
          <w:rFonts w:cs="Times New Roman"/>
          <w:szCs w:val="24"/>
        </w:rPr>
        <w:t>Gresham D. Collom,</w:t>
      </w:r>
      <w:r w:rsidRPr="00FA38B2">
        <w:rPr>
          <w:rFonts w:cs="Times New Roman"/>
          <w:szCs w:val="24"/>
          <w:vertAlign w:val="superscript"/>
        </w:rPr>
        <w:t xml:space="preserve"> </w:t>
      </w:r>
      <w:r w:rsidRPr="00FA38B2">
        <w:rPr>
          <w:rFonts w:cs="Times New Roman"/>
          <w:szCs w:val="24"/>
        </w:rPr>
        <w:t>J. Patri</w:t>
      </w:r>
      <w:r w:rsidR="00001C39" w:rsidRPr="00FA38B2">
        <w:rPr>
          <w:rFonts w:cs="Times New Roman"/>
          <w:szCs w:val="24"/>
        </w:rPr>
        <w:t xml:space="preserve">ck </w:t>
      </w:r>
      <w:proofErr w:type="spellStart"/>
      <w:r w:rsidR="00001C39" w:rsidRPr="00FA38B2">
        <w:rPr>
          <w:rFonts w:cs="Times New Roman"/>
          <w:szCs w:val="24"/>
        </w:rPr>
        <w:t>Biddix</w:t>
      </w:r>
      <w:proofErr w:type="spellEnd"/>
      <w:r w:rsidR="00001C39" w:rsidRPr="00FA38B2">
        <w:rPr>
          <w:rFonts w:cs="Times New Roman"/>
          <w:szCs w:val="24"/>
        </w:rPr>
        <w:t>, and Britta L. Svoboda</w:t>
      </w:r>
    </w:p>
    <w:p w14:paraId="71E0FE61" w14:textId="64BFEBB4" w:rsidR="00001C39" w:rsidRPr="00FA38B2" w:rsidRDefault="00001C39" w:rsidP="0015321A">
      <w:pPr>
        <w:jc w:val="center"/>
        <w:rPr>
          <w:rFonts w:cs="Times New Roman"/>
          <w:szCs w:val="24"/>
        </w:rPr>
      </w:pPr>
    </w:p>
    <w:p w14:paraId="31C24F9A" w14:textId="5CE50AD8" w:rsidR="00001C39" w:rsidRPr="00FA38B2" w:rsidRDefault="00001C39" w:rsidP="0015321A">
      <w:pPr>
        <w:jc w:val="center"/>
        <w:rPr>
          <w:rFonts w:cs="Times New Roman"/>
          <w:szCs w:val="24"/>
        </w:rPr>
      </w:pPr>
    </w:p>
    <w:p w14:paraId="59DDD80F" w14:textId="322B3345" w:rsidR="00001C39" w:rsidRPr="00FA38B2" w:rsidRDefault="00001C39" w:rsidP="0015321A">
      <w:pPr>
        <w:jc w:val="center"/>
        <w:rPr>
          <w:rFonts w:cs="Times New Roman"/>
          <w:szCs w:val="24"/>
        </w:rPr>
      </w:pPr>
    </w:p>
    <w:p w14:paraId="6EC4AD40" w14:textId="77777777" w:rsidR="00CC3DFF" w:rsidRDefault="00CC3DFF" w:rsidP="0015321A">
      <w:pPr>
        <w:contextualSpacing/>
        <w:jc w:val="center"/>
        <w:rPr>
          <w:rFonts w:cs="Times New Roman"/>
          <w:b/>
          <w:szCs w:val="24"/>
        </w:rPr>
      </w:pPr>
    </w:p>
    <w:p w14:paraId="1EEAD8A4" w14:textId="77777777" w:rsidR="00CC3DFF" w:rsidRDefault="00CC3DFF" w:rsidP="0015321A">
      <w:pPr>
        <w:contextualSpacing/>
        <w:jc w:val="center"/>
        <w:rPr>
          <w:rFonts w:cs="Times New Roman"/>
          <w:b/>
          <w:szCs w:val="24"/>
        </w:rPr>
      </w:pPr>
    </w:p>
    <w:p w14:paraId="7A0D766C" w14:textId="77777777" w:rsidR="00CC3DFF" w:rsidRDefault="00CC3DFF" w:rsidP="0015321A">
      <w:pPr>
        <w:contextualSpacing/>
        <w:jc w:val="center"/>
        <w:rPr>
          <w:rFonts w:cs="Times New Roman"/>
          <w:b/>
          <w:szCs w:val="24"/>
        </w:rPr>
      </w:pPr>
    </w:p>
    <w:p w14:paraId="2463FC78" w14:textId="77777777" w:rsidR="00CC3DFF" w:rsidRDefault="00CC3DFF" w:rsidP="0015321A">
      <w:pPr>
        <w:contextualSpacing/>
        <w:jc w:val="center"/>
        <w:rPr>
          <w:rFonts w:cs="Times New Roman"/>
          <w:b/>
          <w:szCs w:val="24"/>
        </w:rPr>
      </w:pPr>
    </w:p>
    <w:p w14:paraId="3171BD1A" w14:textId="77777777" w:rsidR="00CC3DFF" w:rsidRDefault="00CC3DFF" w:rsidP="0015321A">
      <w:pPr>
        <w:contextualSpacing/>
        <w:jc w:val="center"/>
        <w:rPr>
          <w:rFonts w:cs="Times New Roman"/>
          <w:b/>
          <w:szCs w:val="24"/>
        </w:rPr>
      </w:pPr>
    </w:p>
    <w:p w14:paraId="1A70326B" w14:textId="77777777" w:rsidR="00CC3DFF" w:rsidRDefault="00CC3DFF" w:rsidP="0015321A">
      <w:pPr>
        <w:contextualSpacing/>
        <w:jc w:val="center"/>
        <w:rPr>
          <w:rFonts w:cs="Times New Roman"/>
          <w:b/>
          <w:szCs w:val="24"/>
        </w:rPr>
      </w:pPr>
    </w:p>
    <w:p w14:paraId="537D637C" w14:textId="77777777" w:rsidR="00CC3DFF" w:rsidRDefault="00CC3DFF" w:rsidP="0015321A">
      <w:pPr>
        <w:contextualSpacing/>
        <w:jc w:val="center"/>
        <w:rPr>
          <w:rFonts w:cs="Times New Roman"/>
          <w:b/>
          <w:szCs w:val="24"/>
        </w:rPr>
      </w:pPr>
    </w:p>
    <w:p w14:paraId="3E5AAA0B" w14:textId="3A0E591C" w:rsidR="00001C39" w:rsidRPr="00FA38B2" w:rsidRDefault="00001C39" w:rsidP="0015321A">
      <w:pPr>
        <w:contextualSpacing/>
        <w:jc w:val="center"/>
        <w:rPr>
          <w:rFonts w:cs="Times New Roman"/>
          <w:b/>
          <w:szCs w:val="24"/>
        </w:rPr>
      </w:pPr>
      <w:r w:rsidRPr="00FA38B2">
        <w:rPr>
          <w:rFonts w:cs="Times New Roman"/>
          <w:b/>
          <w:szCs w:val="24"/>
        </w:rPr>
        <w:t>Author Note</w:t>
      </w:r>
    </w:p>
    <w:p w14:paraId="2EAD48D8" w14:textId="77777777" w:rsidR="00BD0A34" w:rsidRDefault="00001C39" w:rsidP="0015321A">
      <w:pPr>
        <w:contextualSpacing/>
        <w:rPr>
          <w:rFonts w:cs="Times New Roman"/>
          <w:szCs w:val="24"/>
        </w:rPr>
      </w:pPr>
      <w:r w:rsidRPr="00FA38B2">
        <w:rPr>
          <w:rFonts w:cs="Times New Roman"/>
          <w:szCs w:val="24"/>
        </w:rPr>
        <w:t xml:space="preserve">This article is accepted for publication in the journal </w:t>
      </w:r>
      <w:r w:rsidRPr="00FA38B2">
        <w:rPr>
          <w:rFonts w:cs="Times New Roman"/>
          <w:i/>
          <w:szCs w:val="24"/>
        </w:rPr>
        <w:t>Community College Review</w:t>
      </w:r>
      <w:r w:rsidRPr="00FA38B2">
        <w:rPr>
          <w:rFonts w:cs="Times New Roman"/>
          <w:szCs w:val="24"/>
        </w:rPr>
        <w:t>. As part of the revision process, the article went through a blind review process with two peer reviewers</w:t>
      </w:r>
      <w:r w:rsidR="00BD0A34">
        <w:rPr>
          <w:rFonts w:cs="Times New Roman"/>
          <w:szCs w:val="24"/>
        </w:rPr>
        <w:t>. The article was accepted after one revision based on reviewer feedback</w:t>
      </w:r>
      <w:r w:rsidR="00BC0767">
        <w:rPr>
          <w:rFonts w:cs="Times New Roman"/>
          <w:szCs w:val="24"/>
        </w:rPr>
        <w:t xml:space="preserve">. My co-authors, Patrick </w:t>
      </w:r>
      <w:proofErr w:type="spellStart"/>
      <w:r w:rsidR="00BC0767">
        <w:rPr>
          <w:rFonts w:cs="Times New Roman"/>
          <w:szCs w:val="24"/>
        </w:rPr>
        <w:t>Biddix</w:t>
      </w:r>
      <w:proofErr w:type="spellEnd"/>
      <w:r w:rsidR="00BC0767">
        <w:rPr>
          <w:rFonts w:cs="Times New Roman"/>
          <w:szCs w:val="24"/>
        </w:rPr>
        <w:t xml:space="preserve"> and Britta Svoboda, were instrumental to the development of this manuscript.</w:t>
      </w:r>
    </w:p>
    <w:p w14:paraId="24762181" w14:textId="3E203E2E" w:rsidR="009E1933" w:rsidRPr="00BD0A34" w:rsidRDefault="009E1933" w:rsidP="001F693A">
      <w:pPr>
        <w:pStyle w:val="Heading2"/>
        <w:jc w:val="center"/>
        <w:rPr>
          <w:u w:val="single"/>
        </w:rPr>
      </w:pPr>
      <w:r w:rsidRPr="00FA38B2">
        <w:br w:type="page"/>
      </w:r>
      <w:bookmarkStart w:id="5" w:name="_Toc70181481"/>
      <w:r w:rsidRPr="00BD0A34">
        <w:lastRenderedPageBreak/>
        <w:t>Abstract</w:t>
      </w:r>
      <w:bookmarkEnd w:id="5"/>
    </w:p>
    <w:p w14:paraId="62F01705" w14:textId="77777777" w:rsidR="009E1933" w:rsidRPr="00FA38B2" w:rsidRDefault="009E1933" w:rsidP="0015321A">
      <w:pPr>
        <w:rPr>
          <w:rFonts w:cs="Times New Roman"/>
          <w:szCs w:val="24"/>
        </w:rPr>
      </w:pPr>
      <w:r w:rsidRPr="00FA38B2">
        <w:rPr>
          <w:rFonts w:cs="Times New Roman"/>
          <w:b/>
          <w:szCs w:val="24"/>
        </w:rPr>
        <w:t>Objective</w:t>
      </w:r>
      <w:r w:rsidRPr="00FA38B2">
        <w:rPr>
          <w:rFonts w:cs="Times New Roman"/>
          <w:szCs w:val="24"/>
        </w:rPr>
        <w:t xml:space="preserve">: States increasingly create promise programs to increase college enrollment and degree attainment (Davidson et al., 2018; </w:t>
      </w:r>
      <w:proofErr w:type="spellStart"/>
      <w:r w:rsidRPr="00FA38B2">
        <w:rPr>
          <w:rFonts w:cs="Times New Roman"/>
          <w:szCs w:val="24"/>
        </w:rPr>
        <w:t>Perna</w:t>
      </w:r>
      <w:proofErr w:type="spellEnd"/>
      <w:r w:rsidRPr="00FA38B2">
        <w:rPr>
          <w:rFonts w:cs="Times New Roman"/>
          <w:szCs w:val="24"/>
        </w:rPr>
        <w:t xml:space="preserve"> &amp; Leigh, 2018). The objective of this study was to understand the experiences of adult learners using the Tennessee Reconnect Grant (TN Reconnect) as they transitioned to becoming college students. </w:t>
      </w:r>
      <w:r w:rsidRPr="00FA38B2">
        <w:rPr>
          <w:rFonts w:cs="Times New Roman"/>
          <w:b/>
          <w:szCs w:val="24"/>
        </w:rPr>
        <w:t>Methods:</w:t>
      </w:r>
      <w:r w:rsidRPr="00FA38B2">
        <w:rPr>
          <w:rFonts w:cs="Times New Roman"/>
          <w:szCs w:val="24"/>
        </w:rPr>
        <w:t xml:space="preserve"> Drawing upon interviews with 23 adult learners, this longitudinal qualitative study deployed Schlossberg’s (1981, 1984) Transition Theory to explore the experience of transitioning to college. </w:t>
      </w:r>
      <w:r w:rsidRPr="00FA38B2">
        <w:rPr>
          <w:rFonts w:cs="Times New Roman"/>
          <w:b/>
          <w:szCs w:val="24"/>
        </w:rPr>
        <w:t xml:space="preserve">Results: </w:t>
      </w:r>
      <w:r w:rsidRPr="00FA38B2">
        <w:rPr>
          <w:rFonts w:cs="Times New Roman"/>
          <w:szCs w:val="24"/>
        </w:rPr>
        <w:t xml:space="preserve">Findings revealed students who used the TN Reconnect, many of whom were first-generation and low-income students, faced insurmountable barriers that contributed to their decision to initially not enroll in college or drop out of college. Access to TN Reconnect provided an unexpected opportunity for them to return to college. However, participants still faced barriers often associated with adult, first-generation, and low-income students. </w:t>
      </w:r>
      <w:r w:rsidRPr="00FA38B2">
        <w:rPr>
          <w:rFonts w:cs="Times New Roman"/>
          <w:b/>
          <w:szCs w:val="24"/>
        </w:rPr>
        <w:t xml:space="preserve">Contributions: </w:t>
      </w:r>
      <w:r w:rsidRPr="00FA38B2">
        <w:rPr>
          <w:rFonts w:cs="Times New Roman"/>
          <w:szCs w:val="24"/>
        </w:rPr>
        <w:t xml:space="preserve">Findings suggest state and institutional policy and practice must adapt to fit the unique needs of adult learners to maximize degree completion outcomes. As currently structured, promise programs may not provide substantial benefits to student groups who face significant barriers to success, such as adult learners. State policy makers must explore the benefits to adopting a more equitable policy structure and/or implement additional services and resources for adult learners. </w:t>
      </w:r>
    </w:p>
    <w:p w14:paraId="131536D0" w14:textId="6A22922C" w:rsidR="009E1933" w:rsidRPr="00FA38B2" w:rsidRDefault="009E1933" w:rsidP="0015321A">
      <w:pPr>
        <w:ind w:left="720"/>
        <w:rPr>
          <w:rFonts w:cs="Times New Roman"/>
          <w:szCs w:val="24"/>
        </w:rPr>
      </w:pPr>
      <w:r w:rsidRPr="00FA38B2">
        <w:rPr>
          <w:rFonts w:cs="Times New Roman"/>
          <w:szCs w:val="24"/>
        </w:rPr>
        <w:t xml:space="preserve">Keywords: promise scholarships; 2-year colleges; adult learners; college completion  </w:t>
      </w:r>
    </w:p>
    <w:p w14:paraId="6AEE6231" w14:textId="459F0B42" w:rsidR="009E1933" w:rsidRPr="00FA38B2" w:rsidRDefault="009E1933" w:rsidP="0015321A">
      <w:pPr>
        <w:rPr>
          <w:rFonts w:cs="Times New Roman"/>
          <w:b/>
          <w:szCs w:val="24"/>
        </w:rPr>
      </w:pPr>
      <w:r w:rsidRPr="00FA38B2">
        <w:rPr>
          <w:rFonts w:cs="Times New Roman"/>
          <w:szCs w:val="24"/>
        </w:rPr>
        <w:br w:type="page"/>
      </w:r>
    </w:p>
    <w:p w14:paraId="5195B59C" w14:textId="6F173380" w:rsidR="005918E0" w:rsidRDefault="005918E0" w:rsidP="005918E0">
      <w:pPr>
        <w:ind w:firstLine="720"/>
        <w:jc w:val="center"/>
        <w:rPr>
          <w:rFonts w:cs="Times New Roman"/>
          <w:b/>
          <w:szCs w:val="24"/>
        </w:rPr>
      </w:pPr>
      <w:r w:rsidRPr="005918E0">
        <w:rPr>
          <w:rFonts w:cs="Times New Roman"/>
          <w:b/>
          <w:szCs w:val="24"/>
        </w:rPr>
        <w:lastRenderedPageBreak/>
        <w:t>“I’m Not Letting Nothing Stop me This Time.”: Transitions Among Adult Learners Using the Tennessee Reconnect Grant</w:t>
      </w:r>
    </w:p>
    <w:p w14:paraId="46251DF8" w14:textId="50BBD98C" w:rsidR="009E1933" w:rsidRPr="00FA38B2" w:rsidRDefault="009E1933" w:rsidP="0015321A">
      <w:pPr>
        <w:ind w:firstLine="720"/>
        <w:rPr>
          <w:rFonts w:cs="Times New Roman"/>
          <w:szCs w:val="24"/>
        </w:rPr>
      </w:pPr>
      <w:r w:rsidRPr="00FA38B2">
        <w:rPr>
          <w:rFonts w:cs="Times New Roman"/>
          <w:szCs w:val="24"/>
        </w:rPr>
        <w:t>The demographic landscape of higher education in the United States is evolving, and the idea of the “traditional” student is antiquated (</w:t>
      </w:r>
      <w:proofErr w:type="spellStart"/>
      <w:r w:rsidRPr="00FA38B2">
        <w:rPr>
          <w:rFonts w:cs="Times New Roman"/>
          <w:szCs w:val="24"/>
        </w:rPr>
        <w:t>Goldrick-Rab</w:t>
      </w:r>
      <w:proofErr w:type="spellEnd"/>
      <w:r w:rsidRPr="00FA38B2">
        <w:rPr>
          <w:rFonts w:cs="Times New Roman"/>
          <w:szCs w:val="24"/>
        </w:rPr>
        <w:t>, 2010). Specifically, adult learners—defined as students who are older than 25—are increasingly pursuing postsecondary credentials to further their career and earning prospects (</w:t>
      </w:r>
      <w:proofErr w:type="spellStart"/>
      <w:r w:rsidRPr="00FA38B2">
        <w:rPr>
          <w:rFonts w:cs="Times New Roman"/>
          <w:szCs w:val="24"/>
        </w:rPr>
        <w:t>Carnevale</w:t>
      </w:r>
      <w:proofErr w:type="spellEnd"/>
      <w:r w:rsidRPr="00FA38B2">
        <w:rPr>
          <w:rFonts w:cs="Times New Roman"/>
          <w:szCs w:val="24"/>
        </w:rPr>
        <w:t xml:space="preserve"> et al., 2013). Concurrently, in an attempt to meet workforce needs and rejuvenate state and local economies, policy makers across the country have passed or proposed legislation to make college tuition-free (Davidson, et al., 2018). However, only two states (Oregon and Tennessee) offer tuition-free programs for adult learners (Davidson, et al., 2018). This study explored the experiences of adult learners enrolled in Tennessee’s program, The Tennessee Reconnect Grant. </w:t>
      </w:r>
    </w:p>
    <w:p w14:paraId="18FB94CE" w14:textId="12718C06" w:rsidR="009E1933" w:rsidRPr="00FA38B2" w:rsidRDefault="009E1933" w:rsidP="0015321A">
      <w:pPr>
        <w:ind w:firstLine="720"/>
        <w:rPr>
          <w:rFonts w:cs="Times New Roman"/>
          <w:szCs w:val="24"/>
        </w:rPr>
      </w:pPr>
      <w:r w:rsidRPr="00FA38B2">
        <w:rPr>
          <w:rFonts w:cs="Times New Roman"/>
          <w:szCs w:val="24"/>
        </w:rPr>
        <w:t xml:space="preserve">The Tennessee Reconnect Grant (TN Reconnect) provides eligible adults in Tennessee the opportunity to attend an associate degree or technical certificate granting institution tuition-free through a last-dollar grant. Tuition-free programs, often referred to as promise programs, are either first-dollar (promise aid is applied first and other aid is used for non-tuition costs) or last-dollar (all other aid is applied first and promise aid covers remaining tuition costs) (Jones &amp; Berger, 2018). The TN Reconnect is part of former Tennessee governor Bill Haslam’s Drive to 55 Initiative, which challenged the state to get 55% of Tennesseans a college degree or certificate by 2025. The TN Reconnect is one of two statewide tuition-free grant programs in the United States created to increase postsecondary attainment among non-traditional adult learners (Davidson et al., 2018). As such, there is no research examining the experiences of non-traditional adult learners using a tuition-free grant to pursue postsecondary education. </w:t>
      </w:r>
    </w:p>
    <w:p w14:paraId="068850EC" w14:textId="0183EFD0" w:rsidR="009E1933" w:rsidRPr="00FA38B2" w:rsidRDefault="009E1933" w:rsidP="00CC3DFF">
      <w:pPr>
        <w:ind w:firstLine="720"/>
        <w:contextualSpacing/>
        <w:rPr>
          <w:rFonts w:cs="Times New Roman"/>
          <w:szCs w:val="24"/>
        </w:rPr>
      </w:pPr>
      <w:r w:rsidRPr="00FA38B2">
        <w:rPr>
          <w:rFonts w:cs="Times New Roman"/>
          <w:szCs w:val="24"/>
        </w:rPr>
        <w:lastRenderedPageBreak/>
        <w:t>We developed the study to understand the following about TN Reconnect recipients: (1) their lifetime experiences with education, (2) the influence of the grant on their decision to enroll in college as an adult, and (3) the experience of transitioning from non-student to student. Data were derived from multiple interviews with 23 grant recipients, six first-time students and 17 who attended college earlier in their life but did not earn a college credential or degree. Interviews were initially coded using emergent coding, and codes were used to organize the data into six emergent themes. Following, the research team used Schlossberg’s (1981, 1984) transition framework as a framework for a priori (theoretical) coding and to inform the findings and discussion sections.</w:t>
      </w:r>
    </w:p>
    <w:p w14:paraId="3695160C" w14:textId="77777777" w:rsidR="009E1933" w:rsidRPr="00FA38B2" w:rsidRDefault="009E1933" w:rsidP="00CC3DFF">
      <w:pPr>
        <w:pStyle w:val="Heading2"/>
        <w:spacing w:before="0"/>
        <w:contextualSpacing/>
        <w:jc w:val="center"/>
        <w:rPr>
          <w:rFonts w:cs="Times New Roman"/>
          <w:szCs w:val="24"/>
        </w:rPr>
      </w:pPr>
      <w:bookmarkStart w:id="6" w:name="_Toc70181482"/>
      <w:r w:rsidRPr="00FA38B2">
        <w:rPr>
          <w:rFonts w:cs="Times New Roman"/>
          <w:szCs w:val="24"/>
        </w:rPr>
        <w:t>Literature Review</w:t>
      </w:r>
      <w:bookmarkEnd w:id="6"/>
    </w:p>
    <w:p w14:paraId="107B9990" w14:textId="4351C837" w:rsidR="009E1933" w:rsidRPr="00FA38B2" w:rsidRDefault="002852FB" w:rsidP="00CC3DFF">
      <w:pPr>
        <w:contextualSpacing/>
        <w:rPr>
          <w:rFonts w:cs="Times New Roman"/>
          <w:szCs w:val="24"/>
        </w:rPr>
      </w:pPr>
      <w:bookmarkStart w:id="7" w:name="_gjdgxs" w:colFirst="0" w:colLast="0"/>
      <w:bookmarkEnd w:id="7"/>
      <w:r w:rsidRPr="00FA38B2">
        <w:rPr>
          <w:rFonts w:cs="Times New Roman"/>
          <w:b/>
          <w:szCs w:val="24"/>
        </w:rPr>
        <w:t>Free college</w:t>
      </w:r>
      <w:r w:rsidR="009E1933" w:rsidRPr="00FA38B2">
        <w:rPr>
          <w:rFonts w:cs="Times New Roman"/>
          <w:b/>
          <w:szCs w:val="24"/>
        </w:rPr>
        <w:t xml:space="preserve"> Programs </w:t>
      </w:r>
      <w:r w:rsidR="009E1933" w:rsidRPr="00FA38B2">
        <w:rPr>
          <w:rFonts w:cs="Times New Roman"/>
          <w:szCs w:val="24"/>
        </w:rPr>
        <w:t xml:space="preserve">     </w:t>
      </w:r>
    </w:p>
    <w:p w14:paraId="70BEDC90" w14:textId="041F3761" w:rsidR="009E1933" w:rsidRPr="00FA38B2" w:rsidRDefault="009E1933" w:rsidP="0015321A">
      <w:pPr>
        <w:ind w:firstLine="720"/>
        <w:contextualSpacing/>
        <w:rPr>
          <w:rFonts w:cs="Times New Roman"/>
          <w:szCs w:val="24"/>
        </w:rPr>
      </w:pPr>
      <w:r w:rsidRPr="00FA38B2">
        <w:rPr>
          <w:rFonts w:cs="Times New Roman"/>
          <w:szCs w:val="24"/>
        </w:rPr>
        <w:t xml:space="preserve">Multiple scholars have conducted descriptive analyses of </w:t>
      </w:r>
      <w:r w:rsidR="002852FB" w:rsidRPr="00FA38B2">
        <w:rPr>
          <w:rFonts w:cs="Times New Roman"/>
          <w:szCs w:val="24"/>
        </w:rPr>
        <w:t>free college</w:t>
      </w:r>
      <w:r w:rsidRPr="00FA38B2">
        <w:rPr>
          <w:rFonts w:cs="Times New Roman"/>
          <w:szCs w:val="24"/>
        </w:rPr>
        <w:t xml:space="preserve"> initiatives in the United States (Davidson et al., 2018; </w:t>
      </w:r>
      <w:proofErr w:type="spellStart"/>
      <w:r w:rsidRPr="00FA38B2">
        <w:rPr>
          <w:rFonts w:cs="Times New Roman"/>
          <w:szCs w:val="24"/>
        </w:rPr>
        <w:t>Mishory</w:t>
      </w:r>
      <w:proofErr w:type="spellEnd"/>
      <w:r w:rsidRPr="00FA38B2">
        <w:rPr>
          <w:rFonts w:cs="Times New Roman"/>
          <w:szCs w:val="24"/>
        </w:rPr>
        <w:t xml:space="preserve">, 2018; </w:t>
      </w:r>
      <w:proofErr w:type="spellStart"/>
      <w:r w:rsidRPr="00FA38B2">
        <w:rPr>
          <w:rFonts w:cs="Times New Roman"/>
          <w:szCs w:val="24"/>
        </w:rPr>
        <w:t>Perna</w:t>
      </w:r>
      <w:proofErr w:type="spellEnd"/>
      <w:r w:rsidRPr="00FA38B2">
        <w:rPr>
          <w:rFonts w:cs="Times New Roman"/>
          <w:szCs w:val="24"/>
        </w:rPr>
        <w:t xml:space="preserve"> &amp; Leigh, 2018). </w:t>
      </w:r>
      <w:proofErr w:type="spellStart"/>
      <w:r w:rsidRPr="00FA38B2">
        <w:rPr>
          <w:rFonts w:cs="Times New Roman"/>
          <w:szCs w:val="24"/>
        </w:rPr>
        <w:t>Perna</w:t>
      </w:r>
      <w:proofErr w:type="spellEnd"/>
      <w:r w:rsidRPr="00FA38B2">
        <w:rPr>
          <w:rFonts w:cs="Times New Roman"/>
          <w:szCs w:val="24"/>
        </w:rPr>
        <w:t xml:space="preserve"> and Leigh (2018) identified 289 </w:t>
      </w:r>
      <w:r w:rsidR="002852FB" w:rsidRPr="00FA38B2">
        <w:rPr>
          <w:rFonts w:cs="Times New Roman"/>
          <w:szCs w:val="24"/>
        </w:rPr>
        <w:t>free college</w:t>
      </w:r>
      <w:r w:rsidRPr="00FA38B2">
        <w:rPr>
          <w:rFonts w:cs="Times New Roman"/>
          <w:szCs w:val="24"/>
        </w:rPr>
        <w:t xml:space="preserve"> programs in the United States, the first being the Kalamazoo Promise, which was designed in 2005. The promise moniker is often used for new </w:t>
      </w:r>
      <w:r w:rsidR="002852FB" w:rsidRPr="00FA38B2">
        <w:rPr>
          <w:rFonts w:cs="Times New Roman"/>
          <w:szCs w:val="24"/>
        </w:rPr>
        <w:t>free college</w:t>
      </w:r>
      <w:r w:rsidRPr="00FA38B2">
        <w:rPr>
          <w:rFonts w:cs="Times New Roman"/>
          <w:szCs w:val="24"/>
        </w:rPr>
        <w:t xml:space="preserve"> initiatives, yet the authors point to “the diversity of approaches that is masked by the college promise label” (</w:t>
      </w:r>
      <w:proofErr w:type="spellStart"/>
      <w:r w:rsidRPr="00FA38B2">
        <w:rPr>
          <w:rFonts w:cs="Times New Roman"/>
          <w:szCs w:val="24"/>
        </w:rPr>
        <w:t>Perna</w:t>
      </w:r>
      <w:proofErr w:type="spellEnd"/>
      <w:r w:rsidRPr="00FA38B2">
        <w:rPr>
          <w:rFonts w:cs="Times New Roman"/>
          <w:szCs w:val="24"/>
        </w:rPr>
        <w:t xml:space="preserve"> &amp; Leigh, 2018, p. 164). The authors highlighted diversity of policy characteristics such as last-dollar/first-dollar funding, full-time/part-time enrollment, and merit and age requirements. However, </w:t>
      </w:r>
      <w:proofErr w:type="spellStart"/>
      <w:r w:rsidRPr="00FA38B2">
        <w:rPr>
          <w:rFonts w:cs="Times New Roman"/>
          <w:szCs w:val="24"/>
        </w:rPr>
        <w:t>Perna</w:t>
      </w:r>
      <w:proofErr w:type="spellEnd"/>
      <w:r w:rsidRPr="00FA38B2">
        <w:rPr>
          <w:rFonts w:cs="Times New Roman"/>
          <w:szCs w:val="24"/>
        </w:rPr>
        <w:t xml:space="preserve"> and Leigh (2018) also emphasized the importance of future research exploring subjective characteristics of promise programs such as support services, communication, program awareness, and diversity of programs.  </w:t>
      </w:r>
    </w:p>
    <w:p w14:paraId="65206371" w14:textId="5C1B24EA" w:rsidR="009E1933" w:rsidRPr="00FA38B2" w:rsidRDefault="009E1933" w:rsidP="0015321A">
      <w:pPr>
        <w:ind w:firstLine="720"/>
        <w:rPr>
          <w:rFonts w:cs="Times New Roman"/>
          <w:szCs w:val="24"/>
        </w:rPr>
      </w:pPr>
      <w:proofErr w:type="spellStart"/>
      <w:r w:rsidRPr="00FA38B2">
        <w:rPr>
          <w:rFonts w:cs="Times New Roman"/>
          <w:szCs w:val="24"/>
        </w:rPr>
        <w:t>Gershenfeld</w:t>
      </w:r>
      <w:proofErr w:type="spellEnd"/>
      <w:r w:rsidRPr="00FA38B2">
        <w:rPr>
          <w:rFonts w:cs="Times New Roman"/>
          <w:szCs w:val="24"/>
        </w:rPr>
        <w:t xml:space="preserve"> et al. (2019) reported that students who receive a tuition-free grant at a four-year university are 2.4 times more likely to graduate within five years compared to peers who do </w:t>
      </w:r>
      <w:r w:rsidRPr="00FA38B2">
        <w:rPr>
          <w:rFonts w:cs="Times New Roman"/>
          <w:szCs w:val="24"/>
        </w:rPr>
        <w:lastRenderedPageBreak/>
        <w:t xml:space="preserve">not receive a tuition-free grant. Miller-Adams and Smith (2018) found that promise programs “can expand students’ postsecondary aspirations, improve a school district’s college-going culture, and increase college enrollment and degree attainment while promoting in-migration of residents and positive growth in housing prices” (p. 2). The authors noted that most programs do not support adult students and suggested doing so would provide additional benefits to local economies. </w:t>
      </w:r>
    </w:p>
    <w:p w14:paraId="2693CBE1" w14:textId="6F8E9DD8" w:rsidR="009E1933" w:rsidRPr="00FA38B2" w:rsidRDefault="009E1933" w:rsidP="0015321A">
      <w:pPr>
        <w:ind w:firstLine="720"/>
        <w:rPr>
          <w:rFonts w:cs="Times New Roman"/>
          <w:szCs w:val="24"/>
        </w:rPr>
      </w:pPr>
      <w:r w:rsidRPr="00FA38B2">
        <w:rPr>
          <w:rFonts w:cs="Times New Roman"/>
          <w:szCs w:val="24"/>
        </w:rPr>
        <w:t xml:space="preserve">While local promise programs have existed since 2005, state-based promise programs are a recent development (Davidson et al., 2018; </w:t>
      </w:r>
      <w:proofErr w:type="spellStart"/>
      <w:r w:rsidRPr="00FA38B2">
        <w:rPr>
          <w:rFonts w:cs="Times New Roman"/>
          <w:szCs w:val="24"/>
        </w:rPr>
        <w:t>Mishory</w:t>
      </w:r>
      <w:proofErr w:type="spellEnd"/>
      <w:r w:rsidRPr="00FA38B2">
        <w:rPr>
          <w:rFonts w:cs="Times New Roman"/>
          <w:szCs w:val="24"/>
        </w:rPr>
        <w:t xml:space="preserve">, 2018). Davidson et al. (2018) highlighted 13 state-based programs in their analysis; the authors found only two programs were open to non-traditional aged students. Scholars questioned the effectiveness of state-based promise programs and the last-dollar structure most adopted (Bell, 2020; Davidson et al., 2018; Jones &amp; Berger, 2018). However, due to the novelty of state-based tuition-free college initiatives, there is a dearth of research exploring their effectiveness and no research exploring adult learners’ experiences using a last-dollar state-based promise program.     </w:t>
      </w:r>
    </w:p>
    <w:p w14:paraId="0F014AD0" w14:textId="77777777" w:rsidR="009E1933" w:rsidRPr="00FA38B2" w:rsidRDefault="009E1933" w:rsidP="0015321A">
      <w:pPr>
        <w:rPr>
          <w:rFonts w:cs="Times New Roman"/>
          <w:szCs w:val="24"/>
        </w:rPr>
      </w:pPr>
      <w:r w:rsidRPr="00FA38B2">
        <w:rPr>
          <w:rFonts w:cs="Times New Roman"/>
          <w:b/>
          <w:szCs w:val="24"/>
        </w:rPr>
        <w:t xml:space="preserve">Adult Learner Success </w:t>
      </w:r>
      <w:r w:rsidRPr="00FA38B2">
        <w:rPr>
          <w:rFonts w:cs="Times New Roman"/>
          <w:szCs w:val="24"/>
        </w:rPr>
        <w:t xml:space="preserve">     </w:t>
      </w:r>
    </w:p>
    <w:p w14:paraId="2A5C8B78" w14:textId="70BBACA1" w:rsidR="00CC3DFF" w:rsidRPr="00CC3DFF" w:rsidRDefault="009E1933" w:rsidP="00CC3DFF">
      <w:pPr>
        <w:ind w:firstLine="720"/>
        <w:rPr>
          <w:rFonts w:cs="Times New Roman"/>
          <w:szCs w:val="24"/>
        </w:rPr>
      </w:pPr>
      <w:r w:rsidRPr="00FA38B2">
        <w:rPr>
          <w:rFonts w:cs="Times New Roman"/>
          <w:szCs w:val="24"/>
        </w:rPr>
        <w:t xml:space="preserve">Choy (2002) highlighted challenges associated with family and work responsibilities that compete with school for adult learners’ time, energy, and financial resources. Building off these considerations, </w:t>
      </w:r>
      <w:proofErr w:type="spellStart"/>
      <w:r w:rsidRPr="00FA38B2">
        <w:rPr>
          <w:rFonts w:cs="Times New Roman"/>
          <w:szCs w:val="24"/>
        </w:rPr>
        <w:t>Ritt</w:t>
      </w:r>
      <w:proofErr w:type="spellEnd"/>
      <w:r w:rsidRPr="00FA38B2">
        <w:rPr>
          <w:rFonts w:cs="Times New Roman"/>
          <w:szCs w:val="24"/>
        </w:rPr>
        <w:t xml:space="preserve"> (2008) added that personal, professional, and institutional barriers can also cause delays or struggles for adult learners. </w:t>
      </w:r>
      <w:proofErr w:type="spellStart"/>
      <w:r w:rsidRPr="00FA38B2">
        <w:rPr>
          <w:rFonts w:cs="Times New Roman"/>
          <w:szCs w:val="24"/>
        </w:rPr>
        <w:t>Deil</w:t>
      </w:r>
      <w:proofErr w:type="spellEnd"/>
      <w:r w:rsidRPr="00FA38B2">
        <w:rPr>
          <w:rFonts w:cs="Times New Roman"/>
          <w:szCs w:val="24"/>
        </w:rPr>
        <w:t xml:space="preserve">-Amen (2011) recommended proactively connecting students early with faculty and advisors as mentors, working to affirm grant recipients’ sense of academic competence, and providing them with additional aid to navigate the institution. The researcher also speculated that cohort models could facilitate sustained </w:t>
      </w:r>
      <w:r w:rsidRPr="00FA38B2">
        <w:rPr>
          <w:rFonts w:cs="Times New Roman"/>
          <w:szCs w:val="24"/>
        </w:rPr>
        <w:lastRenderedPageBreak/>
        <w:t>connections to others through devoted class time, networking opportunities, or even in online communities.</w:t>
      </w:r>
    </w:p>
    <w:p w14:paraId="042F4EE2" w14:textId="4394465F" w:rsidR="009E1933" w:rsidRPr="00FA38B2" w:rsidRDefault="009E1933" w:rsidP="0015321A">
      <w:pPr>
        <w:rPr>
          <w:rFonts w:cs="Times New Roman"/>
          <w:b/>
          <w:szCs w:val="24"/>
        </w:rPr>
      </w:pPr>
      <w:r w:rsidRPr="00FA38B2">
        <w:rPr>
          <w:rFonts w:cs="Times New Roman"/>
          <w:b/>
          <w:szCs w:val="24"/>
        </w:rPr>
        <w:t xml:space="preserve">Tennessee Reconnect      </w:t>
      </w:r>
    </w:p>
    <w:p w14:paraId="25F1DC31" w14:textId="17A400A5" w:rsidR="009E1933" w:rsidRPr="00FA38B2" w:rsidRDefault="009E1933" w:rsidP="0015321A">
      <w:pPr>
        <w:ind w:firstLine="360"/>
        <w:rPr>
          <w:rFonts w:cs="Times New Roman"/>
          <w:szCs w:val="24"/>
        </w:rPr>
      </w:pPr>
      <w:r w:rsidRPr="00FA38B2">
        <w:rPr>
          <w:rFonts w:cs="Times New Roman"/>
          <w:szCs w:val="24"/>
        </w:rPr>
        <w:t xml:space="preserve">The TN Reconnect </w:t>
      </w:r>
      <w:r w:rsidRPr="00FA38B2">
        <w:rPr>
          <w:rFonts w:cs="Times New Roman"/>
          <w:szCs w:val="24"/>
          <w:highlight w:val="white"/>
        </w:rPr>
        <w:t>is a last-dollar grant that pays the remaining balance of tuition and mandatory fees after other state and federal financial aid have been applied.</w:t>
      </w:r>
      <w:r w:rsidRPr="00FA38B2">
        <w:rPr>
          <w:rFonts w:cs="Times New Roman"/>
          <w:szCs w:val="24"/>
        </w:rPr>
        <w:t xml:space="preserve"> The TN Reconnect is part of former Tennessee governor Bill Haslam’s Drive to 55 Initiative, which challenged the state to get 55% of Tennesseans to earn an associate degree or technical certificate by 2025. The grant may be applied toward the pursuit of an associate degree, technical degree, or technical diploma at a Tennessee community college or technical college. It may also be used at an eligible public or private college or university in Tennessee towards an eligible associate degree. To be eligible for the TN Reconnect;</w:t>
      </w:r>
    </w:p>
    <w:p w14:paraId="4A98FE18" w14:textId="77777777" w:rsidR="009E1933" w:rsidRPr="00FA38B2" w:rsidRDefault="009E1933" w:rsidP="0015321A">
      <w:pPr>
        <w:numPr>
          <w:ilvl w:val="0"/>
          <w:numId w:val="7"/>
        </w:numPr>
        <w:rPr>
          <w:rFonts w:cs="Times New Roman"/>
          <w:szCs w:val="24"/>
        </w:rPr>
      </w:pPr>
      <w:r w:rsidRPr="00FA38B2">
        <w:rPr>
          <w:rFonts w:cs="Times New Roman"/>
          <w:szCs w:val="24"/>
        </w:rPr>
        <w:t xml:space="preserve">students must be a Tennessee resident for at least one year, </w:t>
      </w:r>
    </w:p>
    <w:p w14:paraId="6A58C4B2" w14:textId="77777777" w:rsidR="009E1933" w:rsidRPr="00FA38B2" w:rsidRDefault="009E1933" w:rsidP="0015321A">
      <w:pPr>
        <w:numPr>
          <w:ilvl w:val="0"/>
          <w:numId w:val="7"/>
        </w:numPr>
        <w:rPr>
          <w:rFonts w:cs="Times New Roman"/>
          <w:szCs w:val="24"/>
        </w:rPr>
      </w:pPr>
      <w:r w:rsidRPr="00FA38B2">
        <w:rPr>
          <w:rFonts w:cs="Times New Roman"/>
          <w:szCs w:val="24"/>
        </w:rPr>
        <w:t xml:space="preserve">be a U.S. Citizen or eligible non-citizen, </w:t>
      </w:r>
    </w:p>
    <w:p w14:paraId="6A7EC2AB" w14:textId="77777777" w:rsidR="009E1933" w:rsidRPr="00FA38B2" w:rsidRDefault="009E1933" w:rsidP="0015321A">
      <w:pPr>
        <w:numPr>
          <w:ilvl w:val="0"/>
          <w:numId w:val="7"/>
        </w:numPr>
        <w:rPr>
          <w:rFonts w:cs="Times New Roman"/>
          <w:szCs w:val="24"/>
        </w:rPr>
      </w:pPr>
      <w:r w:rsidRPr="00FA38B2">
        <w:rPr>
          <w:rFonts w:cs="Times New Roman"/>
          <w:szCs w:val="24"/>
        </w:rPr>
        <w:t xml:space="preserve">qualify as an independent student on the FAFSA, </w:t>
      </w:r>
    </w:p>
    <w:p w14:paraId="1BFF0A71" w14:textId="77777777" w:rsidR="009E1933" w:rsidRPr="00FA38B2" w:rsidRDefault="009E1933" w:rsidP="0015321A">
      <w:pPr>
        <w:numPr>
          <w:ilvl w:val="0"/>
          <w:numId w:val="7"/>
        </w:numPr>
        <w:rPr>
          <w:rFonts w:cs="Times New Roman"/>
          <w:szCs w:val="24"/>
        </w:rPr>
      </w:pPr>
      <w:r w:rsidRPr="00FA38B2">
        <w:rPr>
          <w:rFonts w:cs="Times New Roman"/>
          <w:szCs w:val="24"/>
        </w:rPr>
        <w:t xml:space="preserve">comply with the U.S. Selective Service requirements, </w:t>
      </w:r>
    </w:p>
    <w:p w14:paraId="22404F3E" w14:textId="77777777" w:rsidR="009E1933" w:rsidRPr="00FA38B2" w:rsidRDefault="009E1933" w:rsidP="0015321A">
      <w:pPr>
        <w:numPr>
          <w:ilvl w:val="0"/>
          <w:numId w:val="7"/>
        </w:numPr>
        <w:rPr>
          <w:rFonts w:cs="Times New Roman"/>
          <w:szCs w:val="24"/>
        </w:rPr>
      </w:pPr>
      <w:r w:rsidRPr="00FA38B2">
        <w:rPr>
          <w:rFonts w:cs="Times New Roman"/>
          <w:szCs w:val="24"/>
        </w:rPr>
        <w:t xml:space="preserve">not be incarcerated, </w:t>
      </w:r>
    </w:p>
    <w:p w14:paraId="182CCE39" w14:textId="77777777" w:rsidR="009E1933" w:rsidRPr="00FA38B2" w:rsidRDefault="009E1933" w:rsidP="0015321A">
      <w:pPr>
        <w:numPr>
          <w:ilvl w:val="0"/>
          <w:numId w:val="7"/>
        </w:numPr>
        <w:rPr>
          <w:rFonts w:cs="Times New Roman"/>
          <w:szCs w:val="24"/>
        </w:rPr>
      </w:pPr>
      <w:r w:rsidRPr="00FA38B2">
        <w:rPr>
          <w:rFonts w:cs="Times New Roman"/>
          <w:szCs w:val="24"/>
        </w:rPr>
        <w:t xml:space="preserve">not have previously earned an associate or baccalaureate degree, </w:t>
      </w:r>
    </w:p>
    <w:p w14:paraId="09F02C3D" w14:textId="77777777" w:rsidR="009E1933" w:rsidRPr="00FA38B2" w:rsidRDefault="009E1933" w:rsidP="0015321A">
      <w:pPr>
        <w:numPr>
          <w:ilvl w:val="0"/>
          <w:numId w:val="7"/>
        </w:numPr>
        <w:rPr>
          <w:rFonts w:cs="Times New Roman"/>
          <w:szCs w:val="24"/>
        </w:rPr>
      </w:pPr>
      <w:r w:rsidRPr="00FA38B2">
        <w:rPr>
          <w:rFonts w:cs="Times New Roman"/>
          <w:szCs w:val="24"/>
        </w:rPr>
        <w:t xml:space="preserve">not be in default on student loan, </w:t>
      </w:r>
    </w:p>
    <w:p w14:paraId="5DDDD73B" w14:textId="77777777" w:rsidR="009E1933" w:rsidRPr="00FA38B2" w:rsidRDefault="009E1933" w:rsidP="0015321A">
      <w:pPr>
        <w:numPr>
          <w:ilvl w:val="0"/>
          <w:numId w:val="7"/>
        </w:numPr>
        <w:rPr>
          <w:rFonts w:cs="Times New Roman"/>
          <w:szCs w:val="24"/>
        </w:rPr>
      </w:pPr>
      <w:r w:rsidRPr="00FA38B2">
        <w:rPr>
          <w:rFonts w:cs="Times New Roman"/>
          <w:szCs w:val="24"/>
        </w:rPr>
        <w:t xml:space="preserve">not owe an outstanding balance to an institution, </w:t>
      </w:r>
    </w:p>
    <w:p w14:paraId="2296DFAE" w14:textId="77777777" w:rsidR="009E1933" w:rsidRPr="00FA38B2" w:rsidRDefault="009E1933" w:rsidP="0015321A">
      <w:pPr>
        <w:numPr>
          <w:ilvl w:val="0"/>
          <w:numId w:val="7"/>
        </w:numPr>
        <w:rPr>
          <w:rFonts w:cs="Times New Roman"/>
          <w:szCs w:val="24"/>
        </w:rPr>
      </w:pPr>
      <w:r w:rsidRPr="00FA38B2">
        <w:rPr>
          <w:rFonts w:cs="Times New Roman"/>
          <w:szCs w:val="24"/>
        </w:rPr>
        <w:t xml:space="preserve">be admitted to and enroll in a Tennessee public community college at least part-time (6 hours) in courses leading to a certificate or associate degree, </w:t>
      </w:r>
    </w:p>
    <w:p w14:paraId="110FE99C" w14:textId="77777777" w:rsidR="009E1933" w:rsidRPr="00FA38B2" w:rsidRDefault="009E1933" w:rsidP="0015321A">
      <w:pPr>
        <w:numPr>
          <w:ilvl w:val="0"/>
          <w:numId w:val="7"/>
        </w:numPr>
        <w:rPr>
          <w:rFonts w:cs="Times New Roman"/>
          <w:szCs w:val="24"/>
        </w:rPr>
      </w:pPr>
      <w:r w:rsidRPr="00FA38B2">
        <w:rPr>
          <w:rFonts w:cs="Times New Roman"/>
          <w:szCs w:val="24"/>
        </w:rPr>
        <w:t xml:space="preserve">maintain a minimum 2.0 GPA, </w:t>
      </w:r>
    </w:p>
    <w:p w14:paraId="2A81BF85" w14:textId="77777777" w:rsidR="009E1933" w:rsidRPr="00FA38B2" w:rsidRDefault="009E1933" w:rsidP="0015321A">
      <w:pPr>
        <w:numPr>
          <w:ilvl w:val="0"/>
          <w:numId w:val="7"/>
        </w:numPr>
        <w:rPr>
          <w:rFonts w:cs="Times New Roman"/>
          <w:szCs w:val="24"/>
        </w:rPr>
      </w:pPr>
      <w:r w:rsidRPr="00FA38B2">
        <w:rPr>
          <w:rFonts w:cs="Times New Roman"/>
          <w:szCs w:val="24"/>
        </w:rPr>
        <w:t xml:space="preserve">complete the renewal FAFSA each year, </w:t>
      </w:r>
    </w:p>
    <w:p w14:paraId="4E9D0D7C" w14:textId="77777777" w:rsidR="009E1933" w:rsidRPr="00FA38B2" w:rsidRDefault="009E1933" w:rsidP="0015321A">
      <w:pPr>
        <w:numPr>
          <w:ilvl w:val="0"/>
          <w:numId w:val="7"/>
        </w:numPr>
        <w:rPr>
          <w:rFonts w:cs="Times New Roman"/>
          <w:szCs w:val="24"/>
        </w:rPr>
      </w:pPr>
      <w:r w:rsidRPr="00FA38B2">
        <w:rPr>
          <w:rFonts w:cs="Times New Roman"/>
          <w:szCs w:val="24"/>
        </w:rPr>
        <w:lastRenderedPageBreak/>
        <w:t xml:space="preserve">and, continue to participate in the Reconnect success plan by completing the Reconnect Grant application every year.    </w:t>
      </w:r>
    </w:p>
    <w:p w14:paraId="7A1B226A" w14:textId="07CA3C37" w:rsidR="009E1933" w:rsidRPr="00FA38B2" w:rsidRDefault="009E1933" w:rsidP="0015321A">
      <w:pPr>
        <w:ind w:firstLine="360"/>
        <w:rPr>
          <w:rFonts w:cs="Times New Roman"/>
          <w:szCs w:val="24"/>
        </w:rPr>
      </w:pPr>
      <w:r w:rsidRPr="00FA38B2">
        <w:rPr>
          <w:rFonts w:cs="Times New Roman"/>
          <w:szCs w:val="24"/>
        </w:rPr>
        <w:t xml:space="preserve">Students who received the Reconnect grant have access to local Reconnect Navigators, college advisors who specialize in adult learners and connect them to resources. Navigators create a success plan based on a student’s previous academic history and their individual needs. The success plan program was implemented following data collection for this project.      </w:t>
      </w:r>
    </w:p>
    <w:p w14:paraId="7E042A93" w14:textId="77777777" w:rsidR="009E1933" w:rsidRPr="00FA38B2" w:rsidRDefault="009E1933" w:rsidP="0015321A">
      <w:pPr>
        <w:pStyle w:val="Heading2"/>
        <w:jc w:val="center"/>
        <w:rPr>
          <w:rFonts w:cs="Times New Roman"/>
          <w:szCs w:val="24"/>
        </w:rPr>
      </w:pPr>
      <w:bookmarkStart w:id="8" w:name="_Toc70181483"/>
      <w:r w:rsidRPr="00FA38B2">
        <w:rPr>
          <w:rFonts w:cs="Times New Roman"/>
          <w:szCs w:val="24"/>
        </w:rPr>
        <w:t>Theoretical Framework</w:t>
      </w:r>
      <w:bookmarkEnd w:id="8"/>
    </w:p>
    <w:p w14:paraId="00E2432A" w14:textId="40E4F8FB" w:rsidR="009E1933" w:rsidRPr="00FA38B2" w:rsidRDefault="009E1933" w:rsidP="0015321A">
      <w:pPr>
        <w:ind w:firstLine="720"/>
        <w:rPr>
          <w:rFonts w:cs="Times New Roman"/>
          <w:szCs w:val="24"/>
        </w:rPr>
      </w:pPr>
      <w:r w:rsidRPr="00FA38B2">
        <w:rPr>
          <w:rFonts w:cs="Times New Roman"/>
          <w:szCs w:val="24"/>
        </w:rPr>
        <w:t xml:space="preserve">Schlossberg’s (1981, 1984) Transition Theory served as a theoretical framework for which data were analyzed through </w:t>
      </w:r>
      <w:r w:rsidRPr="00FA38B2">
        <w:rPr>
          <w:rFonts w:cs="Times New Roman"/>
          <w:i/>
          <w:szCs w:val="24"/>
        </w:rPr>
        <w:t>a-priori</w:t>
      </w:r>
      <w:r w:rsidRPr="00FA38B2">
        <w:rPr>
          <w:rFonts w:cs="Times New Roman"/>
          <w:szCs w:val="24"/>
        </w:rPr>
        <w:t xml:space="preserve"> coding (</w:t>
      </w:r>
      <w:proofErr w:type="spellStart"/>
      <w:r w:rsidRPr="00FA38B2">
        <w:rPr>
          <w:rFonts w:cs="Times New Roman"/>
          <w:szCs w:val="24"/>
        </w:rPr>
        <w:t>Charmaz</w:t>
      </w:r>
      <w:proofErr w:type="spellEnd"/>
      <w:r w:rsidRPr="00FA38B2">
        <w:rPr>
          <w:rFonts w:cs="Times New Roman"/>
          <w:szCs w:val="24"/>
        </w:rPr>
        <w:t xml:space="preserve">, 2008). Schlossberg’s model provides a “framework in which transitions of all kind—positive and negative, dramatic and ordinary—can be analyzed, and possible interventions formulated” (p. 3, 1981). Her transition theory fits this study well as it is grounded within adult development literature (Patton et al., 2016). Furthermore, the theory is widely used in college contexts to understand the experience of transitioning from non-student to student (Anderson et al., 2011; Patton et al., 2016; McCoy, 2015). </w:t>
      </w:r>
    </w:p>
    <w:p w14:paraId="03375C2E" w14:textId="1321F413" w:rsidR="009E1933" w:rsidRPr="00FA38B2" w:rsidRDefault="009E1933" w:rsidP="0015321A">
      <w:pPr>
        <w:ind w:firstLine="720"/>
        <w:rPr>
          <w:rFonts w:cs="Times New Roman"/>
          <w:szCs w:val="24"/>
        </w:rPr>
      </w:pPr>
      <w:r w:rsidRPr="00FA38B2">
        <w:rPr>
          <w:rFonts w:cs="Times New Roman"/>
          <w:szCs w:val="24"/>
        </w:rPr>
        <w:t xml:space="preserve">Schlossberg’s (1981) early transition model presented three sets of factors that influence adult transitions: type, context, and impact. Schlossberg (1981, 1984) defined three </w:t>
      </w:r>
      <w:r w:rsidRPr="00FA38B2">
        <w:rPr>
          <w:rFonts w:cs="Times New Roman"/>
          <w:i/>
          <w:szCs w:val="24"/>
        </w:rPr>
        <w:t>types</w:t>
      </w:r>
      <w:r w:rsidRPr="00FA38B2">
        <w:rPr>
          <w:rFonts w:cs="Times New Roman"/>
          <w:szCs w:val="24"/>
        </w:rPr>
        <w:t xml:space="preserve"> of transitions: anticipated transitions, unanticipated transitions, and non-events. Non-events refer to transitions that were expected but never came to fruition (Anderson, et al., 2011). </w:t>
      </w:r>
      <w:r w:rsidRPr="00FA38B2">
        <w:rPr>
          <w:rFonts w:cs="Times New Roman"/>
          <w:i/>
          <w:szCs w:val="24"/>
        </w:rPr>
        <w:t>Context</w:t>
      </w:r>
      <w:r w:rsidRPr="00FA38B2">
        <w:rPr>
          <w:rFonts w:cs="Times New Roman"/>
          <w:szCs w:val="24"/>
        </w:rPr>
        <w:t xml:space="preserve"> “refers to the individual’s relationship to the transition and to the setting in which the transition occurs” (Patton et al., 2016, p. 37). </w:t>
      </w:r>
      <w:r w:rsidRPr="00FA38B2">
        <w:rPr>
          <w:rFonts w:cs="Times New Roman"/>
          <w:i/>
          <w:szCs w:val="24"/>
        </w:rPr>
        <w:t>Impact</w:t>
      </w:r>
      <w:r w:rsidRPr="00FA38B2">
        <w:rPr>
          <w:rFonts w:cs="Times New Roman"/>
          <w:szCs w:val="24"/>
        </w:rPr>
        <w:t xml:space="preserve"> refers to the way in which the transition affects daily life. </w:t>
      </w:r>
    </w:p>
    <w:p w14:paraId="7DD813D8" w14:textId="478DFC6B" w:rsidR="009E1933" w:rsidRPr="00FA38B2" w:rsidRDefault="009E1933" w:rsidP="0015321A">
      <w:pPr>
        <w:ind w:firstLine="720"/>
        <w:rPr>
          <w:rFonts w:cs="Times New Roman"/>
          <w:szCs w:val="24"/>
        </w:rPr>
      </w:pPr>
      <w:r w:rsidRPr="00FA38B2">
        <w:rPr>
          <w:rFonts w:cs="Times New Roman"/>
          <w:szCs w:val="24"/>
        </w:rPr>
        <w:t xml:space="preserve">In her later work, Schlossberg (1984) expanded her theory to include potential resources available to the person in transition, as well as how people can use their existing and new </w:t>
      </w:r>
      <w:r w:rsidRPr="00FA38B2">
        <w:rPr>
          <w:rFonts w:cs="Times New Roman"/>
          <w:szCs w:val="24"/>
        </w:rPr>
        <w:lastRenderedPageBreak/>
        <w:t xml:space="preserve">resources during the transition; these are known as the four S’s of transition (Anderson et al., 2011). </w:t>
      </w:r>
      <w:r w:rsidRPr="00FA38B2">
        <w:rPr>
          <w:rFonts w:cs="Times New Roman"/>
          <w:i/>
          <w:szCs w:val="24"/>
        </w:rPr>
        <w:t>Situation</w:t>
      </w:r>
      <w:r w:rsidRPr="00FA38B2">
        <w:rPr>
          <w:rFonts w:cs="Times New Roman"/>
          <w:szCs w:val="24"/>
        </w:rPr>
        <w:t xml:space="preserve"> of the transition involves the trigger (what caused the transition), timing, control, role change, duration, previous experiences, stress, and assessment. </w:t>
      </w:r>
      <w:r w:rsidRPr="00FA38B2">
        <w:rPr>
          <w:rFonts w:cs="Times New Roman"/>
          <w:i/>
          <w:szCs w:val="24"/>
        </w:rPr>
        <w:t>Self</w:t>
      </w:r>
      <w:r w:rsidRPr="00FA38B2">
        <w:rPr>
          <w:rFonts w:cs="Times New Roman"/>
          <w:szCs w:val="24"/>
        </w:rPr>
        <w:t xml:space="preserve"> involves the personal and demographic characteristics of individuals as well as their psychological resources. </w:t>
      </w:r>
      <w:r w:rsidRPr="00FA38B2">
        <w:rPr>
          <w:rFonts w:cs="Times New Roman"/>
          <w:i/>
          <w:szCs w:val="24"/>
        </w:rPr>
        <w:t>Support</w:t>
      </w:r>
      <w:r w:rsidRPr="00FA38B2">
        <w:rPr>
          <w:rFonts w:cs="Times New Roman"/>
          <w:szCs w:val="24"/>
        </w:rPr>
        <w:t xml:space="preserve"> includes intimate relationships, family, friends, and institutions/communities. </w:t>
      </w:r>
      <w:r w:rsidRPr="00FA38B2">
        <w:rPr>
          <w:rFonts w:cs="Times New Roman"/>
          <w:i/>
          <w:szCs w:val="24"/>
        </w:rPr>
        <w:t>Strategies</w:t>
      </w:r>
      <w:r w:rsidRPr="00FA38B2">
        <w:rPr>
          <w:rFonts w:cs="Times New Roman"/>
          <w:szCs w:val="24"/>
        </w:rPr>
        <w:t xml:space="preserve"> refer to coping strategies that modify the situation, control the meaning of the problem, and aid in managing the stress (Anderson et al., 2011; Patton et al., 2016; Schlossberg, 1984). </w:t>
      </w:r>
    </w:p>
    <w:p w14:paraId="657E4794" w14:textId="33D4ABD1" w:rsidR="009E1933" w:rsidRPr="00FA38B2" w:rsidRDefault="009E1933" w:rsidP="0015321A">
      <w:pPr>
        <w:ind w:firstLine="720"/>
        <w:rPr>
          <w:rFonts w:cs="Times New Roman"/>
          <w:szCs w:val="24"/>
        </w:rPr>
      </w:pPr>
      <w:r w:rsidRPr="00FA38B2">
        <w:rPr>
          <w:rFonts w:cs="Times New Roman"/>
          <w:szCs w:val="24"/>
        </w:rPr>
        <w:t xml:space="preserve">Policy decisions are often based on data and theory that may not represent the lived experiences and identities of all students as they transition through postsecondary education (Archer, 2007; Harper et al., 2009; Shaw, 2004). Schlossberg’s theory, however, emphasizes the individual factors that influence transitions, including the situation, self, support, and strategies (Anderson et al., 2011; Schlossberg, 1984). Her model was not created to provide a definite timeline of transitions that should occur during one’s life, but instead “incorporates the notion of variability while at the same time presenting a structural approach” (Anderson et al., 2011, p. 37). </w:t>
      </w:r>
    </w:p>
    <w:p w14:paraId="388CDEE5" w14:textId="77777777" w:rsidR="009E1933" w:rsidRPr="00FA38B2" w:rsidRDefault="009E1933" w:rsidP="0015321A">
      <w:pPr>
        <w:pStyle w:val="Heading2"/>
        <w:jc w:val="center"/>
        <w:rPr>
          <w:rFonts w:cs="Times New Roman"/>
          <w:szCs w:val="24"/>
        </w:rPr>
      </w:pPr>
      <w:bookmarkStart w:id="9" w:name="_Toc70181484"/>
      <w:r w:rsidRPr="00FA38B2">
        <w:rPr>
          <w:rFonts w:cs="Times New Roman"/>
          <w:szCs w:val="24"/>
        </w:rPr>
        <w:t>Methodology</w:t>
      </w:r>
      <w:bookmarkEnd w:id="9"/>
    </w:p>
    <w:p w14:paraId="0F4FC0C6" w14:textId="6F8AD837" w:rsidR="009E1933" w:rsidRPr="00FA38B2" w:rsidRDefault="009E1933" w:rsidP="0015321A">
      <w:pPr>
        <w:ind w:firstLine="360"/>
        <w:rPr>
          <w:rFonts w:cs="Times New Roman"/>
          <w:szCs w:val="24"/>
        </w:rPr>
      </w:pPr>
      <w:r w:rsidRPr="00FA38B2">
        <w:rPr>
          <w:rFonts w:cs="Times New Roman"/>
          <w:szCs w:val="24"/>
        </w:rPr>
        <w:t xml:space="preserve">Data for this project were derived from a multiyear qualitative project, </w:t>
      </w:r>
      <w:r w:rsidRPr="00FA38B2">
        <w:rPr>
          <w:rFonts w:cs="Times New Roman"/>
          <w:i/>
          <w:szCs w:val="24"/>
        </w:rPr>
        <w:t>Understanding How Students Reconnect: A Longitudinal Study</w:t>
      </w:r>
      <w:r w:rsidRPr="00FA38B2">
        <w:rPr>
          <w:rFonts w:cs="Times New Roman"/>
          <w:szCs w:val="24"/>
        </w:rPr>
        <w:t xml:space="preserve"> (2018). Data were collected longitudinally during a two-year period and involved multi-stage individual interviews with 23 TN Reconnect recipients. This longitudinal design allowed for focus on a single issue through different perspectives of individuals at different points in their lives (</w:t>
      </w:r>
      <w:proofErr w:type="spellStart"/>
      <w:r w:rsidRPr="00FA38B2">
        <w:rPr>
          <w:rFonts w:cs="Times New Roman"/>
          <w:szCs w:val="24"/>
        </w:rPr>
        <w:t>Derrington</w:t>
      </w:r>
      <w:proofErr w:type="spellEnd"/>
      <w:r w:rsidRPr="00FA38B2">
        <w:rPr>
          <w:rFonts w:cs="Times New Roman"/>
          <w:szCs w:val="24"/>
        </w:rPr>
        <w:t xml:space="preserve">, 2018). We selected qualitative research methods, specifically semi-structured interviews, to give voice to the participants and their lived experiences. Personal stories provided insight into the unique challenges participants faced, </w:t>
      </w:r>
      <w:r w:rsidRPr="00FA38B2">
        <w:rPr>
          <w:rFonts w:cs="Times New Roman"/>
          <w:szCs w:val="24"/>
        </w:rPr>
        <w:lastRenderedPageBreak/>
        <w:t xml:space="preserve">which would not have been attainable through close-ended questions (Merriam &amp; </w:t>
      </w:r>
      <w:proofErr w:type="spellStart"/>
      <w:r w:rsidRPr="00FA38B2">
        <w:rPr>
          <w:rFonts w:cs="Times New Roman"/>
          <w:szCs w:val="24"/>
        </w:rPr>
        <w:t>Tisdell</w:t>
      </w:r>
      <w:proofErr w:type="spellEnd"/>
      <w:r w:rsidRPr="00FA38B2">
        <w:rPr>
          <w:rFonts w:cs="Times New Roman"/>
          <w:szCs w:val="24"/>
        </w:rPr>
        <w:t xml:space="preserve">, 2015). The research questions that guided this study were as follows: </w:t>
      </w:r>
    </w:p>
    <w:p w14:paraId="01A32DA5" w14:textId="77777777" w:rsidR="009E1933" w:rsidRPr="00FA38B2" w:rsidRDefault="009E1933" w:rsidP="0015321A">
      <w:pPr>
        <w:numPr>
          <w:ilvl w:val="0"/>
          <w:numId w:val="4"/>
        </w:numPr>
        <w:rPr>
          <w:rFonts w:cs="Times New Roman"/>
          <w:szCs w:val="24"/>
        </w:rPr>
      </w:pPr>
      <w:r w:rsidRPr="00FA38B2">
        <w:rPr>
          <w:rFonts w:cs="Times New Roman"/>
          <w:szCs w:val="24"/>
        </w:rPr>
        <w:t xml:space="preserve">What life-experiences preceded students returning to college with the TN Reconnect? </w:t>
      </w:r>
    </w:p>
    <w:p w14:paraId="6C1AD1E1" w14:textId="77777777" w:rsidR="009E1933" w:rsidRPr="00FA38B2" w:rsidRDefault="009E1933" w:rsidP="0015321A">
      <w:pPr>
        <w:numPr>
          <w:ilvl w:val="0"/>
          <w:numId w:val="4"/>
        </w:numPr>
        <w:rPr>
          <w:rFonts w:cs="Times New Roman"/>
          <w:szCs w:val="24"/>
        </w:rPr>
      </w:pPr>
      <w:r w:rsidRPr="00FA38B2">
        <w:rPr>
          <w:rFonts w:cs="Times New Roman"/>
          <w:szCs w:val="24"/>
        </w:rPr>
        <w:t xml:space="preserve">How do adult learners </w:t>
      </w:r>
      <w:proofErr w:type="gramStart"/>
      <w:r w:rsidRPr="00FA38B2">
        <w:rPr>
          <w:rFonts w:cs="Times New Roman"/>
          <w:szCs w:val="24"/>
        </w:rPr>
        <w:t>using</w:t>
      </w:r>
      <w:proofErr w:type="gramEnd"/>
      <w:r w:rsidRPr="00FA38B2">
        <w:rPr>
          <w:rFonts w:cs="Times New Roman"/>
          <w:szCs w:val="24"/>
        </w:rPr>
        <w:t xml:space="preserve"> TN Reconnect experience the transition from non-student to college student? </w:t>
      </w:r>
    </w:p>
    <w:p w14:paraId="5BF294C2" w14:textId="77777777" w:rsidR="009E1933" w:rsidRPr="00FA38B2" w:rsidRDefault="009E1933" w:rsidP="0015321A">
      <w:pPr>
        <w:numPr>
          <w:ilvl w:val="0"/>
          <w:numId w:val="4"/>
        </w:numPr>
        <w:rPr>
          <w:rFonts w:cs="Times New Roman"/>
          <w:szCs w:val="24"/>
        </w:rPr>
      </w:pPr>
      <w:r w:rsidRPr="00FA38B2">
        <w:rPr>
          <w:rFonts w:cs="Times New Roman"/>
          <w:szCs w:val="24"/>
        </w:rPr>
        <w:t xml:space="preserve">How can initiatives such as the TN Reconnect be enhanced to improve the transition process—and in turn increase educational outcomes such as retention and graduation—for non-traditional adult learners, many of whom identify as belonging to other traditionally marginalized student groups? </w:t>
      </w:r>
    </w:p>
    <w:p w14:paraId="0441AAC6" w14:textId="77777777" w:rsidR="009E1933" w:rsidRPr="00FA38B2" w:rsidRDefault="009E1933" w:rsidP="0015321A">
      <w:pPr>
        <w:rPr>
          <w:rFonts w:cs="Times New Roman"/>
          <w:b/>
          <w:szCs w:val="24"/>
        </w:rPr>
      </w:pPr>
      <w:r w:rsidRPr="00FA38B2">
        <w:rPr>
          <w:rFonts w:cs="Times New Roman"/>
          <w:b/>
          <w:szCs w:val="24"/>
        </w:rPr>
        <w:t>Participants</w:t>
      </w:r>
    </w:p>
    <w:p w14:paraId="66412EAA" w14:textId="76CABBBE" w:rsidR="009E1933" w:rsidRPr="00FA38B2" w:rsidRDefault="009E1933" w:rsidP="0015321A">
      <w:pPr>
        <w:ind w:firstLine="720"/>
        <w:rPr>
          <w:rFonts w:cs="Times New Roman"/>
          <w:szCs w:val="24"/>
        </w:rPr>
      </w:pPr>
      <w:r w:rsidRPr="00FA38B2">
        <w:rPr>
          <w:rFonts w:cs="Times New Roman"/>
          <w:szCs w:val="24"/>
        </w:rPr>
        <w:t xml:space="preserve">Twenty-three students using the TN Reconnect participated in this study. Our sample identified as female more frequently than the </w:t>
      </w:r>
      <w:r w:rsidR="00DD68DC" w:rsidRPr="00FA38B2">
        <w:rPr>
          <w:rFonts w:cs="Times New Roman"/>
          <w:szCs w:val="24"/>
        </w:rPr>
        <w:t>statewide</w:t>
      </w:r>
      <w:r w:rsidRPr="00FA38B2">
        <w:rPr>
          <w:rFonts w:cs="Times New Roman"/>
          <w:szCs w:val="24"/>
        </w:rPr>
        <w:t xml:space="preserve"> sample (91% vs 71%; THEC, 2020). Other demographic information was consistent with state averages (see Appendix A). While we did not explicitly reach out to students who were previously enrolled in college, the majority of our participants (74%) identified as returning college students. This was consistent with the </w:t>
      </w:r>
      <w:r w:rsidR="00DD68DC" w:rsidRPr="00FA38B2">
        <w:rPr>
          <w:rFonts w:cs="Times New Roman"/>
          <w:szCs w:val="24"/>
        </w:rPr>
        <w:t>statewide</w:t>
      </w:r>
      <w:r w:rsidRPr="00FA38B2">
        <w:rPr>
          <w:rFonts w:cs="Times New Roman"/>
          <w:szCs w:val="24"/>
        </w:rPr>
        <w:t xml:space="preserve"> sample (59% previously enrolled; THEC, 2020). </w:t>
      </w:r>
    </w:p>
    <w:p w14:paraId="6DA82D8F" w14:textId="555A07C0" w:rsidR="009E1933" w:rsidRPr="00FA38B2" w:rsidRDefault="009E1933" w:rsidP="0015321A">
      <w:pPr>
        <w:ind w:firstLine="720"/>
        <w:rPr>
          <w:rFonts w:cs="Times New Roman"/>
          <w:szCs w:val="24"/>
        </w:rPr>
      </w:pPr>
      <w:r w:rsidRPr="00FA38B2">
        <w:rPr>
          <w:rFonts w:cs="Times New Roman"/>
          <w:szCs w:val="24"/>
        </w:rPr>
        <w:t xml:space="preserve">Following project approval by the university’s Institutional Review Board, we contacted TN Reconnect advisors through the Tennessee Board of Regents and TN Reconnect communities with information about the study. We asked them to forward recruitment materials to TN Reconnect students and presented them with a letter of support from THEC. Students interested in the study contacted the research team, completed a demographic questionnaire, and received an informed consent document that provided details about their participation in the study. Not all students who reached out to the research team met the study criteria, and several </w:t>
      </w:r>
      <w:r w:rsidRPr="00FA38B2">
        <w:rPr>
          <w:rFonts w:cs="Times New Roman"/>
          <w:szCs w:val="24"/>
        </w:rPr>
        <w:lastRenderedPageBreak/>
        <w:t xml:space="preserve">did not complete the questionnaire or informed consent and subsequently did not participate in the study. Once the demographic questionnaire and informed consent document were received, an administrative staff member contacted students to ensure they met the criteria for the study and to schedule interviews. Interviews, conducted by a research team, occurred via phone calls, online video conferencing, and in-person interviewing. </w:t>
      </w:r>
    </w:p>
    <w:p w14:paraId="67E8C62D" w14:textId="77777777" w:rsidR="009E1933" w:rsidRPr="00FA38B2" w:rsidRDefault="009E1933" w:rsidP="0015321A">
      <w:pPr>
        <w:rPr>
          <w:rFonts w:cs="Times New Roman"/>
          <w:b/>
          <w:szCs w:val="24"/>
        </w:rPr>
      </w:pPr>
      <w:r w:rsidRPr="00FA38B2">
        <w:rPr>
          <w:rFonts w:cs="Times New Roman"/>
          <w:b/>
          <w:szCs w:val="24"/>
        </w:rPr>
        <w:t xml:space="preserve">Data Collection </w:t>
      </w:r>
    </w:p>
    <w:p w14:paraId="680796AB" w14:textId="0022E2E4" w:rsidR="009E1933" w:rsidRPr="00FA38B2" w:rsidRDefault="009E1933" w:rsidP="0015321A">
      <w:pPr>
        <w:ind w:firstLine="720"/>
        <w:rPr>
          <w:rFonts w:cs="Times New Roman"/>
          <w:szCs w:val="24"/>
        </w:rPr>
      </w:pPr>
      <w:r w:rsidRPr="00FA38B2">
        <w:rPr>
          <w:rFonts w:cs="Times New Roman"/>
          <w:szCs w:val="24"/>
        </w:rPr>
        <w:t xml:space="preserve">Our research team consisted of one tenured faculty member and doctoral students. All researchers were CITI certified and approved by the institutional IRB. Doctoral students were required to observe several interviews conducted by the primary investigator prior to conducting individual interviews. </w:t>
      </w:r>
    </w:p>
    <w:p w14:paraId="062C14A9" w14:textId="586F6DDD" w:rsidR="009E1933" w:rsidRPr="00FA38B2" w:rsidRDefault="009E1933" w:rsidP="0015321A">
      <w:pPr>
        <w:ind w:firstLine="720"/>
        <w:rPr>
          <w:rFonts w:cs="Times New Roman"/>
          <w:szCs w:val="24"/>
        </w:rPr>
      </w:pPr>
      <w:r w:rsidRPr="00FA38B2">
        <w:rPr>
          <w:rFonts w:cs="Times New Roman"/>
          <w:szCs w:val="24"/>
        </w:rPr>
        <w:t xml:space="preserve">We conducted three semi-structured interviews for each participant. The structure of the interviews followed a modified version of Seidman’s (2013) model involving life history. This allowed the research team to ask standard questions of each participant while permitting participants to respond based on their experiences. The interviewer who conducted the first interview also conducted interviews two and three. This allowed for the interviewer and interviewee to build trust and encouraged participants to share their experiences. </w:t>
      </w:r>
    </w:p>
    <w:p w14:paraId="64215881" w14:textId="61071DF8" w:rsidR="009E1933" w:rsidRPr="00FA38B2" w:rsidRDefault="009E1933" w:rsidP="0015321A">
      <w:pPr>
        <w:ind w:firstLine="720"/>
        <w:rPr>
          <w:rFonts w:cs="Times New Roman"/>
          <w:szCs w:val="24"/>
        </w:rPr>
      </w:pPr>
      <w:r w:rsidRPr="00FA38B2">
        <w:rPr>
          <w:rFonts w:cs="Times New Roman"/>
          <w:szCs w:val="24"/>
        </w:rPr>
        <w:t xml:space="preserve">The first interview focused on the students’ histories that led them back to college and took place as they began their TN Reconnect experience. The second interview took place after initial course registration to enlighten transition experiences such as enrollment, course selection, and scheduling. The third interview took place at the end of the second semester, to allow for students to reflect on their academic experiences. </w:t>
      </w:r>
    </w:p>
    <w:p w14:paraId="319395A3" w14:textId="77777777" w:rsidR="00001C39" w:rsidRPr="00FA38B2" w:rsidRDefault="00001C39" w:rsidP="0015321A">
      <w:pPr>
        <w:rPr>
          <w:rFonts w:cs="Times New Roman"/>
          <w:b/>
          <w:szCs w:val="24"/>
        </w:rPr>
      </w:pPr>
      <w:r w:rsidRPr="00FA38B2">
        <w:rPr>
          <w:rFonts w:cs="Times New Roman"/>
          <w:b/>
          <w:szCs w:val="24"/>
        </w:rPr>
        <w:br w:type="page"/>
      </w:r>
    </w:p>
    <w:p w14:paraId="6E4D4725" w14:textId="3FEAE658" w:rsidR="009E1933" w:rsidRPr="00FA38B2" w:rsidRDefault="009E1933" w:rsidP="0015321A">
      <w:pPr>
        <w:rPr>
          <w:rFonts w:cs="Times New Roman"/>
          <w:b/>
          <w:szCs w:val="24"/>
        </w:rPr>
      </w:pPr>
      <w:r w:rsidRPr="00FA38B2">
        <w:rPr>
          <w:rFonts w:cs="Times New Roman"/>
          <w:b/>
          <w:szCs w:val="24"/>
        </w:rPr>
        <w:lastRenderedPageBreak/>
        <w:t xml:space="preserve">Data Analysis </w:t>
      </w:r>
    </w:p>
    <w:p w14:paraId="25AF4111" w14:textId="430ED80B" w:rsidR="009E1933" w:rsidRPr="00FA38B2" w:rsidRDefault="009E1933" w:rsidP="0015321A">
      <w:pPr>
        <w:ind w:firstLine="360"/>
        <w:rPr>
          <w:rFonts w:cs="Times New Roman"/>
          <w:szCs w:val="24"/>
        </w:rPr>
      </w:pPr>
      <w:r w:rsidRPr="00FA38B2">
        <w:rPr>
          <w:rFonts w:cs="Times New Roman"/>
          <w:szCs w:val="24"/>
        </w:rPr>
        <w:t xml:space="preserve">Data analysis incorporated a two-phase approach that included both emergent and theoretical coding. Considering the data with two different approaches allowed for richer findings to emerge and allowed for findings to be relatable to the existing body of literature (Merriam &amp; </w:t>
      </w:r>
      <w:proofErr w:type="spellStart"/>
      <w:r w:rsidRPr="00FA38B2">
        <w:rPr>
          <w:rFonts w:cs="Times New Roman"/>
          <w:szCs w:val="24"/>
        </w:rPr>
        <w:t>Tisdell</w:t>
      </w:r>
      <w:proofErr w:type="spellEnd"/>
      <w:r w:rsidRPr="00FA38B2">
        <w:rPr>
          <w:rFonts w:cs="Times New Roman"/>
          <w:szCs w:val="24"/>
        </w:rPr>
        <w:t xml:space="preserve">, 2015). </w:t>
      </w:r>
    </w:p>
    <w:p w14:paraId="4F5FEEEF" w14:textId="77777777" w:rsidR="009E1933" w:rsidRPr="00FA38B2" w:rsidRDefault="009E1933" w:rsidP="0015321A">
      <w:pPr>
        <w:ind w:firstLine="360"/>
        <w:rPr>
          <w:rFonts w:cs="Times New Roman"/>
          <w:szCs w:val="24"/>
        </w:rPr>
      </w:pPr>
      <w:r w:rsidRPr="00FA38B2">
        <w:rPr>
          <w:rFonts w:cs="Times New Roman"/>
          <w:szCs w:val="24"/>
        </w:rPr>
        <w:t xml:space="preserve">In phase 1 of data analysis, we used emergent coding. Emergent coding, also called open or </w:t>
      </w:r>
      <w:r w:rsidRPr="00FA38B2">
        <w:rPr>
          <w:rFonts w:cs="Times New Roman"/>
          <w:i/>
          <w:szCs w:val="24"/>
        </w:rPr>
        <w:t>in vivo</w:t>
      </w:r>
      <w:r w:rsidRPr="00FA38B2">
        <w:rPr>
          <w:rFonts w:cs="Times New Roman"/>
          <w:szCs w:val="24"/>
        </w:rPr>
        <w:t xml:space="preserve"> coding, involved searching for common words or phrases, also called “recurring regularities” (Merriam &amp; </w:t>
      </w:r>
      <w:proofErr w:type="spellStart"/>
      <w:r w:rsidRPr="00FA38B2">
        <w:rPr>
          <w:rFonts w:cs="Times New Roman"/>
          <w:szCs w:val="24"/>
        </w:rPr>
        <w:t>Tisdell</w:t>
      </w:r>
      <w:proofErr w:type="spellEnd"/>
      <w:r w:rsidRPr="00FA38B2">
        <w:rPr>
          <w:rFonts w:cs="Times New Roman"/>
          <w:szCs w:val="24"/>
        </w:rPr>
        <w:t xml:space="preserve">, 2015), in text-based data such as transcripts. This form of qualitative data analysis allowed findings to </w:t>
      </w:r>
      <w:r w:rsidRPr="00FA38B2">
        <w:rPr>
          <w:rFonts w:cs="Times New Roman"/>
          <w:i/>
          <w:szCs w:val="24"/>
        </w:rPr>
        <w:t>emerge</w:t>
      </w:r>
      <w:r w:rsidRPr="00FA38B2">
        <w:rPr>
          <w:rFonts w:cs="Times New Roman"/>
          <w:szCs w:val="24"/>
        </w:rPr>
        <w:t xml:space="preserve"> from data collection and analysis (</w:t>
      </w:r>
      <w:proofErr w:type="spellStart"/>
      <w:r w:rsidRPr="00FA38B2">
        <w:rPr>
          <w:rFonts w:cs="Times New Roman"/>
          <w:szCs w:val="24"/>
        </w:rPr>
        <w:t>Charmaz</w:t>
      </w:r>
      <w:proofErr w:type="spellEnd"/>
      <w:r w:rsidRPr="00FA38B2">
        <w:rPr>
          <w:rFonts w:cs="Times New Roman"/>
          <w:szCs w:val="24"/>
        </w:rPr>
        <w:t xml:space="preserve">, 2008). </w:t>
      </w:r>
      <w:proofErr w:type="spellStart"/>
      <w:r w:rsidRPr="00FA38B2">
        <w:rPr>
          <w:rFonts w:cs="Times New Roman"/>
          <w:szCs w:val="24"/>
        </w:rPr>
        <w:t>Biddix</w:t>
      </w:r>
      <w:proofErr w:type="spellEnd"/>
      <w:r w:rsidRPr="00FA38B2">
        <w:rPr>
          <w:rFonts w:cs="Times New Roman"/>
          <w:szCs w:val="24"/>
        </w:rPr>
        <w:t xml:space="preserve"> (2018) outlined a basic approach using these methods that we used in this study:</w:t>
      </w:r>
    </w:p>
    <w:p w14:paraId="2E5E24C9" w14:textId="77777777" w:rsidR="009E1933" w:rsidRPr="00FA38B2" w:rsidRDefault="009E1933" w:rsidP="0015321A">
      <w:pPr>
        <w:numPr>
          <w:ilvl w:val="0"/>
          <w:numId w:val="3"/>
        </w:numPr>
        <w:pBdr>
          <w:top w:val="nil"/>
          <w:left w:val="nil"/>
          <w:bottom w:val="nil"/>
          <w:right w:val="nil"/>
          <w:between w:val="nil"/>
        </w:pBdr>
        <w:rPr>
          <w:rFonts w:cs="Times New Roman"/>
          <w:szCs w:val="24"/>
        </w:rPr>
      </w:pPr>
      <w:r w:rsidRPr="00FA38B2">
        <w:rPr>
          <w:rFonts w:cs="Times New Roman"/>
          <w:szCs w:val="24"/>
        </w:rPr>
        <w:t>The researcher reads a data source and marks words or phrases (also referred to as “codes”) that appear frequently.</w:t>
      </w:r>
    </w:p>
    <w:p w14:paraId="6CB60450" w14:textId="77777777" w:rsidR="009E1933" w:rsidRPr="00FA38B2" w:rsidRDefault="009E1933" w:rsidP="0015321A">
      <w:pPr>
        <w:numPr>
          <w:ilvl w:val="0"/>
          <w:numId w:val="3"/>
        </w:numPr>
        <w:pBdr>
          <w:top w:val="nil"/>
          <w:left w:val="nil"/>
          <w:bottom w:val="nil"/>
          <w:right w:val="nil"/>
          <w:between w:val="nil"/>
        </w:pBdr>
        <w:rPr>
          <w:rFonts w:cs="Times New Roman"/>
          <w:szCs w:val="24"/>
        </w:rPr>
      </w:pPr>
      <w:r w:rsidRPr="00FA38B2">
        <w:rPr>
          <w:rFonts w:cs="Times New Roman"/>
          <w:szCs w:val="24"/>
        </w:rPr>
        <w:t>The researcher uses this list of codes and groups them into representative groups (also referred to as “themes”).</w:t>
      </w:r>
    </w:p>
    <w:p w14:paraId="1DD07457" w14:textId="77777777" w:rsidR="009E1933" w:rsidRPr="00FA38B2" w:rsidRDefault="009E1933" w:rsidP="0015321A">
      <w:pPr>
        <w:numPr>
          <w:ilvl w:val="0"/>
          <w:numId w:val="3"/>
        </w:numPr>
        <w:pBdr>
          <w:top w:val="nil"/>
          <w:left w:val="nil"/>
          <w:bottom w:val="nil"/>
          <w:right w:val="nil"/>
          <w:between w:val="nil"/>
        </w:pBdr>
        <w:rPr>
          <w:rFonts w:cs="Times New Roman"/>
          <w:szCs w:val="24"/>
        </w:rPr>
      </w:pPr>
      <w:r w:rsidRPr="00FA38B2">
        <w:rPr>
          <w:rFonts w:cs="Times New Roman"/>
          <w:szCs w:val="24"/>
        </w:rPr>
        <w:t xml:space="preserve">The researcher reviews the transcripts a second time to ensure the codes and themes are accurate and to identify examples, or representative quotations. </w:t>
      </w:r>
    </w:p>
    <w:p w14:paraId="56016A3E" w14:textId="4A846560" w:rsidR="009E1933" w:rsidRPr="00FA38B2" w:rsidRDefault="009E1933" w:rsidP="0015321A">
      <w:pPr>
        <w:ind w:firstLine="360"/>
        <w:rPr>
          <w:rFonts w:cs="Times New Roman"/>
          <w:szCs w:val="24"/>
        </w:rPr>
      </w:pPr>
      <w:r w:rsidRPr="00FA38B2">
        <w:rPr>
          <w:rFonts w:cs="Times New Roman"/>
          <w:szCs w:val="24"/>
        </w:rPr>
        <w:t>In phase 2 of data analysis, we used theoretical coding. Theoretical coding involved selecting an identifying theory and coding data based on the core tenets of the theory, seeking congruence and variance (</w:t>
      </w:r>
      <w:proofErr w:type="spellStart"/>
      <w:r w:rsidRPr="00FA38B2">
        <w:rPr>
          <w:rFonts w:cs="Times New Roman"/>
          <w:szCs w:val="24"/>
        </w:rPr>
        <w:t>Charmaz</w:t>
      </w:r>
      <w:proofErr w:type="spellEnd"/>
      <w:r w:rsidRPr="00FA38B2">
        <w:rPr>
          <w:rFonts w:cs="Times New Roman"/>
          <w:szCs w:val="24"/>
        </w:rPr>
        <w:t xml:space="preserve">, 2008; Merriam &amp; </w:t>
      </w:r>
      <w:proofErr w:type="spellStart"/>
      <w:r w:rsidRPr="00FA38B2">
        <w:rPr>
          <w:rFonts w:cs="Times New Roman"/>
          <w:szCs w:val="24"/>
        </w:rPr>
        <w:t>Tisdell</w:t>
      </w:r>
      <w:proofErr w:type="spellEnd"/>
      <w:r w:rsidRPr="00FA38B2">
        <w:rPr>
          <w:rFonts w:cs="Times New Roman"/>
          <w:szCs w:val="24"/>
        </w:rPr>
        <w:t xml:space="preserve">, 2015). The approach is sometimes referred to as </w:t>
      </w:r>
      <w:r w:rsidRPr="00FA38B2">
        <w:rPr>
          <w:rFonts w:cs="Times New Roman"/>
          <w:i/>
          <w:szCs w:val="24"/>
        </w:rPr>
        <w:t>a priori</w:t>
      </w:r>
      <w:r w:rsidRPr="00FA38B2">
        <w:rPr>
          <w:rFonts w:cs="Times New Roman"/>
          <w:szCs w:val="24"/>
        </w:rPr>
        <w:t xml:space="preserve"> since the researcher starts with the themes, as opposed to searching for them in the data. Based on experiences revealed in the emergent analysis, we used Schlossberg’s (1981, 1984) Transition Theory to reconsider the data and highlight recurring themes; theory based </w:t>
      </w:r>
      <w:r w:rsidRPr="00FA38B2">
        <w:rPr>
          <w:rFonts w:cs="Times New Roman"/>
          <w:szCs w:val="24"/>
        </w:rPr>
        <w:lastRenderedPageBreak/>
        <w:t xml:space="preserve">codes included the type, context, and impact of the transition, and the resources available to the participant during their transition (see </w:t>
      </w:r>
      <w:r w:rsidR="0015321A" w:rsidRPr="00FA38B2">
        <w:rPr>
          <w:rFonts w:cs="Times New Roman"/>
          <w:szCs w:val="24"/>
        </w:rPr>
        <w:t>Appendix A1</w:t>
      </w:r>
      <w:r w:rsidRPr="00FA38B2">
        <w:rPr>
          <w:rFonts w:cs="Times New Roman"/>
          <w:szCs w:val="24"/>
        </w:rPr>
        <w:t xml:space="preserve">).  </w:t>
      </w:r>
    </w:p>
    <w:p w14:paraId="0F55A158" w14:textId="77777777" w:rsidR="009E1933" w:rsidRPr="00FA38B2" w:rsidRDefault="009E1933" w:rsidP="0015321A">
      <w:pPr>
        <w:rPr>
          <w:rFonts w:cs="Times New Roman"/>
          <w:b/>
          <w:szCs w:val="24"/>
        </w:rPr>
      </w:pPr>
      <w:r w:rsidRPr="00FA38B2">
        <w:rPr>
          <w:rFonts w:cs="Times New Roman"/>
          <w:b/>
          <w:szCs w:val="24"/>
        </w:rPr>
        <w:t xml:space="preserve">Trustworthiness </w:t>
      </w:r>
    </w:p>
    <w:p w14:paraId="631B781F" w14:textId="5A743A61" w:rsidR="009E1933" w:rsidRPr="00FA38B2" w:rsidRDefault="009E1933" w:rsidP="0015321A">
      <w:pPr>
        <w:ind w:firstLine="720"/>
        <w:rPr>
          <w:rFonts w:cs="Times New Roman"/>
          <w:szCs w:val="24"/>
        </w:rPr>
      </w:pPr>
      <w:r w:rsidRPr="00FA38B2">
        <w:rPr>
          <w:rFonts w:cs="Times New Roman"/>
          <w:szCs w:val="24"/>
        </w:rPr>
        <w:t xml:space="preserve">To increase trustworthiness of the findings, members of the research team coded the transcripts independently and compared codes before determining the themes. Similarly, to enhance trustworthiness for the theoretical coding, we used peer debriefing. This required a researcher not involved in data analysis to review results to ensure instances of the themes in the transcripts aligned with the theory (Merriam &amp; </w:t>
      </w:r>
      <w:proofErr w:type="spellStart"/>
      <w:r w:rsidRPr="00FA38B2">
        <w:rPr>
          <w:rFonts w:cs="Times New Roman"/>
          <w:szCs w:val="24"/>
        </w:rPr>
        <w:t>Tisdell</w:t>
      </w:r>
      <w:proofErr w:type="spellEnd"/>
      <w:r w:rsidRPr="00FA38B2">
        <w:rPr>
          <w:rFonts w:cs="Times New Roman"/>
          <w:szCs w:val="24"/>
        </w:rPr>
        <w:t xml:space="preserve">, 2015; Winkle-Wagner et al., 2009). </w:t>
      </w:r>
    </w:p>
    <w:p w14:paraId="2FDC1E38" w14:textId="77777777" w:rsidR="009E1933" w:rsidRPr="00FA38B2" w:rsidRDefault="009E1933" w:rsidP="0015321A">
      <w:pPr>
        <w:pStyle w:val="Heading2"/>
        <w:jc w:val="center"/>
        <w:rPr>
          <w:rFonts w:cs="Times New Roman"/>
          <w:szCs w:val="24"/>
        </w:rPr>
      </w:pPr>
      <w:bookmarkStart w:id="10" w:name="_Toc70181485"/>
      <w:r w:rsidRPr="00FA38B2">
        <w:rPr>
          <w:rFonts w:cs="Times New Roman"/>
          <w:szCs w:val="24"/>
        </w:rPr>
        <w:t>Findings</w:t>
      </w:r>
      <w:bookmarkEnd w:id="10"/>
    </w:p>
    <w:p w14:paraId="2A8025D5" w14:textId="503B1F9B" w:rsidR="009E1933" w:rsidRPr="00FA38B2" w:rsidRDefault="009E1933" w:rsidP="0015321A">
      <w:pPr>
        <w:ind w:firstLine="720"/>
        <w:rPr>
          <w:rFonts w:cs="Times New Roman"/>
          <w:b/>
          <w:szCs w:val="24"/>
        </w:rPr>
      </w:pPr>
      <w:r w:rsidRPr="00FA38B2">
        <w:rPr>
          <w:rFonts w:cs="Times New Roman"/>
          <w:szCs w:val="24"/>
        </w:rPr>
        <w:t>Findings of this analysis revealed commonalities in the life histories of study participants, who were adult learners seeking higher education through the TN Reconnect. Participants, many of whom self-identified as first-generation and/or low-income, faced hardships and increased barriers to obtaining postsecondary education when they graduated high school or first enrolled as college students, and they subsequently either did not pursue a postsecondary education or dropped out. Their lack of a postsecondary credential or degree limited career prospects and earning potential; congruently, they did not have the resources to obtain a degree even if they believed in their capability of earning a degree. Establishment of the TN Reconnect provided a change of context—namely, access to resources to return to college with minimal financial investment. However, study participants still faced barriers associated with adult learners and first-generation and low-income students. See Table 1 for a summary of study themes. Details and examples of each follow.</w:t>
      </w:r>
    </w:p>
    <w:p w14:paraId="2194EEAB" w14:textId="77777777" w:rsidR="00001C39" w:rsidRPr="00FA38B2" w:rsidRDefault="00001C39" w:rsidP="0015321A">
      <w:pPr>
        <w:rPr>
          <w:rFonts w:cs="Times New Roman"/>
          <w:b/>
          <w:szCs w:val="24"/>
        </w:rPr>
      </w:pPr>
      <w:r w:rsidRPr="00FA38B2">
        <w:rPr>
          <w:rFonts w:cs="Times New Roman"/>
          <w:b/>
          <w:szCs w:val="24"/>
        </w:rPr>
        <w:br w:type="page"/>
      </w:r>
    </w:p>
    <w:p w14:paraId="11382DE7" w14:textId="7091B9E1" w:rsidR="009E1933" w:rsidRPr="00FA38B2" w:rsidRDefault="009E1933" w:rsidP="0015321A">
      <w:pPr>
        <w:rPr>
          <w:rFonts w:cs="Times New Roman"/>
          <w:b/>
          <w:szCs w:val="24"/>
        </w:rPr>
      </w:pPr>
      <w:r w:rsidRPr="00FA38B2">
        <w:rPr>
          <w:rFonts w:cs="Times New Roman"/>
          <w:b/>
          <w:szCs w:val="24"/>
        </w:rPr>
        <w:lastRenderedPageBreak/>
        <w:t xml:space="preserve">Experiences Prior to TN Reconnect  </w:t>
      </w:r>
    </w:p>
    <w:p w14:paraId="3345C25F" w14:textId="77777777" w:rsidR="009E1933" w:rsidRPr="00FA38B2" w:rsidRDefault="009E1933" w:rsidP="0015321A">
      <w:pPr>
        <w:rPr>
          <w:rFonts w:cs="Times New Roman"/>
          <w:b/>
          <w:bCs/>
          <w:i/>
          <w:iCs/>
          <w:szCs w:val="24"/>
        </w:rPr>
      </w:pPr>
      <w:r w:rsidRPr="00FA38B2">
        <w:rPr>
          <w:rFonts w:cs="Times New Roman"/>
          <w:b/>
          <w:bCs/>
          <w:i/>
          <w:iCs/>
          <w:szCs w:val="24"/>
        </w:rPr>
        <w:t>Emergent Themes: Rocky Starts and Roadblocks</w:t>
      </w:r>
    </w:p>
    <w:p w14:paraId="163E8CFB" w14:textId="1F808659" w:rsidR="009E1933" w:rsidRPr="00FA38B2" w:rsidRDefault="009E1933" w:rsidP="0015321A">
      <w:pPr>
        <w:ind w:firstLine="720"/>
        <w:rPr>
          <w:rFonts w:cs="Times New Roman"/>
          <w:szCs w:val="24"/>
        </w:rPr>
      </w:pPr>
      <w:r w:rsidRPr="00FA38B2">
        <w:rPr>
          <w:rFonts w:cs="Times New Roman"/>
          <w:szCs w:val="24"/>
        </w:rPr>
        <w:t xml:space="preserve">Participants in this study often returned to college for the second or third time through TN Reconnect. Seventeen of 23 participants initially enrolled in college immediately following high school and dropped out soon after. These students indicated two primary reasons for their withdrawal: (1) the struggle to adapt to the rigors of college life and (2) hardships in their lives outside of college. Students experienced difficult beginnings and roadblocks to their college academic careers, which led to leaving postsecondary education prior to earning a credential. </w:t>
      </w:r>
    </w:p>
    <w:p w14:paraId="78B3442F" w14:textId="77777777" w:rsidR="009E1933" w:rsidRPr="00FA38B2" w:rsidRDefault="009E1933" w:rsidP="0015321A">
      <w:pPr>
        <w:rPr>
          <w:rFonts w:cs="Times New Roman"/>
          <w:b/>
          <w:bCs/>
          <w:i/>
          <w:iCs/>
          <w:szCs w:val="24"/>
        </w:rPr>
      </w:pPr>
      <w:r w:rsidRPr="00FA38B2">
        <w:rPr>
          <w:rFonts w:cs="Times New Roman"/>
          <w:b/>
          <w:bCs/>
          <w:i/>
          <w:iCs/>
          <w:szCs w:val="24"/>
        </w:rPr>
        <w:t>Examples of Experiences Prior to TN Reconnect</w:t>
      </w:r>
    </w:p>
    <w:p w14:paraId="104BB876" w14:textId="6C00FB20" w:rsidR="009E1933" w:rsidRPr="00FA38B2" w:rsidRDefault="009E1933" w:rsidP="0015321A">
      <w:pPr>
        <w:ind w:firstLine="720"/>
        <w:rPr>
          <w:rFonts w:cs="Times New Roman"/>
          <w:szCs w:val="24"/>
        </w:rPr>
      </w:pPr>
      <w:r w:rsidRPr="00FA38B2">
        <w:rPr>
          <w:rFonts w:cs="Times New Roman"/>
          <w:szCs w:val="24"/>
        </w:rPr>
        <w:t xml:space="preserve">Participant “Jay,” a 49-year-old male student who attended college in his early 30s, spoke about how he felt he was not mature enough to get an education at that time: “I had an aborted [college] attempt when I was in my early 30s. I was a remarkably bad student. I thought school to be a waste of time.” Many participants echoed his sentiments and indicated they did not see the value of getting a degree when they were younger. </w:t>
      </w:r>
    </w:p>
    <w:p w14:paraId="43F0443C" w14:textId="56F9FBA1" w:rsidR="009E1933" w:rsidRPr="00FA38B2" w:rsidRDefault="009E1933" w:rsidP="0015321A">
      <w:pPr>
        <w:ind w:firstLine="720"/>
        <w:rPr>
          <w:rFonts w:cs="Times New Roman"/>
          <w:szCs w:val="24"/>
        </w:rPr>
      </w:pPr>
      <w:r w:rsidRPr="00FA38B2">
        <w:rPr>
          <w:rFonts w:cs="Times New Roman"/>
          <w:szCs w:val="24"/>
        </w:rPr>
        <w:t xml:space="preserve">Participant “Becky,” a 35-year-old female student who “was always a good student,” enrolled in college two years after high school and dropped out after one semester: </w:t>
      </w:r>
    </w:p>
    <w:p w14:paraId="73768291" w14:textId="77777777" w:rsidR="009E1933" w:rsidRPr="00FA38B2" w:rsidRDefault="009E1933" w:rsidP="0015321A">
      <w:pPr>
        <w:ind w:left="720"/>
        <w:rPr>
          <w:rFonts w:cs="Times New Roman"/>
          <w:szCs w:val="24"/>
        </w:rPr>
      </w:pPr>
      <w:r w:rsidRPr="00FA38B2">
        <w:rPr>
          <w:rFonts w:cs="Times New Roman"/>
          <w:szCs w:val="24"/>
        </w:rPr>
        <w:t xml:space="preserve">I don’t think I was mentally ready. I don’t think I really knew what I wanted to do. It was hard because that was my goal, to get an education, but it just seemed like there was always something holding me back. It was horrible. </w:t>
      </w:r>
    </w:p>
    <w:p w14:paraId="41547A29" w14:textId="085D3D43" w:rsidR="009E1933" w:rsidRPr="00FA38B2" w:rsidRDefault="009E1933" w:rsidP="0015321A">
      <w:pPr>
        <w:ind w:firstLine="720"/>
        <w:rPr>
          <w:rFonts w:cs="Times New Roman"/>
          <w:szCs w:val="24"/>
        </w:rPr>
      </w:pPr>
      <w:r w:rsidRPr="00FA38B2">
        <w:rPr>
          <w:rFonts w:cs="Times New Roman"/>
          <w:szCs w:val="24"/>
        </w:rPr>
        <w:t xml:space="preserve">Participant “Garden,” a 30-year-old female student, attended three institutions prior to returning to college through the TN Reconnect: </w:t>
      </w:r>
    </w:p>
    <w:p w14:paraId="706B8203" w14:textId="4A5FEF77" w:rsidR="009E1933" w:rsidRPr="00FA38B2" w:rsidRDefault="009E1933" w:rsidP="0015321A">
      <w:pPr>
        <w:ind w:left="720"/>
        <w:rPr>
          <w:rFonts w:cs="Times New Roman"/>
          <w:szCs w:val="24"/>
        </w:rPr>
      </w:pPr>
      <w:r w:rsidRPr="00FA38B2">
        <w:rPr>
          <w:rFonts w:cs="Times New Roman"/>
          <w:szCs w:val="24"/>
        </w:rPr>
        <w:t xml:space="preserve">Judas College was a private Catholic college and they'll take anybody as long as they're willing to pay money for it. So, I was accepted, and first semester failed, so hard. I had no </w:t>
      </w:r>
      <w:r w:rsidRPr="00FA38B2">
        <w:rPr>
          <w:rFonts w:cs="Times New Roman"/>
          <w:szCs w:val="24"/>
        </w:rPr>
        <w:lastRenderedPageBreak/>
        <w:t>idea what I wanted to do. And then after my first year at Judas, I was on academic probation, and my parents told me either I had to pay for my own tuition, or I had to come down to live wit</w:t>
      </w:r>
      <w:r w:rsidR="00E4544C" w:rsidRPr="00FA38B2">
        <w:rPr>
          <w:rFonts w:cs="Times New Roman"/>
          <w:szCs w:val="24"/>
        </w:rPr>
        <w:t>h them and go to college there.</w:t>
      </w:r>
    </w:p>
    <w:p w14:paraId="67679F6E" w14:textId="77777777" w:rsidR="009E1933" w:rsidRPr="00FA38B2" w:rsidRDefault="009E1933" w:rsidP="0015321A">
      <w:pPr>
        <w:rPr>
          <w:rFonts w:cs="Times New Roman"/>
          <w:szCs w:val="24"/>
        </w:rPr>
      </w:pPr>
      <w:r w:rsidRPr="00FA38B2">
        <w:rPr>
          <w:rFonts w:cs="Times New Roman"/>
          <w:szCs w:val="24"/>
        </w:rPr>
        <w:t xml:space="preserve">Garden re-enrolled at a public, four-year institution near her parents before experiencing a traumatic incident within her department: </w:t>
      </w:r>
    </w:p>
    <w:p w14:paraId="224435BB" w14:textId="5BADCBC3" w:rsidR="009E1933" w:rsidRPr="00FA38B2" w:rsidRDefault="009E1933" w:rsidP="0015321A">
      <w:pPr>
        <w:ind w:left="720"/>
        <w:rPr>
          <w:rFonts w:cs="Times New Roman"/>
          <w:szCs w:val="24"/>
        </w:rPr>
      </w:pPr>
      <w:r w:rsidRPr="00FA38B2">
        <w:rPr>
          <w:rFonts w:cs="Times New Roman"/>
          <w:szCs w:val="24"/>
        </w:rPr>
        <w:t>Well, I was prehistoric anthropology, I only wanted to work with bones and shards. That was it. That did not work out—if you were an anthropology major you had to do a capstone [involving cadavers]. So, whenever somebody passes away, you go pick them up, and then you bring them to [the department]. We were driving at four o’clock in the morning [to get a cadaver], and I looked down and I saw that there was nail polish on her fingers. And I just lost it. I completely just went full like, ‘oh my god, this is a person. Nope, can't do this anymore.’ [I gamed] for two or three weeks and quit school all</w:t>
      </w:r>
      <w:r w:rsidR="00E4544C" w:rsidRPr="00FA38B2">
        <w:rPr>
          <w:rFonts w:cs="Times New Roman"/>
          <w:szCs w:val="24"/>
        </w:rPr>
        <w:t xml:space="preserve">-together for about two years. </w:t>
      </w:r>
    </w:p>
    <w:p w14:paraId="2DCE1456" w14:textId="3B488EBD" w:rsidR="009E1933" w:rsidRPr="00FA38B2" w:rsidRDefault="009E1933" w:rsidP="0015321A">
      <w:pPr>
        <w:ind w:firstLine="720"/>
        <w:rPr>
          <w:rFonts w:cs="Times New Roman"/>
          <w:szCs w:val="24"/>
        </w:rPr>
      </w:pPr>
      <w:r w:rsidRPr="00FA38B2">
        <w:rPr>
          <w:rFonts w:cs="Times New Roman"/>
          <w:szCs w:val="24"/>
        </w:rPr>
        <w:t>Many participants indicated they were first-generation college students with limited financial resources to pay for college earlier in life. The allure of working full-time and earning money was much greater than the alternative of spending money on college expenses. Some students chose to work full-time rather than continuing to pursue a degree. Participant “Wind,” a 34-year-old female student, shared her experience trying to balance full-time work and college:</w:t>
      </w:r>
    </w:p>
    <w:p w14:paraId="4AEFCC7C" w14:textId="1EA75D5C" w:rsidR="009E1933" w:rsidRPr="00FA38B2" w:rsidRDefault="009E1933" w:rsidP="0015321A">
      <w:pPr>
        <w:ind w:left="720"/>
        <w:rPr>
          <w:rFonts w:cs="Times New Roman"/>
          <w:szCs w:val="24"/>
        </w:rPr>
      </w:pPr>
      <w:r w:rsidRPr="00FA38B2">
        <w:rPr>
          <w:rFonts w:cs="Times New Roman"/>
          <w:szCs w:val="24"/>
        </w:rPr>
        <w:t>I had gotten a secretary position and it was full-time with benefits. I was 19, I had to pay rent. I tried a little bit to do school while working . . . it was just too hard for me. I got to the point where I was worn</w:t>
      </w:r>
      <w:r w:rsidR="00001C39" w:rsidRPr="00FA38B2">
        <w:rPr>
          <w:rFonts w:cs="Times New Roman"/>
          <w:szCs w:val="24"/>
        </w:rPr>
        <w:t xml:space="preserve"> out, so that’s when I dropped.</w:t>
      </w:r>
    </w:p>
    <w:p w14:paraId="6C848DCE" w14:textId="78016737" w:rsidR="009E1933" w:rsidRPr="00FA38B2" w:rsidRDefault="009E1933" w:rsidP="0015321A">
      <w:pPr>
        <w:ind w:firstLine="720"/>
        <w:rPr>
          <w:rFonts w:cs="Times New Roman"/>
          <w:szCs w:val="24"/>
        </w:rPr>
      </w:pPr>
      <w:r w:rsidRPr="00FA38B2">
        <w:rPr>
          <w:rFonts w:cs="Times New Roman"/>
          <w:szCs w:val="24"/>
        </w:rPr>
        <w:t xml:space="preserve">Participant “Cat,” a 51-year-old female student, also reflected on not prioritizing college initially as a first-generation student: </w:t>
      </w:r>
    </w:p>
    <w:p w14:paraId="3F8651EA" w14:textId="480489E6" w:rsidR="009E1933" w:rsidRPr="00FA38B2" w:rsidRDefault="009E1933" w:rsidP="0015321A">
      <w:pPr>
        <w:ind w:left="720"/>
        <w:rPr>
          <w:rFonts w:cs="Times New Roman"/>
          <w:szCs w:val="24"/>
        </w:rPr>
      </w:pPr>
      <w:r w:rsidRPr="00FA38B2">
        <w:rPr>
          <w:rFonts w:cs="Times New Roman"/>
          <w:szCs w:val="24"/>
        </w:rPr>
        <w:lastRenderedPageBreak/>
        <w:t>So, growing up in the 70s and 80s, my parents didn't really encourage college. My dad went to college and didn't finish, you know, because of life, and starting a family. Back then college was</w:t>
      </w:r>
      <w:r w:rsidR="00E4544C" w:rsidRPr="00FA38B2">
        <w:rPr>
          <w:rFonts w:cs="Times New Roman"/>
          <w:szCs w:val="24"/>
        </w:rPr>
        <w:t xml:space="preserve">n't as important as it is now. </w:t>
      </w:r>
    </w:p>
    <w:p w14:paraId="1F0161D1" w14:textId="77777777" w:rsidR="009E1933" w:rsidRPr="00FA38B2" w:rsidRDefault="009E1933" w:rsidP="0015321A">
      <w:pPr>
        <w:rPr>
          <w:rFonts w:cs="Times New Roman"/>
          <w:szCs w:val="24"/>
        </w:rPr>
      </w:pPr>
      <w:r w:rsidRPr="00FA38B2">
        <w:rPr>
          <w:rFonts w:cs="Times New Roman"/>
          <w:szCs w:val="24"/>
        </w:rPr>
        <w:t xml:space="preserve">Cat’s life circumstances when she was younger allowed for her to work full-time without a college degree. However, when she decided to try to return to college later in life, she faced other barriers to enrolling: </w:t>
      </w:r>
    </w:p>
    <w:p w14:paraId="3E39BEB6" w14:textId="59AF7C40" w:rsidR="009E1933" w:rsidRPr="00FA38B2" w:rsidRDefault="009E1933" w:rsidP="0015321A">
      <w:pPr>
        <w:ind w:left="720"/>
        <w:rPr>
          <w:rFonts w:cs="Times New Roman"/>
          <w:szCs w:val="24"/>
        </w:rPr>
      </w:pPr>
      <w:r w:rsidRPr="00FA38B2">
        <w:rPr>
          <w:rFonts w:cs="Times New Roman"/>
          <w:szCs w:val="24"/>
        </w:rPr>
        <w:t>But I've always had a desire to go to college. But you know, it really wasn't required and I just wanted to make money. I started my family and wanted to go back; I had a strong desire to go back. And I kept getting roadblocks, because financial aid would say, “You make too much money.” And I was like, “No, really, I don't.” So that was the roadblock. I wanted to do better. I feel like I have so much to offer to the world. And it was very frustrating to me as an adult in my late 20s, 30s, and 40s, to, you know, just to not be able to go. So that was very, very frustrating because I had goals for myself, I just didn't want to settle for what I'm currently</w:t>
      </w:r>
      <w:r w:rsidR="00E4544C" w:rsidRPr="00FA38B2">
        <w:rPr>
          <w:rFonts w:cs="Times New Roman"/>
          <w:szCs w:val="24"/>
        </w:rPr>
        <w:t xml:space="preserve"> doing for the rest of my life.</w:t>
      </w:r>
    </w:p>
    <w:p w14:paraId="485625CE" w14:textId="5CBB627F" w:rsidR="009E1933" w:rsidRPr="00FA38B2" w:rsidRDefault="009E1933" w:rsidP="0015321A">
      <w:pPr>
        <w:ind w:firstLine="720"/>
        <w:rPr>
          <w:rFonts w:cs="Times New Roman"/>
          <w:szCs w:val="24"/>
        </w:rPr>
      </w:pPr>
      <w:r w:rsidRPr="00FA38B2">
        <w:rPr>
          <w:rFonts w:cs="Times New Roman"/>
          <w:szCs w:val="24"/>
        </w:rPr>
        <w:t xml:space="preserve">Students also dropped out of college earlier in life due to unexpected hardships and responsibilities. Family illness, children, and work commitments often impeded their ability to continue or complete their education. Participant “Jen,” a 37-year-old female student, reflected on how she attempted college twice prior to using the TN Reconnect. The first time she went to college, she was caring for her two children and working full-time. After her first semester, her family had to take in a child that was not their own. The commitments became too much to continue, as she noted, “it was a lot, you know. I was working full-time, three kids at home, it was just [homework] at midnight during the work week. It was just too much.” She did not enroll </w:t>
      </w:r>
      <w:r w:rsidRPr="00FA38B2">
        <w:rPr>
          <w:rFonts w:cs="Times New Roman"/>
          <w:szCs w:val="24"/>
        </w:rPr>
        <w:lastRenderedPageBreak/>
        <w:t xml:space="preserve">for classes following her first semester, but she did re-enroll a few years later. Later she dropped out to recover from a car accident and to homeschool her son. </w:t>
      </w:r>
    </w:p>
    <w:p w14:paraId="2BF539F0" w14:textId="77777777" w:rsidR="009E1933" w:rsidRPr="00FA38B2" w:rsidRDefault="009E1933" w:rsidP="0015321A">
      <w:pPr>
        <w:rPr>
          <w:rFonts w:cs="Times New Roman"/>
          <w:b/>
          <w:bCs/>
          <w:i/>
          <w:iCs/>
          <w:szCs w:val="24"/>
        </w:rPr>
      </w:pPr>
      <w:r w:rsidRPr="00FA38B2">
        <w:rPr>
          <w:rFonts w:cs="Times New Roman"/>
          <w:b/>
          <w:bCs/>
          <w:i/>
          <w:iCs/>
          <w:szCs w:val="24"/>
        </w:rPr>
        <w:t>Theory-Based Themes: Lack of Resources and Context</w:t>
      </w:r>
    </w:p>
    <w:p w14:paraId="79BC6774" w14:textId="0AFCA7AF" w:rsidR="009E1933" w:rsidRPr="00FA38B2" w:rsidRDefault="009E1933" w:rsidP="0015321A">
      <w:pPr>
        <w:ind w:firstLine="720"/>
        <w:rPr>
          <w:rFonts w:cs="Times New Roman"/>
          <w:b/>
          <w:szCs w:val="24"/>
        </w:rPr>
      </w:pPr>
      <w:r w:rsidRPr="00FA38B2">
        <w:rPr>
          <w:rFonts w:cs="Times New Roman"/>
          <w:szCs w:val="24"/>
        </w:rPr>
        <w:t xml:space="preserve">Students often dropped out of college because of limited access to resources, including financial and relational resources and self-esteem.  Because their context and personal circumstances were not ideal for the typical life of a college student, they faced various challenges early on. Whether they planned on returning or not, the challenges were substantial enough to cause them to leave postsecondary education. </w:t>
      </w:r>
    </w:p>
    <w:p w14:paraId="4BD9C0FB" w14:textId="77777777" w:rsidR="009E1933" w:rsidRPr="00FA38B2" w:rsidRDefault="009E1933" w:rsidP="0015321A">
      <w:pPr>
        <w:rPr>
          <w:rFonts w:cs="Times New Roman"/>
          <w:b/>
          <w:szCs w:val="24"/>
        </w:rPr>
      </w:pPr>
      <w:r w:rsidRPr="00FA38B2">
        <w:rPr>
          <w:rFonts w:cs="Times New Roman"/>
          <w:b/>
          <w:szCs w:val="24"/>
        </w:rPr>
        <w:t xml:space="preserve">Enrolling with the TN Reconnect </w:t>
      </w:r>
    </w:p>
    <w:p w14:paraId="7BCD3020" w14:textId="77777777" w:rsidR="009E1933" w:rsidRPr="00FA38B2" w:rsidRDefault="009E1933" w:rsidP="0015321A">
      <w:pPr>
        <w:rPr>
          <w:rFonts w:cs="Times New Roman"/>
          <w:b/>
          <w:i/>
          <w:iCs/>
          <w:szCs w:val="24"/>
        </w:rPr>
      </w:pPr>
      <w:r w:rsidRPr="00FA38B2">
        <w:rPr>
          <w:rFonts w:cs="Times New Roman"/>
          <w:b/>
          <w:i/>
          <w:iCs/>
          <w:szCs w:val="24"/>
        </w:rPr>
        <w:t>Emergent Themes: Decreased Financial Barriers and an Opportunity to Improve</w:t>
      </w:r>
    </w:p>
    <w:p w14:paraId="0545EC96" w14:textId="77777777" w:rsidR="00976AB7" w:rsidRDefault="009E1933" w:rsidP="0015321A">
      <w:pPr>
        <w:ind w:firstLine="720"/>
        <w:rPr>
          <w:rFonts w:cs="Times New Roman"/>
          <w:szCs w:val="24"/>
        </w:rPr>
      </w:pPr>
      <w:r w:rsidRPr="00FA38B2">
        <w:rPr>
          <w:rFonts w:cs="Times New Roman"/>
          <w:szCs w:val="24"/>
        </w:rPr>
        <w:t>Students received incentives to re-enroll in postsecondary education because of the promise of tuition-free college. Therefore, their individual circumstances changed with a decrease in barriers, such as financial constraints. In addition, the TN Reconnect was an opportunity to improve their lives and the lives of their families. It was an opportunity for a fresh start. Furthermore, participants were on average 40 years old, and many indicated their children were either out of the house or self-sufficient. Many indicated that the time commitment to pursuing a degree, which may have previously posed a problem, was no longer a barrier.</w:t>
      </w:r>
      <w:r w:rsidR="00E4544C" w:rsidRPr="00FA38B2">
        <w:rPr>
          <w:rFonts w:cs="Times New Roman"/>
          <w:szCs w:val="24"/>
        </w:rPr>
        <w:t xml:space="preserve"> </w:t>
      </w:r>
    </w:p>
    <w:p w14:paraId="06B6EBCF" w14:textId="152B4E52" w:rsidR="009E1933" w:rsidRPr="00FA38B2" w:rsidRDefault="009E1933" w:rsidP="00976AB7">
      <w:pPr>
        <w:rPr>
          <w:rFonts w:cs="Times New Roman"/>
          <w:b/>
          <w:bCs/>
          <w:i/>
          <w:iCs/>
          <w:szCs w:val="24"/>
        </w:rPr>
      </w:pPr>
      <w:r w:rsidRPr="00FA38B2">
        <w:rPr>
          <w:rFonts w:cs="Times New Roman"/>
          <w:b/>
          <w:bCs/>
          <w:i/>
          <w:iCs/>
          <w:szCs w:val="24"/>
        </w:rPr>
        <w:t>Examples of Experiences Enrolling with TN Reconnect</w:t>
      </w:r>
    </w:p>
    <w:p w14:paraId="3281126E" w14:textId="57E3A5EC" w:rsidR="009E1933" w:rsidRPr="00FA38B2" w:rsidRDefault="009E1933" w:rsidP="0015321A">
      <w:pPr>
        <w:ind w:firstLine="720"/>
        <w:rPr>
          <w:rFonts w:cs="Times New Roman"/>
          <w:szCs w:val="24"/>
        </w:rPr>
      </w:pPr>
      <w:r w:rsidRPr="00FA38B2">
        <w:rPr>
          <w:rFonts w:cs="Times New Roman"/>
          <w:szCs w:val="24"/>
        </w:rPr>
        <w:t xml:space="preserve">Garden, who was working as a bartender and stand-up comedian before returning to college, explained to us how she learned about the TN Reconnect and decided to re-enroll in college: </w:t>
      </w:r>
    </w:p>
    <w:p w14:paraId="2F7CE85C" w14:textId="137BDF79" w:rsidR="009E1933" w:rsidRPr="00FA38B2" w:rsidRDefault="009E1933" w:rsidP="0015321A">
      <w:pPr>
        <w:ind w:left="720"/>
        <w:rPr>
          <w:rFonts w:cs="Times New Roman"/>
          <w:szCs w:val="24"/>
        </w:rPr>
      </w:pPr>
      <w:r w:rsidRPr="00FA38B2">
        <w:rPr>
          <w:rFonts w:cs="Times New Roman"/>
          <w:szCs w:val="24"/>
        </w:rPr>
        <w:t xml:space="preserve">I kind of acted like I was better than community college. I was driving home from the bar, and I was angry and I was tired and my feet hurt and I didn't know what I was going </w:t>
      </w:r>
      <w:r w:rsidRPr="00FA38B2">
        <w:rPr>
          <w:rFonts w:cs="Times New Roman"/>
          <w:szCs w:val="24"/>
        </w:rPr>
        <w:lastRenderedPageBreak/>
        <w:t xml:space="preserve">to do. And then at a stoplight, I looked up and it was on a </w:t>
      </w:r>
      <w:proofErr w:type="spellStart"/>
      <w:r w:rsidRPr="00FA38B2">
        <w:rPr>
          <w:rFonts w:cs="Times New Roman"/>
          <w:szCs w:val="24"/>
        </w:rPr>
        <w:t>freakin</w:t>
      </w:r>
      <w:proofErr w:type="spellEnd"/>
      <w:r w:rsidRPr="00FA38B2">
        <w:rPr>
          <w:rFonts w:cs="Times New Roman"/>
          <w:szCs w:val="24"/>
        </w:rPr>
        <w:t>’ billboard. I felt like it was a sign from God. And I was like fuck it and just literally, while I was in the car drivin</w:t>
      </w:r>
      <w:r w:rsidR="00E4544C" w:rsidRPr="00FA38B2">
        <w:rPr>
          <w:rFonts w:cs="Times New Roman"/>
          <w:szCs w:val="24"/>
        </w:rPr>
        <w:t xml:space="preserve">g home checked it on my phone. </w:t>
      </w:r>
    </w:p>
    <w:p w14:paraId="65EAEBC9" w14:textId="77777777" w:rsidR="009E1933" w:rsidRPr="00FA38B2" w:rsidRDefault="009E1933" w:rsidP="0015321A">
      <w:pPr>
        <w:rPr>
          <w:rFonts w:cs="Times New Roman"/>
          <w:szCs w:val="24"/>
        </w:rPr>
      </w:pPr>
      <w:r w:rsidRPr="00FA38B2">
        <w:rPr>
          <w:rFonts w:cs="Times New Roman"/>
          <w:szCs w:val="24"/>
        </w:rPr>
        <w:t xml:space="preserve">Garden said her career prospects as a bartender and stand-up comedian were limited because “in the entertainment business, I’m already nearly past my prime.” The TN Reconnect was her chance to get a degree and “make 50 grand a year, get everything that I need to get health insurance and be able to buy a house and be really happy.” </w:t>
      </w:r>
    </w:p>
    <w:p w14:paraId="00645A1C" w14:textId="3B591BB7" w:rsidR="009E1933" w:rsidRPr="00FA38B2" w:rsidRDefault="009E1933" w:rsidP="0015321A">
      <w:pPr>
        <w:ind w:firstLine="720"/>
        <w:rPr>
          <w:rFonts w:cs="Times New Roman"/>
          <w:szCs w:val="24"/>
        </w:rPr>
      </w:pPr>
      <w:r w:rsidRPr="00FA38B2">
        <w:rPr>
          <w:rFonts w:cs="Times New Roman"/>
          <w:szCs w:val="24"/>
        </w:rPr>
        <w:t xml:space="preserve">Participant “Nana,” a 50-year-old female student, was unemployed after quitting her job in a school system to take care of her injured husband. She reflected on her decision to return to college with the TN Reconnect: </w:t>
      </w:r>
    </w:p>
    <w:p w14:paraId="7EDF5D53" w14:textId="620A455D" w:rsidR="009E1933" w:rsidRPr="00FA38B2" w:rsidRDefault="009E1933" w:rsidP="0015321A">
      <w:pPr>
        <w:ind w:left="720"/>
        <w:rPr>
          <w:rFonts w:cs="Times New Roman"/>
          <w:szCs w:val="24"/>
        </w:rPr>
      </w:pPr>
      <w:r w:rsidRPr="00FA38B2">
        <w:rPr>
          <w:rFonts w:cs="Times New Roman"/>
          <w:szCs w:val="24"/>
        </w:rPr>
        <w:t>And then when I was working in the school system, I noticed that even when I tried to move laterally, I wasn't getting anywhere. So, then my husband had an accident, and I had to quit my job to take care of him. And then as he started to get better, I thought, well I'm not going to go back to the same job I spent 12 years spinning my wheels. So, when I heard about TN Reconnect, I thought, okay, you know, I can do this, I could take care of him, and I can go to school, and I wo</w:t>
      </w:r>
      <w:r w:rsidR="00E4544C" w:rsidRPr="00FA38B2">
        <w:rPr>
          <w:rFonts w:cs="Times New Roman"/>
          <w:szCs w:val="24"/>
        </w:rPr>
        <w:t>uldn't have to pay for tuition.</w:t>
      </w:r>
    </w:p>
    <w:p w14:paraId="5A0C475D" w14:textId="77777777" w:rsidR="009E1933" w:rsidRPr="00FA38B2" w:rsidRDefault="009E1933" w:rsidP="0015321A">
      <w:pPr>
        <w:rPr>
          <w:rFonts w:cs="Times New Roman"/>
          <w:szCs w:val="24"/>
        </w:rPr>
      </w:pPr>
      <w:r w:rsidRPr="00FA38B2">
        <w:rPr>
          <w:rFonts w:cs="Times New Roman"/>
          <w:szCs w:val="24"/>
        </w:rPr>
        <w:t xml:space="preserve">Nana was at a point in her life when her career prospects were limited by not having a degree, while her other commitments were minimal. The TN Reconnect Grant removed the financial burden of returning to college and gave her the opportunity to improve her career prospects. </w:t>
      </w:r>
    </w:p>
    <w:p w14:paraId="241AB1B3" w14:textId="77777777" w:rsidR="009E1933" w:rsidRPr="00FA38B2" w:rsidRDefault="009E1933" w:rsidP="0015321A">
      <w:pPr>
        <w:rPr>
          <w:rFonts w:cs="Times New Roman"/>
          <w:szCs w:val="24"/>
        </w:rPr>
      </w:pPr>
      <w:r w:rsidRPr="00FA38B2">
        <w:rPr>
          <w:rFonts w:cs="Times New Roman"/>
          <w:szCs w:val="24"/>
        </w:rPr>
        <w:t xml:space="preserve">Similarly, Jay believed TN Reconnect was an opportunity to improve his career and life: </w:t>
      </w:r>
    </w:p>
    <w:p w14:paraId="7485DC13" w14:textId="1F35B6CE" w:rsidR="009E1933" w:rsidRPr="00FA38B2" w:rsidRDefault="009E1933" w:rsidP="0015321A">
      <w:pPr>
        <w:ind w:left="720"/>
        <w:rPr>
          <w:rFonts w:cs="Times New Roman"/>
          <w:szCs w:val="24"/>
        </w:rPr>
      </w:pPr>
      <w:r w:rsidRPr="00FA38B2">
        <w:rPr>
          <w:rFonts w:cs="Times New Roman"/>
          <w:szCs w:val="24"/>
        </w:rPr>
        <w:t xml:space="preserve">I have pretty much peaked in in my chosen profession. Right now, I'm a local fleet manager for a small trucking company. But to move above that is not really going to be possible. Every time I've looked for a higher up job, the very first question is what degree </w:t>
      </w:r>
      <w:r w:rsidRPr="00FA38B2">
        <w:rPr>
          <w:rFonts w:cs="Times New Roman"/>
          <w:szCs w:val="24"/>
        </w:rPr>
        <w:lastRenderedPageBreak/>
        <w:t>did you have. Of course, I don't have one, so that pretty much closed the door bef</w:t>
      </w:r>
      <w:r w:rsidR="00E4544C" w:rsidRPr="00FA38B2">
        <w:rPr>
          <w:rFonts w:cs="Times New Roman"/>
          <w:szCs w:val="24"/>
        </w:rPr>
        <w:t>ore I even got my foot into it.</w:t>
      </w:r>
    </w:p>
    <w:p w14:paraId="4E58B166" w14:textId="77777777" w:rsidR="009E1933" w:rsidRPr="00FA38B2" w:rsidRDefault="009E1933" w:rsidP="0015321A">
      <w:pPr>
        <w:rPr>
          <w:rFonts w:cs="Times New Roman"/>
          <w:b/>
          <w:bCs/>
          <w:i/>
          <w:iCs/>
          <w:szCs w:val="24"/>
        </w:rPr>
      </w:pPr>
      <w:r w:rsidRPr="00FA38B2">
        <w:rPr>
          <w:rFonts w:cs="Times New Roman"/>
          <w:b/>
          <w:bCs/>
          <w:i/>
          <w:iCs/>
          <w:szCs w:val="24"/>
        </w:rPr>
        <w:t>Theory-Based Themes: Unexpected Transition, Ideal Context, and Minimal Negative Impact</w:t>
      </w:r>
    </w:p>
    <w:p w14:paraId="72545F49" w14:textId="30C58078" w:rsidR="00001C39" w:rsidRPr="00CC3DFF" w:rsidRDefault="009E1933" w:rsidP="00CC3DFF">
      <w:pPr>
        <w:ind w:firstLine="720"/>
        <w:rPr>
          <w:rFonts w:cs="Times New Roman"/>
          <w:szCs w:val="24"/>
        </w:rPr>
      </w:pPr>
      <w:r w:rsidRPr="00FA38B2">
        <w:rPr>
          <w:rFonts w:cs="Times New Roman"/>
          <w:szCs w:val="24"/>
        </w:rPr>
        <w:t xml:space="preserve">As Schlossberg’s (1981) early transition model indicates, the </w:t>
      </w:r>
      <w:r w:rsidRPr="00FA38B2">
        <w:rPr>
          <w:rFonts w:cs="Times New Roman"/>
          <w:i/>
          <w:iCs/>
          <w:szCs w:val="24"/>
        </w:rPr>
        <w:t>type</w:t>
      </w:r>
      <w:r w:rsidRPr="00FA38B2">
        <w:rPr>
          <w:rFonts w:cs="Times New Roman"/>
          <w:szCs w:val="24"/>
        </w:rPr>
        <w:t xml:space="preserve"> of transition experienced, the </w:t>
      </w:r>
      <w:r w:rsidRPr="00FA38B2">
        <w:rPr>
          <w:rFonts w:cs="Times New Roman"/>
          <w:i/>
          <w:iCs/>
          <w:szCs w:val="24"/>
        </w:rPr>
        <w:t>context</w:t>
      </w:r>
      <w:r w:rsidRPr="00FA38B2">
        <w:rPr>
          <w:rFonts w:cs="Times New Roman"/>
          <w:szCs w:val="24"/>
        </w:rPr>
        <w:t xml:space="preserve"> or relationship had with the experience, and the </w:t>
      </w:r>
      <w:r w:rsidRPr="00FA38B2">
        <w:rPr>
          <w:rFonts w:cs="Times New Roman"/>
          <w:i/>
          <w:iCs/>
          <w:szCs w:val="24"/>
        </w:rPr>
        <w:t>impact</w:t>
      </w:r>
      <w:r w:rsidRPr="00FA38B2">
        <w:rPr>
          <w:rFonts w:cs="Times New Roman"/>
          <w:szCs w:val="24"/>
        </w:rPr>
        <w:t xml:space="preserve"> of the transition on daily life are factors that influence adult transitions. The TN Reconnect represented an unexpected transition opportunity for study participants (type). Many expressed a desire to improve their careers, yet found that without a degree, their prospects were limited (context). The TN Reconnect provided them with the opportunity to re-enroll in college and earn a degree with little to no financial commitment (impact). Participants in our study were at a point in their lives where although TN Reconnect was an unexpected transition, their lives (context) allowed for them to re-enroll in college</w:t>
      </w:r>
      <w:r w:rsidR="00CC3DFF">
        <w:rPr>
          <w:rFonts w:cs="Times New Roman"/>
          <w:szCs w:val="24"/>
        </w:rPr>
        <w:t xml:space="preserve"> with minimal negative impact. </w:t>
      </w:r>
    </w:p>
    <w:p w14:paraId="2EDA74D4" w14:textId="2E6E0564" w:rsidR="009E1933" w:rsidRPr="00FA38B2" w:rsidRDefault="009E1933" w:rsidP="0015321A">
      <w:pPr>
        <w:rPr>
          <w:rFonts w:cs="Times New Roman"/>
          <w:b/>
          <w:szCs w:val="24"/>
        </w:rPr>
      </w:pPr>
      <w:r w:rsidRPr="00FA38B2">
        <w:rPr>
          <w:rFonts w:cs="Times New Roman"/>
          <w:b/>
          <w:szCs w:val="24"/>
        </w:rPr>
        <w:t xml:space="preserve">Transition to College: First Semester as a Student </w:t>
      </w:r>
    </w:p>
    <w:p w14:paraId="0DC0C7CE" w14:textId="77777777" w:rsidR="009E1933" w:rsidRPr="00FA38B2" w:rsidRDefault="009E1933" w:rsidP="0015321A">
      <w:pPr>
        <w:rPr>
          <w:rFonts w:cs="Times New Roman"/>
          <w:b/>
          <w:i/>
          <w:iCs/>
          <w:szCs w:val="24"/>
        </w:rPr>
      </w:pPr>
      <w:r w:rsidRPr="00FA38B2">
        <w:rPr>
          <w:rFonts w:cs="Times New Roman"/>
          <w:b/>
          <w:i/>
          <w:iCs/>
          <w:szCs w:val="24"/>
        </w:rPr>
        <w:t>Emergent Themes: Driven to Succeed Despite Barriers and Learning Curves</w:t>
      </w:r>
    </w:p>
    <w:p w14:paraId="37BDD4B2" w14:textId="543D3A1C" w:rsidR="009E1933" w:rsidRPr="00FA38B2" w:rsidRDefault="009E1933" w:rsidP="0015321A">
      <w:pPr>
        <w:ind w:firstLine="720"/>
        <w:rPr>
          <w:rFonts w:cs="Times New Roman"/>
          <w:szCs w:val="24"/>
        </w:rPr>
      </w:pPr>
      <w:r w:rsidRPr="00FA38B2">
        <w:rPr>
          <w:rFonts w:cs="Times New Roman"/>
          <w:szCs w:val="24"/>
        </w:rPr>
        <w:t xml:space="preserve">Although participants had common experiences prior to re-enrolling in college with the TN Reconnect, their experiences of transitioning to college and becoming a student varied. While students often experienced barriers and learning curves when re-entering postsecondary education, including barriers such as technology and a lack of student support services for adult learners, some struggled more than others. This section explores the findings related to the participants’ complex realities and how their perception of the situation, self, support, and strategies influenced their transition. </w:t>
      </w:r>
    </w:p>
    <w:p w14:paraId="2CCAAA1C" w14:textId="77777777" w:rsidR="00CC3DFF" w:rsidRDefault="00CC3DFF">
      <w:pPr>
        <w:rPr>
          <w:rFonts w:cs="Times New Roman"/>
          <w:b/>
          <w:bCs/>
          <w:i/>
          <w:iCs/>
          <w:szCs w:val="24"/>
        </w:rPr>
      </w:pPr>
      <w:r>
        <w:rPr>
          <w:rFonts w:cs="Times New Roman"/>
          <w:b/>
          <w:bCs/>
          <w:i/>
          <w:iCs/>
          <w:szCs w:val="24"/>
        </w:rPr>
        <w:br w:type="page"/>
      </w:r>
    </w:p>
    <w:p w14:paraId="0895869C" w14:textId="4473E2A5" w:rsidR="009E1933" w:rsidRPr="00FA38B2" w:rsidRDefault="009E1933" w:rsidP="0015321A">
      <w:pPr>
        <w:rPr>
          <w:rFonts w:cs="Times New Roman"/>
          <w:b/>
          <w:bCs/>
          <w:i/>
          <w:iCs/>
          <w:szCs w:val="24"/>
        </w:rPr>
      </w:pPr>
      <w:r w:rsidRPr="00FA38B2">
        <w:rPr>
          <w:rFonts w:cs="Times New Roman"/>
          <w:b/>
          <w:bCs/>
          <w:i/>
          <w:iCs/>
          <w:szCs w:val="24"/>
        </w:rPr>
        <w:lastRenderedPageBreak/>
        <w:t>Examples of Experiences Transitioning to First Semester in College</w:t>
      </w:r>
    </w:p>
    <w:p w14:paraId="6B59CF42" w14:textId="0CA05EA5" w:rsidR="009E1933" w:rsidRPr="00FA38B2" w:rsidRDefault="009E1933" w:rsidP="0015321A">
      <w:pPr>
        <w:ind w:firstLine="720"/>
        <w:rPr>
          <w:rFonts w:cs="Times New Roman"/>
          <w:szCs w:val="24"/>
        </w:rPr>
      </w:pPr>
      <w:r w:rsidRPr="00FA38B2">
        <w:rPr>
          <w:rFonts w:cs="Times New Roman"/>
          <w:b/>
          <w:iCs/>
          <w:szCs w:val="24"/>
        </w:rPr>
        <w:t xml:space="preserve">Situation. </w:t>
      </w:r>
      <w:r w:rsidRPr="00FA38B2">
        <w:rPr>
          <w:rFonts w:cs="Times New Roman"/>
          <w:szCs w:val="24"/>
        </w:rPr>
        <w:t xml:space="preserve">Participants’ perceptions of their </w:t>
      </w:r>
      <w:r w:rsidRPr="00FA38B2">
        <w:rPr>
          <w:rFonts w:cs="Times New Roman"/>
          <w:i/>
          <w:szCs w:val="24"/>
        </w:rPr>
        <w:t xml:space="preserve">situation </w:t>
      </w:r>
      <w:r w:rsidRPr="00FA38B2">
        <w:rPr>
          <w:rFonts w:cs="Times New Roman"/>
          <w:szCs w:val="24"/>
        </w:rPr>
        <w:t xml:space="preserve">influenced how they coped with the transition to becoming a student. Garden reflected on her transition and how her assessment of her career factored into her decision to return to college: </w:t>
      </w:r>
    </w:p>
    <w:p w14:paraId="5E206DA6" w14:textId="1FCF6918" w:rsidR="009E1933" w:rsidRPr="00FA38B2" w:rsidRDefault="009E1933" w:rsidP="0015321A">
      <w:pPr>
        <w:ind w:left="720"/>
        <w:rPr>
          <w:rFonts w:cs="Times New Roman"/>
          <w:szCs w:val="24"/>
        </w:rPr>
      </w:pPr>
      <w:r w:rsidRPr="00FA38B2">
        <w:rPr>
          <w:rFonts w:cs="Times New Roman"/>
          <w:szCs w:val="24"/>
        </w:rPr>
        <w:t>I kind of looked at stand-up, and I realized I was not going to get that out of stand-up. Unless I moved to like LA or something like that. And even then, I know so many people that are some of the funniest, most just amazing stand-up comedians in the entire world. And they will never get past comedy clubs. They'll never get to the point where they have a spot on a TV show. They're not going to make more than 30-grand a year. And that's not enough. Just this day an</w:t>
      </w:r>
      <w:r w:rsidR="00E4544C" w:rsidRPr="00FA38B2">
        <w:rPr>
          <w:rFonts w:cs="Times New Roman"/>
          <w:szCs w:val="24"/>
        </w:rPr>
        <w:t xml:space="preserve">d age. It's just flat out not. </w:t>
      </w:r>
    </w:p>
    <w:p w14:paraId="1D1B69C6" w14:textId="77777777" w:rsidR="009E1933" w:rsidRPr="00FA38B2" w:rsidRDefault="009E1933" w:rsidP="0015321A">
      <w:pPr>
        <w:rPr>
          <w:rFonts w:cs="Times New Roman"/>
          <w:szCs w:val="24"/>
        </w:rPr>
      </w:pPr>
      <w:r w:rsidRPr="00FA38B2">
        <w:rPr>
          <w:rFonts w:cs="Times New Roman"/>
          <w:szCs w:val="24"/>
        </w:rPr>
        <w:t xml:space="preserve">Garden accepted the fact that she may not make it as a stand-up comedian. Instead of viewing her situation negatively, she embraced her new role as an adult learner. </w:t>
      </w:r>
    </w:p>
    <w:p w14:paraId="3FB59D0F" w14:textId="1DDB8C4F" w:rsidR="009E1933" w:rsidRPr="00FA38B2" w:rsidRDefault="009E1933" w:rsidP="0015321A">
      <w:pPr>
        <w:ind w:firstLine="720"/>
        <w:rPr>
          <w:rFonts w:cs="Times New Roman"/>
          <w:szCs w:val="24"/>
        </w:rPr>
      </w:pPr>
      <w:r w:rsidRPr="00FA38B2">
        <w:rPr>
          <w:rFonts w:cs="Times New Roman"/>
          <w:szCs w:val="24"/>
        </w:rPr>
        <w:t xml:space="preserve">Participant “Jackie,” a 47-year-old woman, dropped out of her program after one semester. Jackie reflected on her situation during her interview: </w:t>
      </w:r>
    </w:p>
    <w:p w14:paraId="6830608E" w14:textId="4343B1A6" w:rsidR="009E1933" w:rsidRPr="00FA38B2" w:rsidRDefault="009E1933" w:rsidP="0015321A">
      <w:pPr>
        <w:ind w:left="720"/>
        <w:rPr>
          <w:rFonts w:cs="Times New Roman"/>
          <w:szCs w:val="24"/>
        </w:rPr>
      </w:pPr>
      <w:r w:rsidRPr="00FA38B2">
        <w:rPr>
          <w:rFonts w:cs="Times New Roman"/>
          <w:szCs w:val="24"/>
        </w:rPr>
        <w:t>Well, I wasn't exactly sure what I want it to go back for. And at this age, I really should know. But I just, I just wasn't sure. I just knew I wanted to take advantage of this opportunity. Because you never know how long it's going to stick around. [But] my youngest daughter broke her ankle playing soccer, and I didn't really want to use that as a cop out. I did try to study and all that. But she had so many appointments. It was hard to stay on top of things. And I thought, well, I better jump out early so that maybe they'll, you know, forgive me, if I want to try this again. I didn't want to hang on to something I knew I was going to let go of. And</w:t>
      </w:r>
      <w:r w:rsidR="00E4544C" w:rsidRPr="00FA38B2">
        <w:rPr>
          <w:rFonts w:cs="Times New Roman"/>
          <w:szCs w:val="24"/>
        </w:rPr>
        <w:t xml:space="preserve"> so yeah, so I decided to drop.</w:t>
      </w:r>
    </w:p>
    <w:p w14:paraId="22F52458" w14:textId="77777777" w:rsidR="009E1933" w:rsidRPr="00FA38B2" w:rsidRDefault="009E1933" w:rsidP="0015321A">
      <w:pPr>
        <w:rPr>
          <w:rFonts w:cs="Times New Roman"/>
          <w:szCs w:val="24"/>
        </w:rPr>
      </w:pPr>
      <w:r w:rsidRPr="00FA38B2">
        <w:rPr>
          <w:rFonts w:cs="Times New Roman"/>
          <w:szCs w:val="24"/>
        </w:rPr>
        <w:lastRenderedPageBreak/>
        <w:t xml:space="preserve">Jackie had recently lost her long-term job in information technology. Her daughter was using the TN Reconnect, and she decided to enroll as well. However, beyond getting a college degree, Jackie did not have a clear purpose for returning to college. Additionally, her daughter’s injury added stress to her life, and this eventually led to her dropping out again. </w:t>
      </w:r>
    </w:p>
    <w:p w14:paraId="31800801" w14:textId="51E50744" w:rsidR="009E1933" w:rsidRPr="00FA38B2" w:rsidRDefault="009E1933" w:rsidP="0015321A">
      <w:pPr>
        <w:ind w:firstLine="720"/>
        <w:rPr>
          <w:rFonts w:cs="Times New Roman"/>
          <w:szCs w:val="24"/>
        </w:rPr>
      </w:pPr>
      <w:r w:rsidRPr="00FA38B2">
        <w:rPr>
          <w:rFonts w:cs="Times New Roman"/>
          <w:b/>
          <w:iCs/>
          <w:szCs w:val="24"/>
        </w:rPr>
        <w:t>Self</w:t>
      </w:r>
      <w:r w:rsidRPr="00FA38B2">
        <w:rPr>
          <w:rFonts w:cs="Times New Roman"/>
          <w:szCs w:val="24"/>
        </w:rPr>
        <w:t xml:space="preserve">. Participants’ understanding of the </w:t>
      </w:r>
      <w:r w:rsidRPr="00FA38B2">
        <w:rPr>
          <w:rFonts w:cs="Times New Roman"/>
          <w:i/>
          <w:szCs w:val="24"/>
        </w:rPr>
        <w:t>self</w:t>
      </w:r>
      <w:r w:rsidRPr="00FA38B2">
        <w:rPr>
          <w:rFonts w:cs="Times New Roman"/>
          <w:szCs w:val="24"/>
        </w:rPr>
        <w:t xml:space="preserve">, the “characteristics that are particularly relevant for individuals as they cope with change” (Anderson et al., 2011, p. 71), influenced their transitions to becoming students. Wind, for example, worked as an EMT for 12 years before deciding to re-enroll with the TN Reconnect: </w:t>
      </w:r>
    </w:p>
    <w:p w14:paraId="37D46938" w14:textId="4F146C4B" w:rsidR="009E1933" w:rsidRPr="00FA38B2" w:rsidRDefault="009E1933" w:rsidP="0015321A">
      <w:pPr>
        <w:ind w:left="720"/>
        <w:rPr>
          <w:rFonts w:cs="Times New Roman"/>
          <w:szCs w:val="24"/>
        </w:rPr>
      </w:pPr>
      <w:r w:rsidRPr="00FA38B2">
        <w:rPr>
          <w:rFonts w:cs="Times New Roman"/>
          <w:szCs w:val="24"/>
        </w:rPr>
        <w:t>I don't want to be in my 50s working on an ambulance cause it's hard on your body. You know, working on an ambulance, I've already got arthritis. So, it's kind of like thinking about those things like keeping that in mind. So, I decided to go back to school and try to get my RN and become a nurse. I actually had no plans on ever going to college. I didn't think I would enjoy school because I was actually going to go into the military after high school. But after doing like the EMT and paramedic school and like these couple semesters, I've gone I actually enjoyed going to school. I enjoy learning new things, like it's fun now whereas in high school, I was alway</w:t>
      </w:r>
      <w:r w:rsidR="00E4544C" w:rsidRPr="00FA38B2">
        <w:rPr>
          <w:rFonts w:cs="Times New Roman"/>
          <w:szCs w:val="24"/>
        </w:rPr>
        <w:t>s like just get me out of here.</w:t>
      </w:r>
    </w:p>
    <w:p w14:paraId="6AD55DA3" w14:textId="77777777" w:rsidR="009E1933" w:rsidRPr="00FA38B2" w:rsidRDefault="009E1933" w:rsidP="0015321A">
      <w:pPr>
        <w:rPr>
          <w:rFonts w:cs="Times New Roman"/>
          <w:szCs w:val="24"/>
        </w:rPr>
      </w:pPr>
      <w:r w:rsidRPr="00FA38B2">
        <w:rPr>
          <w:rFonts w:cs="Times New Roman"/>
          <w:szCs w:val="24"/>
        </w:rPr>
        <w:t xml:space="preserve">Wind perceived her career as one she should not continue as she aged. Her understanding of certain aspects of </w:t>
      </w:r>
      <w:proofErr w:type="spellStart"/>
      <w:r w:rsidRPr="00FA38B2">
        <w:rPr>
          <w:rFonts w:cs="Times New Roman"/>
          <w:szCs w:val="24"/>
        </w:rPr>
        <w:t xml:space="preserve">her </w:t>
      </w:r>
      <w:r w:rsidRPr="00FA38B2">
        <w:rPr>
          <w:rFonts w:cs="Times New Roman"/>
          <w:i/>
          <w:szCs w:val="24"/>
        </w:rPr>
        <w:t>self</w:t>
      </w:r>
      <w:proofErr w:type="spellEnd"/>
      <w:r w:rsidRPr="00FA38B2">
        <w:rPr>
          <w:rFonts w:cs="Times New Roman"/>
          <w:szCs w:val="24"/>
        </w:rPr>
        <w:t xml:space="preserve">, including her health and age, allowed for her to embrace the transition to becoming a college student. </w:t>
      </w:r>
    </w:p>
    <w:p w14:paraId="16761D52" w14:textId="53CEF1DF" w:rsidR="009E1933" w:rsidRPr="00FA38B2" w:rsidRDefault="009E1933" w:rsidP="0015321A">
      <w:pPr>
        <w:ind w:firstLine="720"/>
        <w:rPr>
          <w:rFonts w:cs="Times New Roman"/>
          <w:szCs w:val="24"/>
        </w:rPr>
      </w:pPr>
      <w:r w:rsidRPr="00FA38B2">
        <w:rPr>
          <w:rFonts w:cs="Times New Roman"/>
          <w:b/>
          <w:iCs/>
          <w:szCs w:val="24"/>
        </w:rPr>
        <w:t>Support.</w:t>
      </w:r>
      <w:r w:rsidRPr="00FA38B2">
        <w:rPr>
          <w:rFonts w:cs="Times New Roman"/>
          <w:szCs w:val="24"/>
        </w:rPr>
        <w:t xml:space="preserve"> </w:t>
      </w:r>
      <w:r w:rsidRPr="00FA38B2">
        <w:rPr>
          <w:rFonts w:cs="Times New Roman"/>
          <w:i/>
          <w:szCs w:val="24"/>
        </w:rPr>
        <w:t>Support</w:t>
      </w:r>
      <w:r w:rsidRPr="00FA38B2">
        <w:rPr>
          <w:rFonts w:cs="Times New Roman"/>
          <w:szCs w:val="24"/>
        </w:rPr>
        <w:t xml:space="preserve"> from family, friends, communities, and institutions is vital to coping with transition (Anderson et al., 2011). Participant “Kayla,” a 32-year-old female student, attended college when she was in her early 20s. During Kayla’s first experience in college, her ex-husband was unsupportive of her educational goals and her mother suffered from declining </w:t>
      </w:r>
      <w:r w:rsidRPr="00FA38B2">
        <w:rPr>
          <w:rFonts w:cs="Times New Roman"/>
          <w:szCs w:val="24"/>
        </w:rPr>
        <w:lastRenderedPageBreak/>
        <w:t xml:space="preserve">health. The lack of support from her ex-husband compounded by her mother’s health led to Kayla dropping out of school. After dropping out of college, she moved with her ex-husband to another state so he could attend graduate school. She said she “was basically there to pay for him to be there.” Kayla further reflected on what helped her transition to college as an adult learner: </w:t>
      </w:r>
    </w:p>
    <w:p w14:paraId="2182B484" w14:textId="49AB8A7E" w:rsidR="009E1933" w:rsidRPr="00FA38B2" w:rsidRDefault="009E1933" w:rsidP="0015321A">
      <w:pPr>
        <w:ind w:left="720"/>
        <w:rPr>
          <w:rFonts w:cs="Times New Roman"/>
          <w:szCs w:val="24"/>
        </w:rPr>
      </w:pPr>
      <w:r w:rsidRPr="00FA38B2">
        <w:rPr>
          <w:rFonts w:cs="Times New Roman"/>
          <w:szCs w:val="24"/>
        </w:rPr>
        <w:t>I currently have a boyfriend that is actually supportive and not leaning on me to support him. Work is absolutely great about it too. Whenever we have exams or something I'll ask for like a longer lunch, and they're absolutely cool with it . . . they are aware that I read my chapters at work whenever I have time. And they're fine with that. My parents obviously are very supportive. And even whenever I get down on myself, like I had made a bad grade one time and I wasn't feeling great about it . . . they encouraged me, that I was I was still doing a good job. Just verbal encouragement, actually, because I do have low confidence though, having somebody to ha</w:t>
      </w:r>
      <w:r w:rsidR="00E4544C" w:rsidRPr="00FA38B2">
        <w:rPr>
          <w:rFonts w:cs="Times New Roman"/>
          <w:szCs w:val="24"/>
        </w:rPr>
        <w:t xml:space="preserve">ve confidence for me is great. </w:t>
      </w:r>
    </w:p>
    <w:p w14:paraId="2E53EFC4" w14:textId="77777777" w:rsidR="009E1933" w:rsidRPr="00FA38B2" w:rsidRDefault="009E1933" w:rsidP="0015321A">
      <w:pPr>
        <w:rPr>
          <w:rFonts w:cs="Times New Roman"/>
          <w:szCs w:val="24"/>
        </w:rPr>
      </w:pPr>
      <w:r w:rsidRPr="00FA38B2">
        <w:rPr>
          <w:rFonts w:cs="Times New Roman"/>
          <w:szCs w:val="24"/>
        </w:rPr>
        <w:t xml:space="preserve">Kayla’s support system helped her thrive as an adult learner, especially when she questioned her ability. After enrolling in college with the TN Reconnect, she transitioned from someone who was “kind of dreading” college, to someone who “likes learning . . . [and] likes homework for the most part.” Many other participants shared how the support of family and friends made the transition back to college easier. </w:t>
      </w:r>
    </w:p>
    <w:p w14:paraId="6521F470" w14:textId="7A08AD45" w:rsidR="009E1933" w:rsidRPr="00FA38B2" w:rsidRDefault="009E1933" w:rsidP="0015321A">
      <w:pPr>
        <w:ind w:firstLine="720"/>
        <w:rPr>
          <w:rFonts w:cs="Times New Roman"/>
          <w:szCs w:val="24"/>
        </w:rPr>
      </w:pPr>
      <w:r w:rsidRPr="00FA38B2">
        <w:rPr>
          <w:rFonts w:cs="Times New Roman"/>
          <w:szCs w:val="24"/>
        </w:rPr>
        <w:t xml:space="preserve">Garden also reflected on how various supports within her institution and academic community helped her during her transition to becoming a college student again: </w:t>
      </w:r>
    </w:p>
    <w:p w14:paraId="6304D4F3" w14:textId="13863F8C" w:rsidR="009E1933" w:rsidRPr="00FA38B2" w:rsidRDefault="009E1933" w:rsidP="0015321A">
      <w:pPr>
        <w:ind w:left="720"/>
        <w:rPr>
          <w:rFonts w:cs="Times New Roman"/>
          <w:szCs w:val="24"/>
        </w:rPr>
      </w:pPr>
      <w:r w:rsidRPr="00FA38B2">
        <w:rPr>
          <w:rFonts w:cs="Times New Roman"/>
          <w:szCs w:val="24"/>
        </w:rPr>
        <w:t xml:space="preserve">When I first started that first semester, my first class was at 9 a.m., Monday morning, college algebra, and I was pissed. And I was annoyed, and I didn't want to be there. And I didn't want to be surrounded by a bunch of freaking kids. And it was not that at all, there was three other people that were my age. There's a lot of young kids, but there's a shit-ton </w:t>
      </w:r>
      <w:r w:rsidRPr="00FA38B2">
        <w:rPr>
          <w:rFonts w:cs="Times New Roman"/>
          <w:szCs w:val="24"/>
        </w:rPr>
        <w:lastRenderedPageBreak/>
        <w:t>of non-traditional students like me. And it's not all like stay at home moms finally getting it together. There's a good deal of millennials that, you know, are ki</w:t>
      </w:r>
      <w:r w:rsidR="00E4544C" w:rsidRPr="00FA38B2">
        <w:rPr>
          <w:rFonts w:cs="Times New Roman"/>
          <w:szCs w:val="24"/>
        </w:rPr>
        <w:t xml:space="preserve">nd of trying to figure it out. </w:t>
      </w:r>
    </w:p>
    <w:p w14:paraId="4B6A5FF1" w14:textId="77777777" w:rsidR="009E1933" w:rsidRPr="00FA38B2" w:rsidRDefault="009E1933" w:rsidP="0015321A">
      <w:pPr>
        <w:rPr>
          <w:rFonts w:cs="Times New Roman"/>
          <w:szCs w:val="24"/>
        </w:rPr>
      </w:pPr>
      <w:r w:rsidRPr="00FA38B2">
        <w:rPr>
          <w:rFonts w:cs="Times New Roman"/>
          <w:szCs w:val="24"/>
        </w:rPr>
        <w:t xml:space="preserve">Garden said she felt supported by being surrounded by students she identified with, who were from similar backgrounds and close to her in age. She also spoke about how a professor supported her when she was questioning her transition: </w:t>
      </w:r>
    </w:p>
    <w:p w14:paraId="635EDBA8" w14:textId="7646CE83" w:rsidR="009E1933" w:rsidRPr="00FA38B2" w:rsidRDefault="009E1933" w:rsidP="0015321A">
      <w:pPr>
        <w:ind w:left="720"/>
        <w:rPr>
          <w:rFonts w:cs="Times New Roman"/>
          <w:szCs w:val="24"/>
        </w:rPr>
      </w:pPr>
      <w:r w:rsidRPr="00FA38B2">
        <w:rPr>
          <w:rFonts w:cs="Times New Roman"/>
          <w:szCs w:val="24"/>
        </w:rPr>
        <w:t xml:space="preserve">And really, it was that math class that made me decide to stay at Village Community College. She [the professor] had mandatory two hours a week tutoring. So, if I was confused on something, I could immediately find my professor. All the homework was online. So, I never had to worry about just being bent over book in the middle of the night. It was mobile friendly. So, I could do my homework on my phone, which was great. And she would send out personal emails, and she always responded. One time it was four o'clock in the morning and I could not figure out this problem. I was ripping my hair out freaking out and I just sent her an email. Didn't think that she was going to respond to the next day. Two minutes later. Boom, right there responded </w:t>
      </w:r>
      <w:r w:rsidR="00E4544C" w:rsidRPr="00FA38B2">
        <w:rPr>
          <w:rFonts w:cs="Times New Roman"/>
          <w:szCs w:val="24"/>
        </w:rPr>
        <w:t>to my question took care of me.</w:t>
      </w:r>
    </w:p>
    <w:p w14:paraId="491DB4AA" w14:textId="77777777" w:rsidR="009E1933" w:rsidRPr="00FA38B2" w:rsidRDefault="009E1933" w:rsidP="0015321A">
      <w:pPr>
        <w:rPr>
          <w:rFonts w:cs="Times New Roman"/>
          <w:szCs w:val="24"/>
        </w:rPr>
      </w:pPr>
      <w:r w:rsidRPr="00FA38B2">
        <w:rPr>
          <w:rFonts w:cs="Times New Roman"/>
          <w:szCs w:val="24"/>
        </w:rPr>
        <w:t xml:space="preserve">Other study participants shared similar stories about how specific faculty and staff members or students supported them during their transition. However, some expressed feeling a lack of support from their institution. </w:t>
      </w:r>
    </w:p>
    <w:p w14:paraId="13A8C889" w14:textId="0802F67B" w:rsidR="009E1933" w:rsidRPr="00FA38B2" w:rsidRDefault="009E1933" w:rsidP="0015321A">
      <w:pPr>
        <w:ind w:firstLine="720"/>
        <w:rPr>
          <w:rFonts w:cs="Times New Roman"/>
          <w:szCs w:val="24"/>
        </w:rPr>
      </w:pPr>
      <w:r w:rsidRPr="00FA38B2">
        <w:rPr>
          <w:rFonts w:cs="Times New Roman"/>
          <w:szCs w:val="24"/>
        </w:rPr>
        <w:t xml:space="preserve">Nana felt that she “learned on my own about all the things that the college has to offer that they don’t tell you about in orientation.” During her transition, she attended college full-time, and therefore had time to explore the college’s various student services. She felt that other adult learners who “don’t want to go ask for help” struggled because the goal of the grant was to </w:t>
      </w:r>
      <w:r w:rsidRPr="00FA38B2">
        <w:rPr>
          <w:rFonts w:cs="Times New Roman"/>
          <w:szCs w:val="24"/>
        </w:rPr>
        <w:lastRenderedPageBreak/>
        <w:t xml:space="preserve">just “get students in the door.” Nana felt that specific advising and mentoring for adult learners could help them feel supported by their college: </w:t>
      </w:r>
    </w:p>
    <w:p w14:paraId="2729244B" w14:textId="32660125" w:rsidR="009E1933" w:rsidRPr="00FA38B2" w:rsidRDefault="009E1933" w:rsidP="0015321A">
      <w:pPr>
        <w:ind w:left="720"/>
        <w:rPr>
          <w:rFonts w:cs="Times New Roman"/>
          <w:szCs w:val="24"/>
        </w:rPr>
      </w:pPr>
      <w:r w:rsidRPr="00FA38B2">
        <w:rPr>
          <w:rFonts w:cs="Times New Roman"/>
          <w:szCs w:val="24"/>
        </w:rPr>
        <w:t>If they want the program to work and be successful, yeah. On the TN Reconnect page, there are people who you can call. But when it came to time for me to say, well, I need help getting a book, I need help with this, I need help with that, really [they were] no help. They need that kind of</w:t>
      </w:r>
      <w:r w:rsidR="00E4544C" w:rsidRPr="00FA38B2">
        <w:rPr>
          <w:rFonts w:cs="Times New Roman"/>
          <w:szCs w:val="24"/>
        </w:rPr>
        <w:t xml:space="preserve"> stuff to help adult learners. </w:t>
      </w:r>
    </w:p>
    <w:p w14:paraId="70622769" w14:textId="77777777" w:rsidR="009E1933" w:rsidRPr="00FA38B2" w:rsidRDefault="009E1933" w:rsidP="0015321A">
      <w:pPr>
        <w:rPr>
          <w:rFonts w:cs="Times New Roman"/>
          <w:szCs w:val="24"/>
        </w:rPr>
      </w:pPr>
      <w:r w:rsidRPr="00FA38B2">
        <w:rPr>
          <w:rFonts w:cs="Times New Roman"/>
          <w:szCs w:val="24"/>
        </w:rPr>
        <w:t xml:space="preserve">Several other students, especially those taking online courses, echoed the sentiment that institutions provided little support for adult learners. Some felt that student services, such as advising and orientation, were not structured properly to support adult learners. </w:t>
      </w:r>
    </w:p>
    <w:p w14:paraId="008EE301" w14:textId="004804C1" w:rsidR="009E1933" w:rsidRPr="00FA38B2" w:rsidRDefault="009E1933" w:rsidP="0015321A">
      <w:pPr>
        <w:ind w:firstLine="720"/>
        <w:rPr>
          <w:rFonts w:cs="Times New Roman"/>
          <w:szCs w:val="24"/>
        </w:rPr>
      </w:pPr>
      <w:r w:rsidRPr="00FA38B2">
        <w:rPr>
          <w:rFonts w:cs="Times New Roman"/>
          <w:b/>
          <w:iCs/>
          <w:szCs w:val="24"/>
        </w:rPr>
        <w:t>Strategies.</w:t>
      </w:r>
      <w:r w:rsidRPr="00FA38B2">
        <w:rPr>
          <w:rFonts w:cs="Times New Roman"/>
          <w:i/>
          <w:szCs w:val="24"/>
        </w:rPr>
        <w:t xml:space="preserve"> Strategies</w:t>
      </w:r>
      <w:r w:rsidRPr="00FA38B2">
        <w:rPr>
          <w:rFonts w:cs="Times New Roman"/>
          <w:szCs w:val="24"/>
        </w:rPr>
        <w:t xml:space="preserve">—which refers to coping strategies that modify a situation, control the meaning of the problem, and aid in managing stress—also effected the transition process for adult learners using the TN Reconnect (Anderson et al., 2011). Garden reflected on how she approaches college differently as an adult learner: </w:t>
      </w:r>
    </w:p>
    <w:p w14:paraId="234AC8F8" w14:textId="47B9231F" w:rsidR="009E1933" w:rsidRPr="00FA38B2" w:rsidRDefault="009E1933" w:rsidP="0015321A">
      <w:pPr>
        <w:ind w:left="720"/>
        <w:rPr>
          <w:rFonts w:cs="Times New Roman"/>
          <w:szCs w:val="24"/>
        </w:rPr>
      </w:pPr>
      <w:r w:rsidRPr="00FA38B2">
        <w:rPr>
          <w:rFonts w:cs="Times New Roman"/>
          <w:szCs w:val="24"/>
        </w:rPr>
        <w:t>I treat [school] like a new job. Every semester is a new job, and all of my professors are a manager. And [classes] are just a different varying part of the job that I do. It's easy to succeed in a job, but it feels almost like it's harder to succeed in school. Yeah. So, if you look at it like that just started working. It's so much easier to keep that in mind, show up to work all the time, maintain a clean uniform, and do what you need to. It's easier mental</w:t>
      </w:r>
      <w:r w:rsidR="00E4544C" w:rsidRPr="00FA38B2">
        <w:rPr>
          <w:rFonts w:cs="Times New Roman"/>
          <w:szCs w:val="24"/>
        </w:rPr>
        <w:t>ly to do that.</w:t>
      </w:r>
    </w:p>
    <w:p w14:paraId="070C91F8" w14:textId="77777777" w:rsidR="009E1933" w:rsidRPr="00FA38B2" w:rsidRDefault="009E1933" w:rsidP="0015321A">
      <w:pPr>
        <w:rPr>
          <w:rFonts w:cs="Times New Roman"/>
          <w:szCs w:val="24"/>
        </w:rPr>
      </w:pPr>
      <w:r w:rsidRPr="00FA38B2">
        <w:rPr>
          <w:rFonts w:cs="Times New Roman"/>
          <w:szCs w:val="24"/>
        </w:rPr>
        <w:t xml:space="preserve">Although Garden previously struggled with the effort needed to succeed in college, her strategy for reframing college as a job allowed her to be more successful as an adult learner. </w:t>
      </w:r>
    </w:p>
    <w:p w14:paraId="0848904E" w14:textId="1B7E2377" w:rsidR="009E1933" w:rsidRPr="00FA38B2" w:rsidRDefault="009E1933" w:rsidP="0015321A">
      <w:pPr>
        <w:ind w:firstLine="720"/>
        <w:rPr>
          <w:rFonts w:cs="Times New Roman"/>
          <w:szCs w:val="24"/>
        </w:rPr>
      </w:pPr>
      <w:r w:rsidRPr="00FA38B2">
        <w:rPr>
          <w:rFonts w:cs="Times New Roman"/>
          <w:szCs w:val="24"/>
        </w:rPr>
        <w:t xml:space="preserve">Nana discussed how she also approached college like a job, and how her routine keeps her focused, even when she struggles with course content: </w:t>
      </w:r>
    </w:p>
    <w:p w14:paraId="160FC825" w14:textId="1188A03F" w:rsidR="009E1933" w:rsidRPr="00FA38B2" w:rsidRDefault="009E1933" w:rsidP="0015321A">
      <w:pPr>
        <w:ind w:left="720"/>
        <w:rPr>
          <w:rFonts w:cs="Times New Roman"/>
          <w:szCs w:val="24"/>
        </w:rPr>
      </w:pPr>
      <w:r w:rsidRPr="00FA38B2">
        <w:rPr>
          <w:rFonts w:cs="Times New Roman"/>
          <w:szCs w:val="24"/>
        </w:rPr>
        <w:lastRenderedPageBreak/>
        <w:t>So, you know, I show up to biology. I take the notes, I do the homework and yeah, I may bomb on a test here or there. But you know, you do the homework, you show up, you know, make the college effort. Every morning, I get up at 6:30, I take a shower, I get dressed, I anticipate traffic, I anticipate road conditions, all the things that you would do if you had a job, if you had to go to work every day. So, when I treated school like a job, even though I wasn't getting paid for it, still treated it like a job. And that's</w:t>
      </w:r>
      <w:r w:rsidR="00E4544C" w:rsidRPr="00FA38B2">
        <w:rPr>
          <w:rFonts w:cs="Times New Roman"/>
          <w:szCs w:val="24"/>
        </w:rPr>
        <w:t xml:space="preserve"> what helped me get through it.</w:t>
      </w:r>
    </w:p>
    <w:p w14:paraId="767DF7EC" w14:textId="77777777" w:rsidR="009E1933" w:rsidRPr="00FA38B2" w:rsidRDefault="009E1933" w:rsidP="0015321A">
      <w:pPr>
        <w:rPr>
          <w:rFonts w:cs="Times New Roman"/>
          <w:szCs w:val="24"/>
        </w:rPr>
      </w:pPr>
      <w:r w:rsidRPr="00FA38B2">
        <w:rPr>
          <w:rFonts w:cs="Times New Roman"/>
          <w:szCs w:val="24"/>
        </w:rPr>
        <w:t xml:space="preserve">Nana, who returned to college after 25 years, was able to endure the struggles of college by making “the college effort” and treating school as a job. </w:t>
      </w:r>
    </w:p>
    <w:p w14:paraId="599D19AF" w14:textId="77777777" w:rsidR="009E1933" w:rsidRPr="00FA38B2" w:rsidRDefault="009E1933" w:rsidP="0015321A">
      <w:pPr>
        <w:rPr>
          <w:rFonts w:cs="Times New Roman"/>
          <w:b/>
          <w:bCs/>
          <w:i/>
          <w:iCs/>
          <w:szCs w:val="24"/>
        </w:rPr>
      </w:pPr>
      <w:r w:rsidRPr="00FA38B2">
        <w:rPr>
          <w:rFonts w:cs="Times New Roman"/>
          <w:b/>
          <w:bCs/>
          <w:i/>
          <w:iCs/>
          <w:szCs w:val="24"/>
        </w:rPr>
        <w:t>Theory-Based Themes: Resources Imperative for Transitions</w:t>
      </w:r>
    </w:p>
    <w:p w14:paraId="7AEF3FA3" w14:textId="1CF9F980" w:rsidR="009E1933" w:rsidRPr="00FA38B2" w:rsidRDefault="009E1933" w:rsidP="0015321A">
      <w:pPr>
        <w:ind w:firstLine="720"/>
        <w:rPr>
          <w:rFonts w:cs="Times New Roman"/>
          <w:szCs w:val="24"/>
        </w:rPr>
      </w:pPr>
      <w:r w:rsidRPr="00FA38B2">
        <w:rPr>
          <w:rFonts w:cs="Times New Roman"/>
          <w:szCs w:val="24"/>
        </w:rPr>
        <w:t>These findings reflect Schlossberg’s (1981, 1984) theory and her belief that “different individuals react differently to the same type of transition and . . . the same person reacts differently at different times” (Anderson et al., 2011, p. 63). Adult learners, no matter how similar their backgrounds may seem, are individuals with “complex realities . . . that influence the ability of the individual to cope during a transition” (Anderson et al., 2011, p. 61). Students experienced their transition to becoming a student differently based on their access to potential resources; those who transitioned effectively often reflected on access to resources that helped them in the process of becoming a student.</w:t>
      </w:r>
    </w:p>
    <w:p w14:paraId="47695417" w14:textId="77777777" w:rsidR="009E1933" w:rsidRPr="00FA38B2" w:rsidRDefault="009E1933" w:rsidP="0015321A">
      <w:pPr>
        <w:pStyle w:val="Heading2"/>
        <w:jc w:val="center"/>
        <w:rPr>
          <w:rFonts w:cs="Times New Roman"/>
          <w:szCs w:val="24"/>
        </w:rPr>
      </w:pPr>
      <w:bookmarkStart w:id="11" w:name="_Toc70181486"/>
      <w:r w:rsidRPr="00FA38B2">
        <w:rPr>
          <w:rFonts w:cs="Times New Roman"/>
          <w:szCs w:val="24"/>
        </w:rPr>
        <w:t>Discussion</w:t>
      </w:r>
      <w:bookmarkEnd w:id="11"/>
    </w:p>
    <w:p w14:paraId="2ECBC435" w14:textId="18BE8B62" w:rsidR="009E1933" w:rsidRPr="00FA38B2" w:rsidRDefault="009E1933" w:rsidP="0015321A">
      <w:pPr>
        <w:ind w:firstLine="720"/>
        <w:rPr>
          <w:rFonts w:cs="Times New Roman"/>
          <w:szCs w:val="24"/>
        </w:rPr>
      </w:pPr>
      <w:r w:rsidRPr="00FA38B2">
        <w:rPr>
          <w:rFonts w:cs="Times New Roman"/>
          <w:szCs w:val="24"/>
        </w:rPr>
        <w:t xml:space="preserve">Findings from this study are consistent with prior research concerning the experiences of adult learners re-enrolling in community colleges. Miller-Adams and Smith (2018) asserted that implementing tuition-free initiatives can increase a community’s overall postsecondary aspirations and promote a college-going culture. Participants in our study reported both an </w:t>
      </w:r>
      <w:r w:rsidRPr="00FA38B2">
        <w:rPr>
          <w:rFonts w:cs="Times New Roman"/>
          <w:szCs w:val="24"/>
        </w:rPr>
        <w:lastRenderedPageBreak/>
        <w:t>interest and an increase in postsecondary education aspirations following access to TN Reconnect. Specifically, their stories revealed that the opportunity enhanced their belief in their ability to succeed in postsecondary education—inclusive of college related expectations, attitudes, and aspirations—a relatively new finding among adult learners but consistently identified among other college-going populations (</w:t>
      </w:r>
      <w:proofErr w:type="spellStart"/>
      <w:r w:rsidRPr="00FA38B2">
        <w:rPr>
          <w:rFonts w:cs="Times New Roman"/>
          <w:szCs w:val="24"/>
        </w:rPr>
        <w:t>Luedke</w:t>
      </w:r>
      <w:proofErr w:type="spellEnd"/>
      <w:r w:rsidRPr="00FA38B2">
        <w:rPr>
          <w:rFonts w:cs="Times New Roman"/>
          <w:szCs w:val="24"/>
        </w:rPr>
        <w:t xml:space="preserve"> et al., 2019; </w:t>
      </w:r>
      <w:proofErr w:type="spellStart"/>
      <w:r w:rsidRPr="00FA38B2">
        <w:rPr>
          <w:rFonts w:cs="Times New Roman"/>
          <w:szCs w:val="24"/>
        </w:rPr>
        <w:t>Perna</w:t>
      </w:r>
      <w:proofErr w:type="spellEnd"/>
      <w:r w:rsidRPr="00FA38B2">
        <w:rPr>
          <w:rFonts w:cs="Times New Roman"/>
          <w:szCs w:val="24"/>
        </w:rPr>
        <w:t>, 2006). Study participants also indicated that going back to college improved their family’s college-going culture.</w:t>
      </w:r>
    </w:p>
    <w:p w14:paraId="5A32F487" w14:textId="0721713F" w:rsidR="009E1933" w:rsidRPr="00FA38B2" w:rsidRDefault="009E1933" w:rsidP="0015321A">
      <w:pPr>
        <w:ind w:firstLine="720"/>
        <w:rPr>
          <w:rFonts w:cs="Times New Roman"/>
          <w:szCs w:val="24"/>
        </w:rPr>
      </w:pPr>
      <w:r w:rsidRPr="00FA38B2">
        <w:rPr>
          <w:rFonts w:cs="Times New Roman"/>
          <w:szCs w:val="24"/>
        </w:rPr>
        <w:t xml:space="preserve">Findings from this study also supported </w:t>
      </w:r>
      <w:proofErr w:type="spellStart"/>
      <w:r w:rsidRPr="00FA38B2">
        <w:rPr>
          <w:rFonts w:cs="Times New Roman"/>
          <w:szCs w:val="24"/>
        </w:rPr>
        <w:t>Ritt’s</w:t>
      </w:r>
      <w:proofErr w:type="spellEnd"/>
      <w:r w:rsidRPr="00FA38B2">
        <w:rPr>
          <w:rFonts w:cs="Times New Roman"/>
          <w:szCs w:val="24"/>
        </w:rPr>
        <w:t xml:space="preserve"> (2008) claim that personal, professional, and financial resources associated with work and family responsibilities impede adult learners’ ability to pursue postsecondary education. Participants in our study often left college during their first or second attempt due to financial hardships and family responsibilities. The TN Reconnect removed one of the largest financial barriers college students face. These findings align with </w:t>
      </w:r>
      <w:proofErr w:type="spellStart"/>
      <w:r w:rsidRPr="00FA38B2">
        <w:rPr>
          <w:rFonts w:cs="Times New Roman"/>
          <w:szCs w:val="24"/>
        </w:rPr>
        <w:t>Gallacher</w:t>
      </w:r>
      <w:proofErr w:type="spellEnd"/>
      <w:r w:rsidRPr="00FA38B2">
        <w:rPr>
          <w:rFonts w:cs="Times New Roman"/>
          <w:szCs w:val="24"/>
        </w:rPr>
        <w:t xml:space="preserve"> et al.’s (2002) assertions that providing adult learners with incentives to enroll in college is a “means of support that might enable them to proceed and become more fully engaged” (p. 504). </w:t>
      </w:r>
    </w:p>
    <w:p w14:paraId="6FDBBF9F" w14:textId="0EEFEAE5" w:rsidR="009E1933" w:rsidRPr="00FA38B2" w:rsidRDefault="009E1933" w:rsidP="0015321A">
      <w:pPr>
        <w:ind w:firstLine="720"/>
        <w:rPr>
          <w:rFonts w:cs="Times New Roman"/>
          <w:szCs w:val="24"/>
        </w:rPr>
      </w:pPr>
      <w:r w:rsidRPr="00FA38B2">
        <w:rPr>
          <w:rFonts w:cs="Times New Roman"/>
          <w:szCs w:val="24"/>
        </w:rPr>
        <w:t xml:space="preserve">Results from this study also supported </w:t>
      </w:r>
      <w:proofErr w:type="spellStart"/>
      <w:r w:rsidRPr="00FA38B2">
        <w:rPr>
          <w:rFonts w:cs="Times New Roman"/>
          <w:szCs w:val="24"/>
        </w:rPr>
        <w:t>Ausburn’s</w:t>
      </w:r>
      <w:proofErr w:type="spellEnd"/>
      <w:r w:rsidRPr="00FA38B2">
        <w:rPr>
          <w:rFonts w:cs="Times New Roman"/>
          <w:szCs w:val="24"/>
        </w:rPr>
        <w:t xml:space="preserve"> (20</w:t>
      </w:r>
      <w:r w:rsidR="00D17D17" w:rsidRPr="00FA38B2">
        <w:rPr>
          <w:rFonts w:cs="Times New Roman"/>
          <w:szCs w:val="24"/>
        </w:rPr>
        <w:t>04</w:t>
      </w:r>
      <w:r w:rsidRPr="00FA38B2">
        <w:rPr>
          <w:rFonts w:cs="Times New Roman"/>
          <w:szCs w:val="24"/>
        </w:rPr>
        <w:t xml:space="preserve">) finding that adult learners preferred alternative delivery methods such as hybrid or online delivery for coursework. However, while these hybrid or online courses may better fit adult learners’ schedules, our study participants said they faced steep learning curves associated with the technology and delivery methods used in alternatively structured courses. Further, returning to college often includes “feelings of loss and dislocation” (Christie et al., 2008, p. 567) for adult learners. The learning curves and independence associated with online coursework may enhance feelings of isolation. </w:t>
      </w:r>
    </w:p>
    <w:p w14:paraId="5C533C22" w14:textId="0AF929F5" w:rsidR="009E1933" w:rsidRPr="00FA38B2" w:rsidRDefault="009E1933" w:rsidP="0015321A">
      <w:pPr>
        <w:ind w:firstLine="720"/>
        <w:rPr>
          <w:rFonts w:cs="Times New Roman"/>
          <w:szCs w:val="24"/>
        </w:rPr>
      </w:pPr>
      <w:r w:rsidRPr="00FA38B2">
        <w:rPr>
          <w:rFonts w:cs="Times New Roman"/>
          <w:szCs w:val="24"/>
        </w:rPr>
        <w:lastRenderedPageBreak/>
        <w:t xml:space="preserve">Lastly, our findings support the notion that last-dollar promise programs may not be structured effectively to serve groups which traditionally face significant barriers to postsecondary education (Bell, 2020; Davidson et al., 2018). Some study participants struggled to adapt to college life because of a lack of connection with advisors and faculty. Many adult learners in this study reported wanting more of a connection or community with other TN Reconnect recipients but were limited by finances, and work and family commitments. Promise programs are heralded as progressive educational reforms which will fix the financial issues that plague postsecondary education in the United States; yet, promise programs are often structured to appease target populations with political sway rather than groups of potential students with greater need but less political capital (Bell, 2020). We join the scholars who question the effectiveness of last-dollar promise programs (Bell, 2020; Davidson et al., 2018; Jones &amp; Berger, 2018), and our findings underscore the need for further research exploring whether or not promise programs as currently structured are effective or equitable. </w:t>
      </w:r>
    </w:p>
    <w:p w14:paraId="0036CA7C" w14:textId="77777777" w:rsidR="009E1933" w:rsidRPr="00FA38B2" w:rsidRDefault="009E1933" w:rsidP="0015321A">
      <w:pPr>
        <w:pStyle w:val="Heading2"/>
        <w:rPr>
          <w:rFonts w:cs="Times New Roman"/>
          <w:szCs w:val="24"/>
        </w:rPr>
      </w:pPr>
      <w:bookmarkStart w:id="12" w:name="_Toc70181487"/>
      <w:r w:rsidRPr="00FA38B2">
        <w:rPr>
          <w:rFonts w:cs="Times New Roman"/>
          <w:szCs w:val="24"/>
        </w:rPr>
        <w:t>Suggestions for Future Research</w:t>
      </w:r>
      <w:bookmarkEnd w:id="12"/>
      <w:r w:rsidRPr="00FA38B2">
        <w:rPr>
          <w:rFonts w:cs="Times New Roman"/>
          <w:szCs w:val="24"/>
        </w:rPr>
        <w:t xml:space="preserve"> </w:t>
      </w:r>
    </w:p>
    <w:p w14:paraId="51029A43" w14:textId="18898B1B" w:rsidR="009E1933" w:rsidRPr="00FA38B2" w:rsidRDefault="009E1933" w:rsidP="0015321A">
      <w:pPr>
        <w:ind w:firstLine="720"/>
        <w:rPr>
          <w:rFonts w:cs="Times New Roman"/>
          <w:szCs w:val="24"/>
        </w:rPr>
      </w:pPr>
      <w:r w:rsidRPr="00FA38B2">
        <w:rPr>
          <w:rFonts w:cs="Times New Roman"/>
          <w:szCs w:val="24"/>
        </w:rPr>
        <w:t>As policymakers in Tennessee and other states continue to adopt tuition-free initiatives like the TN Reconnect, researchers need to conduct additional studies to identify the experiences of participants and the evidence-based practices that best serve non-traditional adult learners. Based on our research and the literature about tuition-free programs, we recommend three areas for additional research on the TN Reconnect.</w:t>
      </w:r>
    </w:p>
    <w:p w14:paraId="6BE4E46A" w14:textId="77777777" w:rsidR="009E1933" w:rsidRPr="00FA38B2" w:rsidRDefault="009E1933" w:rsidP="0015321A">
      <w:pPr>
        <w:rPr>
          <w:rFonts w:cs="Times New Roman"/>
          <w:szCs w:val="24"/>
        </w:rPr>
      </w:pPr>
      <w:r w:rsidRPr="00FA38B2">
        <w:rPr>
          <w:rFonts w:cs="Times New Roman"/>
          <w:b/>
          <w:i/>
          <w:szCs w:val="24"/>
        </w:rPr>
        <w:t>Conduct a Needs and Gap Analysis</w:t>
      </w:r>
      <w:r w:rsidRPr="00FA38B2">
        <w:rPr>
          <w:rFonts w:cs="Times New Roman"/>
          <w:szCs w:val="24"/>
        </w:rPr>
        <w:t>: Conduct an analysis of the TN Reconnect to determine the ongoing needs and gaps in services for adult learners. This analysis should incorporate the use of multiple methods, including quantitative data, review of student records, surveys, individual interviews, and focus groups with TN Reconnect recipients and college administrators.</w:t>
      </w:r>
    </w:p>
    <w:p w14:paraId="471BAA32" w14:textId="77777777" w:rsidR="009E1933" w:rsidRPr="00FA38B2" w:rsidRDefault="009E1933" w:rsidP="0015321A">
      <w:pPr>
        <w:rPr>
          <w:rFonts w:cs="Times New Roman"/>
          <w:szCs w:val="24"/>
        </w:rPr>
      </w:pPr>
      <w:r w:rsidRPr="00FA38B2">
        <w:rPr>
          <w:rFonts w:cs="Times New Roman"/>
          <w:b/>
          <w:i/>
          <w:szCs w:val="24"/>
        </w:rPr>
        <w:lastRenderedPageBreak/>
        <w:t>Research Evidence-based Practices</w:t>
      </w:r>
      <w:r w:rsidRPr="00FA38B2">
        <w:rPr>
          <w:rFonts w:cs="Times New Roman"/>
          <w:szCs w:val="24"/>
        </w:rPr>
        <w:t>:</w:t>
      </w:r>
      <w:r w:rsidRPr="00FA38B2">
        <w:rPr>
          <w:rFonts w:cs="Times New Roman"/>
          <w:b/>
          <w:szCs w:val="24"/>
        </w:rPr>
        <w:t xml:space="preserve"> </w:t>
      </w:r>
      <w:r w:rsidRPr="00FA38B2">
        <w:rPr>
          <w:rFonts w:cs="Times New Roman"/>
          <w:szCs w:val="24"/>
        </w:rPr>
        <w:t xml:space="preserve">Expand the current study to include additional interviews with TN Reconnect recipients, Tennessee Board of Trustees faculty and staff, and TN Reconnect advisors and staff. From those interactions, create and distribute a series of informative case studies to TN Reconnect communities and campuses. </w:t>
      </w:r>
    </w:p>
    <w:p w14:paraId="0B5D2B64" w14:textId="77777777" w:rsidR="009E1933" w:rsidRPr="00FA38B2" w:rsidRDefault="009E1933" w:rsidP="0015321A">
      <w:pPr>
        <w:rPr>
          <w:rFonts w:cs="Times New Roman"/>
          <w:szCs w:val="24"/>
        </w:rPr>
      </w:pPr>
      <w:r w:rsidRPr="00FA38B2">
        <w:rPr>
          <w:rFonts w:cs="Times New Roman"/>
          <w:b/>
          <w:i/>
          <w:szCs w:val="24"/>
        </w:rPr>
        <w:t>Determine Program Effectiveness</w:t>
      </w:r>
      <w:r w:rsidRPr="00FA38B2">
        <w:rPr>
          <w:rFonts w:cs="Times New Roman"/>
          <w:szCs w:val="24"/>
        </w:rPr>
        <w:t>: Conduct research to determine program effectiveness, as outlined by Davidson et al. (2018), and the effect on:</w:t>
      </w:r>
    </w:p>
    <w:p w14:paraId="10564C09" w14:textId="77777777" w:rsidR="009E1933" w:rsidRPr="00FA38B2" w:rsidRDefault="009E1933" w:rsidP="0015321A">
      <w:pPr>
        <w:numPr>
          <w:ilvl w:val="0"/>
          <w:numId w:val="5"/>
        </w:numPr>
        <w:pBdr>
          <w:top w:val="nil"/>
          <w:left w:val="nil"/>
          <w:bottom w:val="nil"/>
          <w:right w:val="nil"/>
          <w:between w:val="nil"/>
        </w:pBdr>
        <w:rPr>
          <w:rFonts w:cs="Times New Roman"/>
          <w:szCs w:val="24"/>
        </w:rPr>
      </w:pPr>
      <w:r w:rsidRPr="00FA38B2">
        <w:rPr>
          <w:rFonts w:cs="Times New Roman"/>
          <w:szCs w:val="24"/>
        </w:rPr>
        <w:t>Tennessee’s Drive to 55 goals,</w:t>
      </w:r>
    </w:p>
    <w:p w14:paraId="59AFAB4B" w14:textId="77777777" w:rsidR="009E1933" w:rsidRPr="00FA38B2" w:rsidRDefault="009E1933" w:rsidP="0015321A">
      <w:pPr>
        <w:numPr>
          <w:ilvl w:val="0"/>
          <w:numId w:val="5"/>
        </w:numPr>
        <w:pBdr>
          <w:top w:val="nil"/>
          <w:left w:val="nil"/>
          <w:bottom w:val="nil"/>
          <w:right w:val="nil"/>
          <w:between w:val="nil"/>
        </w:pBdr>
        <w:rPr>
          <w:rFonts w:cs="Times New Roman"/>
          <w:szCs w:val="24"/>
        </w:rPr>
      </w:pPr>
      <w:r w:rsidRPr="00FA38B2">
        <w:rPr>
          <w:rFonts w:cs="Times New Roman"/>
          <w:szCs w:val="24"/>
        </w:rPr>
        <w:t xml:space="preserve">Education outcomes (e.g. retention, completion, graduation, and transfer rates), </w:t>
      </w:r>
    </w:p>
    <w:p w14:paraId="434B34A9" w14:textId="77777777" w:rsidR="009E1933" w:rsidRPr="00FA38B2" w:rsidRDefault="009E1933" w:rsidP="0015321A">
      <w:pPr>
        <w:numPr>
          <w:ilvl w:val="0"/>
          <w:numId w:val="5"/>
        </w:numPr>
        <w:pBdr>
          <w:top w:val="nil"/>
          <w:left w:val="nil"/>
          <w:bottom w:val="nil"/>
          <w:right w:val="nil"/>
          <w:between w:val="nil"/>
        </w:pBdr>
        <w:rPr>
          <w:rFonts w:cs="Times New Roman"/>
          <w:szCs w:val="24"/>
        </w:rPr>
      </w:pPr>
      <w:r w:rsidRPr="00FA38B2">
        <w:rPr>
          <w:rFonts w:cs="Times New Roman"/>
          <w:szCs w:val="24"/>
        </w:rPr>
        <w:t>Cost and benefit analysis, and</w:t>
      </w:r>
    </w:p>
    <w:p w14:paraId="37301E1F" w14:textId="77777777" w:rsidR="009E1933" w:rsidRPr="00FA38B2" w:rsidRDefault="009E1933" w:rsidP="0015321A">
      <w:pPr>
        <w:numPr>
          <w:ilvl w:val="0"/>
          <w:numId w:val="5"/>
        </w:numPr>
        <w:pBdr>
          <w:top w:val="nil"/>
          <w:left w:val="nil"/>
          <w:bottom w:val="nil"/>
          <w:right w:val="nil"/>
          <w:between w:val="nil"/>
        </w:pBdr>
        <w:rPr>
          <w:rFonts w:cs="Times New Roman"/>
          <w:szCs w:val="24"/>
        </w:rPr>
      </w:pPr>
      <w:r w:rsidRPr="00FA38B2">
        <w:rPr>
          <w:rFonts w:cs="Times New Roman"/>
          <w:szCs w:val="24"/>
        </w:rPr>
        <w:t xml:space="preserve">The impact on state economic and workforce development. </w:t>
      </w:r>
    </w:p>
    <w:p w14:paraId="4C006639" w14:textId="0DF49064" w:rsidR="009E1933" w:rsidRPr="00FA38B2" w:rsidRDefault="009E1933" w:rsidP="0015321A">
      <w:pPr>
        <w:ind w:firstLine="360"/>
        <w:rPr>
          <w:rFonts w:cs="Times New Roman"/>
          <w:szCs w:val="24"/>
        </w:rPr>
      </w:pPr>
      <w:r w:rsidRPr="00FA38B2">
        <w:rPr>
          <w:rFonts w:cs="Times New Roman"/>
          <w:szCs w:val="24"/>
        </w:rPr>
        <w:t xml:space="preserve">During conversations with TN Reconnect recipients and through our analyses, we developed five recommendations for both policy and practice. The following recommendations address issues outlined in our research findings: </w:t>
      </w:r>
    </w:p>
    <w:p w14:paraId="465E862D" w14:textId="77777777" w:rsidR="009E1933" w:rsidRPr="00FA38B2" w:rsidRDefault="009E1933" w:rsidP="0015321A">
      <w:pPr>
        <w:rPr>
          <w:rFonts w:cs="Times New Roman"/>
          <w:szCs w:val="24"/>
        </w:rPr>
      </w:pPr>
      <w:r w:rsidRPr="00FA38B2">
        <w:rPr>
          <w:rFonts w:cs="Times New Roman"/>
          <w:b/>
          <w:i/>
          <w:szCs w:val="24"/>
        </w:rPr>
        <w:t>Develop a specific TN Reconnect orientation and/or adult student first-year seminars (FYS)</w:t>
      </w:r>
      <w:r w:rsidRPr="00FA38B2">
        <w:rPr>
          <w:rFonts w:cs="Times New Roman"/>
          <w:szCs w:val="24"/>
        </w:rPr>
        <w:t xml:space="preserve">. The unique needs and challenges of adult learners, many of whom are returning after an extended period, demonstrate the need for specialized orientation and/or FYS. Many adult learners return to campus and experience a feeling of being marginalized because of their age, unfamiliarity with technology, and support services geared toward traditionally aged students. Tennessee policymakers should engage stakeholders to assess current programs and develop a specialized program for this population. Stakeholders include higher education experts, adult learners, first-year seminar and orientation programming departments, faculty, and academic and TN Reconnect community advisors. </w:t>
      </w:r>
    </w:p>
    <w:p w14:paraId="334E54A6" w14:textId="77777777" w:rsidR="009E1933" w:rsidRPr="00FA38B2" w:rsidRDefault="009E1933" w:rsidP="0015321A">
      <w:pPr>
        <w:rPr>
          <w:rFonts w:cs="Times New Roman"/>
          <w:b/>
          <w:szCs w:val="24"/>
        </w:rPr>
      </w:pPr>
      <w:r w:rsidRPr="00FA38B2">
        <w:rPr>
          <w:rFonts w:cs="Times New Roman"/>
          <w:b/>
          <w:i/>
          <w:szCs w:val="24"/>
        </w:rPr>
        <w:lastRenderedPageBreak/>
        <w:t>Assess and improve advising models for adult students at TN Reconnect participating colleges.</w:t>
      </w:r>
      <w:r w:rsidRPr="00FA38B2">
        <w:rPr>
          <w:rFonts w:cs="Times New Roman"/>
          <w:b/>
          <w:szCs w:val="24"/>
        </w:rPr>
        <w:t xml:space="preserve"> </w:t>
      </w:r>
      <w:r w:rsidRPr="00FA38B2">
        <w:rPr>
          <w:rFonts w:cs="Times New Roman"/>
          <w:szCs w:val="24"/>
        </w:rPr>
        <w:t>Given the needs and unique schedules of adult learners, institutions of higher education should assess and improve their advising models for TN Reconnect students. The assessment should include but is not limited to examination of the following:</w:t>
      </w:r>
    </w:p>
    <w:p w14:paraId="5F123826" w14:textId="77777777" w:rsidR="009E1933" w:rsidRPr="00FA38B2" w:rsidRDefault="009E1933" w:rsidP="0015321A">
      <w:pPr>
        <w:numPr>
          <w:ilvl w:val="0"/>
          <w:numId w:val="6"/>
        </w:numPr>
        <w:pBdr>
          <w:top w:val="nil"/>
          <w:left w:val="nil"/>
          <w:bottom w:val="nil"/>
          <w:right w:val="nil"/>
          <w:between w:val="nil"/>
        </w:pBdr>
        <w:rPr>
          <w:rFonts w:cs="Times New Roman"/>
          <w:szCs w:val="24"/>
        </w:rPr>
      </w:pPr>
      <w:r w:rsidRPr="00FA38B2">
        <w:rPr>
          <w:rFonts w:cs="Times New Roman"/>
          <w:szCs w:val="24"/>
        </w:rPr>
        <w:t>Implementation of a Proactive Advising Model, through which academic advisors intentionally interact with advisees through face-to-face and electronic means (e.g. text messaging software like Signal Vine);</w:t>
      </w:r>
    </w:p>
    <w:p w14:paraId="5900ED75" w14:textId="77777777" w:rsidR="009E1933" w:rsidRPr="00FA38B2" w:rsidRDefault="009E1933" w:rsidP="0015321A">
      <w:pPr>
        <w:numPr>
          <w:ilvl w:val="0"/>
          <w:numId w:val="6"/>
        </w:numPr>
        <w:pBdr>
          <w:top w:val="nil"/>
          <w:left w:val="nil"/>
          <w:bottom w:val="nil"/>
          <w:right w:val="nil"/>
          <w:between w:val="nil"/>
        </w:pBdr>
        <w:rPr>
          <w:rFonts w:cs="Times New Roman"/>
          <w:szCs w:val="24"/>
        </w:rPr>
      </w:pPr>
      <w:r w:rsidRPr="00FA38B2">
        <w:rPr>
          <w:rFonts w:cs="Times New Roman"/>
          <w:szCs w:val="24"/>
        </w:rPr>
        <w:t>Office hours and the availability of academic advisors outside of “normal” business hours; and,</w:t>
      </w:r>
    </w:p>
    <w:p w14:paraId="13A291AD" w14:textId="77777777" w:rsidR="009E1933" w:rsidRPr="00FA38B2" w:rsidRDefault="009E1933" w:rsidP="0015321A">
      <w:pPr>
        <w:numPr>
          <w:ilvl w:val="0"/>
          <w:numId w:val="6"/>
        </w:numPr>
        <w:pBdr>
          <w:top w:val="nil"/>
          <w:left w:val="nil"/>
          <w:bottom w:val="nil"/>
          <w:right w:val="nil"/>
          <w:between w:val="nil"/>
        </w:pBdr>
        <w:rPr>
          <w:rFonts w:cs="Times New Roman"/>
          <w:szCs w:val="24"/>
        </w:rPr>
      </w:pPr>
      <w:r w:rsidRPr="00FA38B2">
        <w:rPr>
          <w:rFonts w:cs="Times New Roman"/>
          <w:szCs w:val="24"/>
        </w:rPr>
        <w:t>Cross-training for advisors about issues related to TN Reconnect recipients.</w:t>
      </w:r>
    </w:p>
    <w:p w14:paraId="5EBB4A1A" w14:textId="77777777" w:rsidR="009E1933" w:rsidRPr="00FA38B2" w:rsidRDefault="009E1933" w:rsidP="0015321A">
      <w:pPr>
        <w:rPr>
          <w:rFonts w:cs="Times New Roman"/>
          <w:b/>
          <w:szCs w:val="24"/>
        </w:rPr>
      </w:pPr>
      <w:r w:rsidRPr="00FA38B2">
        <w:rPr>
          <w:rFonts w:cs="Times New Roman"/>
          <w:b/>
          <w:i/>
          <w:szCs w:val="24"/>
        </w:rPr>
        <w:t>Implement a cohort model and/or learning community model</w:t>
      </w:r>
      <w:r w:rsidRPr="00FA38B2">
        <w:rPr>
          <w:rFonts w:cs="Times New Roman"/>
          <w:b/>
          <w:szCs w:val="24"/>
        </w:rPr>
        <w:t xml:space="preserve">. </w:t>
      </w:r>
      <w:r w:rsidRPr="00FA38B2">
        <w:rPr>
          <w:rFonts w:cs="Times New Roman"/>
          <w:szCs w:val="24"/>
        </w:rPr>
        <w:t xml:space="preserve">Connecting students is vital to promoting engagement and a sense of belonging, which are fundamental to student success (Mayhew et al., 2016). To accomplish this, administrators should use either a more formal in-person approach with campus-based student groups, or a less formal approach via social media, such as a Facebook group. Additionally, administrators could seek to create sections of courses designed specifically for TN Reconnect students. </w:t>
      </w:r>
    </w:p>
    <w:p w14:paraId="5216A062" w14:textId="77777777" w:rsidR="009E1933" w:rsidRPr="00FA38B2" w:rsidRDefault="009E1933" w:rsidP="0015321A">
      <w:pPr>
        <w:rPr>
          <w:rFonts w:cs="Times New Roman"/>
          <w:szCs w:val="24"/>
        </w:rPr>
      </w:pPr>
      <w:r w:rsidRPr="00FA38B2">
        <w:rPr>
          <w:rFonts w:cs="Times New Roman"/>
          <w:b/>
          <w:i/>
          <w:szCs w:val="24"/>
        </w:rPr>
        <w:t>Implement an adult student mentor program.</w:t>
      </w:r>
      <w:r w:rsidRPr="00FA38B2">
        <w:rPr>
          <w:rFonts w:cs="Times New Roman"/>
          <w:b/>
          <w:szCs w:val="24"/>
        </w:rPr>
        <w:t xml:space="preserve"> </w:t>
      </w:r>
      <w:r w:rsidRPr="00FA38B2">
        <w:rPr>
          <w:rFonts w:cs="Times New Roman"/>
          <w:szCs w:val="24"/>
        </w:rPr>
        <w:t xml:space="preserve">Connect incoming adult students with a returning adult student mentor. This mentor could provide incoming students with resources about the college and guidance from personal experience. These mentoring relationships help to mitigate feelings of marginality and isolation among this vulnerable population. </w:t>
      </w:r>
    </w:p>
    <w:p w14:paraId="15D61D81" w14:textId="6490B562" w:rsidR="009E1933" w:rsidRPr="00FA38B2" w:rsidRDefault="009E1933" w:rsidP="0015321A">
      <w:pPr>
        <w:rPr>
          <w:rFonts w:cs="Times New Roman"/>
          <w:b/>
          <w:szCs w:val="24"/>
        </w:rPr>
      </w:pPr>
      <w:r w:rsidRPr="00FA38B2">
        <w:rPr>
          <w:rFonts w:cs="Times New Roman"/>
          <w:b/>
          <w:i/>
          <w:szCs w:val="24"/>
        </w:rPr>
        <w:t>Evaluate the last-dollar</w:t>
      </w:r>
      <w:r w:rsidRPr="00FA38B2">
        <w:rPr>
          <w:rFonts w:cs="Times New Roman"/>
          <w:i/>
          <w:szCs w:val="24"/>
        </w:rPr>
        <w:t xml:space="preserve"> </w:t>
      </w:r>
      <w:r w:rsidRPr="00FA38B2">
        <w:rPr>
          <w:rFonts w:cs="Times New Roman"/>
          <w:b/>
          <w:i/>
          <w:szCs w:val="24"/>
        </w:rPr>
        <w:t>nature and covered costs of the TN Reconnect.</w:t>
      </w:r>
      <w:r w:rsidRPr="00FA38B2">
        <w:rPr>
          <w:rFonts w:cs="Times New Roman"/>
          <w:i/>
          <w:szCs w:val="24"/>
        </w:rPr>
        <w:t xml:space="preserve"> </w:t>
      </w:r>
      <w:r w:rsidRPr="00FA38B2">
        <w:rPr>
          <w:rFonts w:cs="Times New Roman"/>
          <w:szCs w:val="24"/>
        </w:rPr>
        <w:t xml:space="preserve">Policymakers designed tuition-free initiatives, like the TN Reconnect, as a last-dollar grant that covers the remaining cost of tuition and mandatory fees after all other gift-aid (e.g. Pell Grants, scholarships, and other </w:t>
      </w:r>
      <w:r w:rsidRPr="00FA38B2">
        <w:rPr>
          <w:rFonts w:cs="Times New Roman"/>
          <w:szCs w:val="24"/>
        </w:rPr>
        <w:lastRenderedPageBreak/>
        <w:t xml:space="preserve">need-based grants). This model leaves the neediest of students without eligibility for the TN Reconnect. These tuition-free grant programs do not take into consideration the full cost of attendance as defined by the U.S. Department of Education, which includes “housing, food, utilities, transportation, books, and supplies” (Bell, 2020; Davidson et al., 2018; Jones &amp; Berger, 2018; </w:t>
      </w:r>
      <w:proofErr w:type="spellStart"/>
      <w:r w:rsidRPr="00FA38B2">
        <w:rPr>
          <w:rFonts w:cs="Times New Roman"/>
          <w:szCs w:val="24"/>
        </w:rPr>
        <w:t>Perna</w:t>
      </w:r>
      <w:proofErr w:type="spellEnd"/>
      <w:r w:rsidRPr="00FA38B2">
        <w:rPr>
          <w:rFonts w:cs="Times New Roman"/>
          <w:szCs w:val="24"/>
        </w:rPr>
        <w:t xml:space="preserve"> &amp; Leigh, 2018). These other expenses could remain as barriers for students looking to pursue a postsecondary degree or credential; therefore, it is important to understand the effects of this policy decision on issues of access, affordability, and indebtedness of adult learners. Our findings highlight the need for further rigorous research exploring whether or not promise programs as currently structured are equitable, and whether the model can effectively be adopted at the federal policy level.</w:t>
      </w:r>
      <w:r w:rsidRPr="00FA38B2">
        <w:rPr>
          <w:rFonts w:cs="Times New Roman"/>
          <w:szCs w:val="24"/>
        </w:rPr>
        <w:br w:type="page"/>
      </w:r>
    </w:p>
    <w:p w14:paraId="5236A798" w14:textId="77777777" w:rsidR="009E1933" w:rsidRPr="00FA38B2" w:rsidRDefault="009E1933" w:rsidP="0015321A">
      <w:pPr>
        <w:pStyle w:val="Heading2"/>
        <w:jc w:val="center"/>
        <w:rPr>
          <w:rFonts w:cs="Times New Roman"/>
          <w:szCs w:val="24"/>
        </w:rPr>
      </w:pPr>
      <w:bookmarkStart w:id="13" w:name="_Toc70181488"/>
      <w:r w:rsidRPr="00FA38B2">
        <w:rPr>
          <w:rFonts w:cs="Times New Roman"/>
          <w:szCs w:val="24"/>
        </w:rPr>
        <w:lastRenderedPageBreak/>
        <w:t>References</w:t>
      </w:r>
      <w:bookmarkEnd w:id="13"/>
    </w:p>
    <w:p w14:paraId="15C841DF" w14:textId="77777777" w:rsidR="009E1933" w:rsidRPr="00FA38B2" w:rsidRDefault="009E1933" w:rsidP="0015321A">
      <w:pPr>
        <w:ind w:left="720" w:hanging="720"/>
        <w:rPr>
          <w:rFonts w:cs="Times New Roman"/>
          <w:szCs w:val="24"/>
        </w:rPr>
      </w:pPr>
      <w:r w:rsidRPr="00FA38B2">
        <w:rPr>
          <w:rFonts w:cs="Times New Roman"/>
          <w:szCs w:val="24"/>
        </w:rPr>
        <w:t xml:space="preserve">Anderson, M., Goodman, J., &amp; Schlossberg, N. K. (2011). </w:t>
      </w:r>
      <w:r w:rsidRPr="00FA38B2">
        <w:rPr>
          <w:rFonts w:cs="Times New Roman"/>
          <w:i/>
          <w:szCs w:val="24"/>
        </w:rPr>
        <w:t>Counseling adults in transition: Linking theory with practice in a diverse world.</w:t>
      </w:r>
      <w:r w:rsidRPr="00FA38B2">
        <w:rPr>
          <w:rFonts w:cs="Times New Roman"/>
          <w:szCs w:val="24"/>
        </w:rPr>
        <w:t xml:space="preserve"> Springer Publishing Company. </w:t>
      </w:r>
    </w:p>
    <w:p w14:paraId="3E93BEB6" w14:textId="77777777" w:rsidR="009E1933" w:rsidRPr="00FA38B2" w:rsidRDefault="009E1933" w:rsidP="0015321A">
      <w:pPr>
        <w:ind w:left="720" w:hanging="720"/>
        <w:rPr>
          <w:rFonts w:cs="Times New Roman"/>
          <w:szCs w:val="24"/>
        </w:rPr>
      </w:pPr>
      <w:r w:rsidRPr="00FA38B2">
        <w:rPr>
          <w:rFonts w:cs="Times New Roman"/>
          <w:szCs w:val="24"/>
        </w:rPr>
        <w:t xml:space="preserve">Archer, L. (2007). Diversity, equality and higher education: A critical reflection on the abuses of equity discourse within widening participation. </w:t>
      </w:r>
      <w:r w:rsidRPr="00FA38B2">
        <w:rPr>
          <w:rFonts w:cs="Times New Roman"/>
          <w:i/>
          <w:szCs w:val="24"/>
        </w:rPr>
        <w:t>Teaching in Higher Education</w:t>
      </w:r>
      <w:r w:rsidRPr="00FA38B2">
        <w:rPr>
          <w:rFonts w:cs="Times New Roman"/>
          <w:szCs w:val="24"/>
        </w:rPr>
        <w:t xml:space="preserve">, </w:t>
      </w:r>
      <w:r w:rsidRPr="00FA38B2">
        <w:rPr>
          <w:rFonts w:cs="Times New Roman"/>
          <w:i/>
          <w:szCs w:val="24"/>
        </w:rPr>
        <w:t>12</w:t>
      </w:r>
      <w:r w:rsidRPr="00FA38B2">
        <w:rPr>
          <w:rFonts w:cs="Times New Roman"/>
          <w:szCs w:val="24"/>
        </w:rPr>
        <w:t xml:space="preserve">(5-6), 635-653. </w:t>
      </w:r>
      <w:hyperlink r:id="rId12" w:history="1">
        <w:r w:rsidRPr="00FA38B2">
          <w:rPr>
            <w:rStyle w:val="Hyperlink"/>
            <w:rFonts w:cs="Times New Roman"/>
            <w:color w:val="auto"/>
            <w:szCs w:val="24"/>
          </w:rPr>
          <w:t>https://doi.org/10.1080/13562510701595325</w:t>
        </w:r>
      </w:hyperlink>
      <w:r w:rsidRPr="00FA38B2">
        <w:rPr>
          <w:rFonts w:cs="Times New Roman"/>
          <w:szCs w:val="24"/>
        </w:rPr>
        <w:t xml:space="preserve"> </w:t>
      </w:r>
    </w:p>
    <w:p w14:paraId="45081685" w14:textId="25130F83" w:rsidR="009E1933" w:rsidRPr="00FA38B2" w:rsidRDefault="009E1933" w:rsidP="0015321A">
      <w:pPr>
        <w:ind w:left="720" w:hanging="720"/>
        <w:rPr>
          <w:rFonts w:cs="Times New Roman"/>
          <w:szCs w:val="24"/>
        </w:rPr>
      </w:pPr>
      <w:proofErr w:type="spellStart"/>
      <w:r w:rsidRPr="00FA38B2">
        <w:rPr>
          <w:rFonts w:cs="Times New Roman"/>
          <w:szCs w:val="24"/>
        </w:rPr>
        <w:t>Ausburn</w:t>
      </w:r>
      <w:proofErr w:type="spellEnd"/>
      <w:r w:rsidRPr="00FA38B2">
        <w:rPr>
          <w:rFonts w:cs="Times New Roman"/>
          <w:szCs w:val="24"/>
        </w:rPr>
        <w:t>, L. J. (20</w:t>
      </w:r>
      <w:r w:rsidR="00D17D17" w:rsidRPr="00FA38B2">
        <w:rPr>
          <w:rFonts w:cs="Times New Roman"/>
          <w:szCs w:val="24"/>
        </w:rPr>
        <w:t>04</w:t>
      </w:r>
      <w:r w:rsidRPr="00FA38B2">
        <w:rPr>
          <w:rFonts w:cs="Times New Roman"/>
          <w:szCs w:val="24"/>
        </w:rPr>
        <w:t xml:space="preserve">). Course design elements most valued by adult learners in blended online education environments: An American perspective. </w:t>
      </w:r>
      <w:r w:rsidRPr="00FA38B2">
        <w:rPr>
          <w:rFonts w:cs="Times New Roman"/>
          <w:i/>
          <w:szCs w:val="24"/>
        </w:rPr>
        <w:t>Educational Media International</w:t>
      </w:r>
      <w:r w:rsidRPr="00FA38B2">
        <w:rPr>
          <w:rFonts w:cs="Times New Roman"/>
          <w:szCs w:val="24"/>
        </w:rPr>
        <w:t xml:space="preserve">, </w:t>
      </w:r>
      <w:r w:rsidRPr="00FA38B2">
        <w:rPr>
          <w:rFonts w:cs="Times New Roman"/>
          <w:i/>
          <w:szCs w:val="24"/>
        </w:rPr>
        <w:t>41</w:t>
      </w:r>
      <w:r w:rsidRPr="00FA38B2">
        <w:rPr>
          <w:rFonts w:cs="Times New Roman"/>
          <w:szCs w:val="24"/>
        </w:rPr>
        <w:t xml:space="preserve">(4), 327-337. </w:t>
      </w:r>
      <w:proofErr w:type="spellStart"/>
      <w:r w:rsidRPr="00FA38B2">
        <w:rPr>
          <w:rFonts w:cs="Times New Roman"/>
          <w:szCs w:val="24"/>
        </w:rPr>
        <w:t>doi</w:t>
      </w:r>
      <w:proofErr w:type="spellEnd"/>
      <w:r w:rsidRPr="00FA38B2">
        <w:rPr>
          <w:rFonts w:cs="Times New Roman"/>
          <w:szCs w:val="24"/>
        </w:rPr>
        <w:t xml:space="preserve">: 10.1080/0952398042000314820  </w:t>
      </w:r>
    </w:p>
    <w:p w14:paraId="6254D451" w14:textId="77777777" w:rsidR="009E1933" w:rsidRPr="00FA38B2" w:rsidRDefault="009E1933" w:rsidP="0015321A">
      <w:pPr>
        <w:ind w:left="720" w:hanging="720"/>
        <w:rPr>
          <w:rFonts w:cs="Times New Roman"/>
          <w:szCs w:val="24"/>
        </w:rPr>
      </w:pPr>
      <w:r w:rsidRPr="00FA38B2">
        <w:rPr>
          <w:rFonts w:cs="Times New Roman"/>
          <w:szCs w:val="24"/>
        </w:rPr>
        <w:t xml:space="preserve">Bell, E. (2020). The Politics of Designing Tuition-Free College: How Socially Constructed Target Populations Influence Policy Support. </w:t>
      </w:r>
      <w:r w:rsidRPr="00FA38B2">
        <w:rPr>
          <w:rFonts w:cs="Times New Roman"/>
          <w:i/>
          <w:szCs w:val="24"/>
        </w:rPr>
        <w:t>The Journal of Higher Education</w:t>
      </w:r>
      <w:r w:rsidRPr="00FA38B2">
        <w:rPr>
          <w:rFonts w:cs="Times New Roman"/>
          <w:szCs w:val="24"/>
        </w:rPr>
        <w:t xml:space="preserve">, 1-39. </w:t>
      </w:r>
      <w:hyperlink r:id="rId13" w:history="1">
        <w:r w:rsidRPr="00FA38B2">
          <w:rPr>
            <w:rStyle w:val="Hyperlink"/>
            <w:rFonts w:cs="Times New Roman"/>
            <w:color w:val="auto"/>
            <w:szCs w:val="24"/>
          </w:rPr>
          <w:t>https://doi.org/10.1080/00221546.2019.1706015</w:t>
        </w:r>
      </w:hyperlink>
      <w:r w:rsidRPr="00FA38B2">
        <w:rPr>
          <w:rFonts w:cs="Times New Roman"/>
          <w:szCs w:val="24"/>
        </w:rPr>
        <w:t xml:space="preserve"> </w:t>
      </w:r>
    </w:p>
    <w:p w14:paraId="6B6205C2" w14:textId="77777777" w:rsidR="009E1933" w:rsidRPr="00FA38B2" w:rsidRDefault="009E1933" w:rsidP="0015321A">
      <w:pPr>
        <w:ind w:left="720" w:hanging="720"/>
        <w:rPr>
          <w:rFonts w:cs="Times New Roman"/>
          <w:szCs w:val="24"/>
        </w:rPr>
      </w:pPr>
      <w:proofErr w:type="spellStart"/>
      <w:r w:rsidRPr="00FA38B2">
        <w:rPr>
          <w:rFonts w:cs="Times New Roman"/>
          <w:szCs w:val="24"/>
        </w:rPr>
        <w:t>Biddix</w:t>
      </w:r>
      <w:proofErr w:type="spellEnd"/>
      <w:r w:rsidRPr="00FA38B2">
        <w:rPr>
          <w:rFonts w:cs="Times New Roman"/>
          <w:szCs w:val="24"/>
        </w:rPr>
        <w:t xml:space="preserve">, J. P. (2018). </w:t>
      </w:r>
      <w:r w:rsidRPr="00FA38B2">
        <w:rPr>
          <w:rFonts w:cs="Times New Roman"/>
          <w:i/>
          <w:szCs w:val="24"/>
        </w:rPr>
        <w:t>Research methods and applications for student affairs.</w:t>
      </w:r>
      <w:r w:rsidRPr="00FA38B2">
        <w:rPr>
          <w:rFonts w:cs="Times New Roman"/>
          <w:szCs w:val="24"/>
        </w:rPr>
        <w:t xml:space="preserve"> </w:t>
      </w:r>
      <w:proofErr w:type="spellStart"/>
      <w:r w:rsidRPr="00FA38B2">
        <w:rPr>
          <w:rFonts w:cs="Times New Roman"/>
          <w:szCs w:val="24"/>
        </w:rPr>
        <w:t>Jossey</w:t>
      </w:r>
      <w:proofErr w:type="spellEnd"/>
      <w:r w:rsidRPr="00FA38B2">
        <w:rPr>
          <w:rFonts w:cs="Times New Roman"/>
          <w:szCs w:val="24"/>
        </w:rPr>
        <w:t xml:space="preserve"> Bass.</w:t>
      </w:r>
    </w:p>
    <w:p w14:paraId="2A83D79E" w14:textId="77777777" w:rsidR="009E1933" w:rsidRPr="00FA38B2" w:rsidRDefault="009E1933" w:rsidP="0015321A">
      <w:pPr>
        <w:ind w:left="720" w:hanging="720"/>
        <w:rPr>
          <w:rFonts w:cs="Times New Roman"/>
          <w:szCs w:val="24"/>
        </w:rPr>
      </w:pPr>
      <w:proofErr w:type="spellStart"/>
      <w:r w:rsidRPr="00FA38B2">
        <w:rPr>
          <w:rFonts w:cs="Times New Roman"/>
          <w:szCs w:val="24"/>
        </w:rPr>
        <w:t>Carnevale</w:t>
      </w:r>
      <w:proofErr w:type="spellEnd"/>
      <w:r w:rsidRPr="00FA38B2">
        <w:rPr>
          <w:rFonts w:cs="Times New Roman"/>
          <w:szCs w:val="24"/>
        </w:rPr>
        <w:t xml:space="preserve">, A. P., </w:t>
      </w:r>
      <w:proofErr w:type="spellStart"/>
      <w:r w:rsidRPr="00FA38B2">
        <w:rPr>
          <w:rFonts w:cs="Times New Roman"/>
          <w:szCs w:val="24"/>
        </w:rPr>
        <w:t>Jayasundara</w:t>
      </w:r>
      <w:proofErr w:type="spellEnd"/>
      <w:r w:rsidRPr="00FA38B2">
        <w:rPr>
          <w:rFonts w:cs="Times New Roman"/>
          <w:szCs w:val="24"/>
        </w:rPr>
        <w:t xml:space="preserve">, T., &amp; </w:t>
      </w:r>
      <w:proofErr w:type="spellStart"/>
      <w:r w:rsidRPr="00FA38B2">
        <w:rPr>
          <w:rFonts w:cs="Times New Roman"/>
          <w:szCs w:val="24"/>
        </w:rPr>
        <w:t>Cheah</w:t>
      </w:r>
      <w:proofErr w:type="spellEnd"/>
      <w:r w:rsidRPr="00FA38B2">
        <w:rPr>
          <w:rFonts w:cs="Times New Roman"/>
          <w:szCs w:val="24"/>
        </w:rPr>
        <w:t xml:space="preserve">, B. (2013). </w:t>
      </w:r>
      <w:r w:rsidRPr="00FA38B2">
        <w:rPr>
          <w:rFonts w:cs="Times New Roman"/>
          <w:i/>
          <w:szCs w:val="24"/>
        </w:rPr>
        <w:t>The college advantage: Weathering the economic storm</w:t>
      </w:r>
      <w:r w:rsidRPr="00FA38B2">
        <w:rPr>
          <w:rFonts w:cs="Times New Roman"/>
          <w:szCs w:val="24"/>
        </w:rPr>
        <w:t>. Georgetown University.</w:t>
      </w:r>
    </w:p>
    <w:p w14:paraId="1EF390DB" w14:textId="77777777" w:rsidR="009E1933" w:rsidRPr="00FA38B2" w:rsidRDefault="009E1933" w:rsidP="0015321A">
      <w:pPr>
        <w:ind w:left="720" w:hanging="720"/>
        <w:rPr>
          <w:rFonts w:cs="Times New Roman"/>
          <w:szCs w:val="24"/>
        </w:rPr>
      </w:pPr>
      <w:proofErr w:type="spellStart"/>
      <w:r w:rsidRPr="00FA38B2">
        <w:rPr>
          <w:rFonts w:cs="Times New Roman"/>
          <w:szCs w:val="24"/>
        </w:rPr>
        <w:t>Charmaz</w:t>
      </w:r>
      <w:proofErr w:type="spellEnd"/>
      <w:r w:rsidRPr="00FA38B2">
        <w:rPr>
          <w:rFonts w:cs="Times New Roman"/>
          <w:szCs w:val="24"/>
        </w:rPr>
        <w:t xml:space="preserve">, K. (2008). Constructionism and the grounded theory method. </w:t>
      </w:r>
      <w:r w:rsidRPr="00FA38B2">
        <w:rPr>
          <w:rFonts w:cs="Times New Roman"/>
          <w:i/>
          <w:szCs w:val="24"/>
        </w:rPr>
        <w:t>Handbook of Constructionist Research</w:t>
      </w:r>
      <w:r w:rsidRPr="00FA38B2">
        <w:rPr>
          <w:rFonts w:cs="Times New Roman"/>
          <w:szCs w:val="24"/>
        </w:rPr>
        <w:t xml:space="preserve">, 1, 397-412. </w:t>
      </w:r>
    </w:p>
    <w:p w14:paraId="0108EDD7" w14:textId="77777777" w:rsidR="009E1933" w:rsidRPr="00FA38B2" w:rsidRDefault="009E1933" w:rsidP="0015321A">
      <w:pPr>
        <w:ind w:left="720" w:hanging="720"/>
        <w:rPr>
          <w:rFonts w:cs="Times New Roman"/>
          <w:szCs w:val="24"/>
        </w:rPr>
      </w:pPr>
      <w:r w:rsidRPr="00FA38B2">
        <w:rPr>
          <w:rFonts w:cs="Times New Roman"/>
          <w:szCs w:val="24"/>
        </w:rPr>
        <w:t xml:space="preserve">Choy, S. (2002). </w:t>
      </w:r>
      <w:r w:rsidRPr="00FA38B2">
        <w:rPr>
          <w:rFonts w:cs="Times New Roman"/>
          <w:i/>
          <w:szCs w:val="24"/>
        </w:rPr>
        <w:t>Nontraditional Undergraduates: Findings from the Condition of Education 2002</w:t>
      </w:r>
      <w:r w:rsidRPr="00FA38B2">
        <w:rPr>
          <w:rFonts w:cs="Times New Roman"/>
          <w:szCs w:val="24"/>
        </w:rPr>
        <w:t xml:space="preserve"> (NCES 2002-012). National Center for Education Statistics.</w:t>
      </w:r>
    </w:p>
    <w:p w14:paraId="4E990122" w14:textId="77777777" w:rsidR="009E1933" w:rsidRPr="00FA38B2" w:rsidRDefault="009E1933" w:rsidP="0015321A">
      <w:pPr>
        <w:ind w:left="720" w:hanging="720"/>
        <w:rPr>
          <w:rFonts w:cs="Times New Roman"/>
          <w:szCs w:val="24"/>
        </w:rPr>
      </w:pPr>
      <w:r w:rsidRPr="00FA38B2">
        <w:rPr>
          <w:rFonts w:cs="Times New Roman"/>
          <w:szCs w:val="24"/>
        </w:rPr>
        <w:t xml:space="preserve">Christie, H., </w:t>
      </w:r>
      <w:proofErr w:type="spellStart"/>
      <w:r w:rsidRPr="00FA38B2">
        <w:rPr>
          <w:rFonts w:cs="Times New Roman"/>
          <w:szCs w:val="24"/>
        </w:rPr>
        <w:t>Tett</w:t>
      </w:r>
      <w:proofErr w:type="spellEnd"/>
      <w:r w:rsidRPr="00FA38B2">
        <w:rPr>
          <w:rFonts w:cs="Times New Roman"/>
          <w:szCs w:val="24"/>
        </w:rPr>
        <w:t xml:space="preserve">, L., Cree, V. E., </w:t>
      </w:r>
      <w:proofErr w:type="spellStart"/>
      <w:r w:rsidRPr="00FA38B2">
        <w:rPr>
          <w:rFonts w:cs="Times New Roman"/>
          <w:szCs w:val="24"/>
        </w:rPr>
        <w:t>Hounsell</w:t>
      </w:r>
      <w:proofErr w:type="spellEnd"/>
      <w:r w:rsidRPr="00FA38B2">
        <w:rPr>
          <w:rFonts w:cs="Times New Roman"/>
          <w:szCs w:val="24"/>
        </w:rPr>
        <w:t xml:space="preserve">, J., &amp; McCune, V. (2008). ‘A real rollercoaster of confidence and emotions’: Learning to be a university student. </w:t>
      </w:r>
      <w:r w:rsidRPr="00FA38B2">
        <w:rPr>
          <w:rFonts w:cs="Times New Roman"/>
          <w:i/>
          <w:szCs w:val="24"/>
        </w:rPr>
        <w:t>Studies in Higher Education</w:t>
      </w:r>
      <w:r w:rsidRPr="00FA38B2">
        <w:rPr>
          <w:rFonts w:cs="Times New Roman"/>
          <w:szCs w:val="24"/>
        </w:rPr>
        <w:t xml:space="preserve">, </w:t>
      </w:r>
      <w:r w:rsidRPr="00FA38B2">
        <w:rPr>
          <w:rFonts w:cs="Times New Roman"/>
          <w:i/>
          <w:szCs w:val="24"/>
        </w:rPr>
        <w:t>33</w:t>
      </w:r>
      <w:r w:rsidRPr="00FA38B2">
        <w:rPr>
          <w:rFonts w:cs="Times New Roman"/>
          <w:szCs w:val="24"/>
        </w:rPr>
        <w:t xml:space="preserve">(5), 567-581. </w:t>
      </w:r>
      <w:hyperlink r:id="rId14" w:history="1">
        <w:r w:rsidRPr="00FA38B2">
          <w:rPr>
            <w:rStyle w:val="Hyperlink"/>
            <w:rFonts w:cs="Times New Roman"/>
            <w:color w:val="auto"/>
            <w:szCs w:val="24"/>
          </w:rPr>
          <w:t>https://doi.org/10.1080/03075070802373040</w:t>
        </w:r>
      </w:hyperlink>
      <w:r w:rsidRPr="00FA38B2">
        <w:rPr>
          <w:rFonts w:cs="Times New Roman"/>
          <w:szCs w:val="24"/>
        </w:rPr>
        <w:t xml:space="preserve"> </w:t>
      </w:r>
    </w:p>
    <w:p w14:paraId="5ECD5FC0" w14:textId="77777777" w:rsidR="009E1933" w:rsidRPr="00FA38B2" w:rsidRDefault="009E1933" w:rsidP="0015321A">
      <w:pPr>
        <w:ind w:left="720" w:hanging="720"/>
        <w:rPr>
          <w:rFonts w:cs="Times New Roman"/>
          <w:szCs w:val="24"/>
        </w:rPr>
      </w:pPr>
      <w:r w:rsidRPr="00FA38B2">
        <w:rPr>
          <w:rFonts w:cs="Times New Roman"/>
          <w:szCs w:val="24"/>
        </w:rPr>
        <w:lastRenderedPageBreak/>
        <w:t xml:space="preserve">Davidson, C. T., Ashby-King, D. T., &amp; </w:t>
      </w:r>
      <w:proofErr w:type="spellStart"/>
      <w:r w:rsidRPr="00FA38B2">
        <w:rPr>
          <w:rFonts w:cs="Times New Roman"/>
          <w:szCs w:val="24"/>
        </w:rPr>
        <w:t>Sciulli</w:t>
      </w:r>
      <w:proofErr w:type="spellEnd"/>
      <w:r w:rsidRPr="00FA38B2">
        <w:rPr>
          <w:rFonts w:cs="Times New Roman"/>
          <w:szCs w:val="24"/>
        </w:rPr>
        <w:t xml:space="preserve">, L. J. (2018). The higher education funding revolution: An exploration of statewide community college “free tuition” programs. </w:t>
      </w:r>
      <w:r w:rsidRPr="00FA38B2">
        <w:rPr>
          <w:rFonts w:cs="Times New Roman"/>
          <w:i/>
          <w:szCs w:val="24"/>
        </w:rPr>
        <w:t>Community College Journal of Research and Practice</w:t>
      </w:r>
      <w:r w:rsidRPr="00FA38B2">
        <w:rPr>
          <w:rFonts w:cs="Times New Roman"/>
          <w:szCs w:val="24"/>
        </w:rPr>
        <w:t xml:space="preserve">, </w:t>
      </w:r>
      <w:r w:rsidRPr="00FA38B2">
        <w:rPr>
          <w:rFonts w:cs="Times New Roman"/>
          <w:i/>
          <w:szCs w:val="24"/>
        </w:rPr>
        <w:t>44</w:t>
      </w:r>
      <w:r w:rsidRPr="00FA38B2">
        <w:rPr>
          <w:rFonts w:cs="Times New Roman"/>
          <w:szCs w:val="24"/>
        </w:rPr>
        <w:t xml:space="preserve">(2), 117-132. </w:t>
      </w:r>
      <w:hyperlink r:id="rId15" w:history="1">
        <w:r w:rsidRPr="00FA38B2">
          <w:rPr>
            <w:rStyle w:val="Hyperlink"/>
            <w:rFonts w:cs="Times New Roman"/>
            <w:color w:val="auto"/>
            <w:szCs w:val="24"/>
          </w:rPr>
          <w:t>https://doi.org/10.1080/10668926.2018.1558135</w:t>
        </w:r>
      </w:hyperlink>
      <w:r w:rsidRPr="00FA38B2">
        <w:rPr>
          <w:rFonts w:cs="Times New Roman"/>
          <w:szCs w:val="24"/>
        </w:rPr>
        <w:t xml:space="preserve"> </w:t>
      </w:r>
    </w:p>
    <w:p w14:paraId="07DF2B5C" w14:textId="77777777" w:rsidR="009E1933" w:rsidRPr="00FA38B2" w:rsidRDefault="009E1933" w:rsidP="0015321A">
      <w:pPr>
        <w:ind w:left="720" w:hanging="720"/>
        <w:rPr>
          <w:rFonts w:cs="Times New Roman"/>
          <w:szCs w:val="24"/>
        </w:rPr>
      </w:pPr>
      <w:proofErr w:type="spellStart"/>
      <w:r w:rsidRPr="00FA38B2">
        <w:rPr>
          <w:rFonts w:cs="Times New Roman"/>
          <w:szCs w:val="24"/>
        </w:rPr>
        <w:t>Deil</w:t>
      </w:r>
      <w:proofErr w:type="spellEnd"/>
      <w:r w:rsidRPr="00FA38B2">
        <w:rPr>
          <w:rFonts w:cs="Times New Roman"/>
          <w:szCs w:val="24"/>
        </w:rPr>
        <w:t xml:space="preserve">-Amen, R. (2011). Socio-academic integrative moments: Rethinking academic and social integration among two-year college students in career-related programs. </w:t>
      </w:r>
      <w:r w:rsidRPr="00FA38B2">
        <w:rPr>
          <w:rFonts w:cs="Times New Roman"/>
          <w:i/>
          <w:szCs w:val="24"/>
        </w:rPr>
        <w:t>The Journal of Higher Education</w:t>
      </w:r>
      <w:r w:rsidRPr="00FA38B2">
        <w:rPr>
          <w:rFonts w:cs="Times New Roman"/>
          <w:szCs w:val="24"/>
        </w:rPr>
        <w:t xml:space="preserve">, </w:t>
      </w:r>
      <w:r w:rsidRPr="00FA38B2">
        <w:rPr>
          <w:rFonts w:cs="Times New Roman"/>
          <w:i/>
          <w:szCs w:val="24"/>
        </w:rPr>
        <w:t>82</w:t>
      </w:r>
      <w:r w:rsidRPr="00FA38B2">
        <w:rPr>
          <w:rFonts w:cs="Times New Roman"/>
          <w:szCs w:val="24"/>
        </w:rPr>
        <w:t xml:space="preserve">(1), 54-91. </w:t>
      </w:r>
      <w:hyperlink r:id="rId16" w:history="1">
        <w:r w:rsidRPr="00FA38B2">
          <w:rPr>
            <w:rStyle w:val="Hyperlink"/>
            <w:rFonts w:cs="Times New Roman"/>
            <w:color w:val="auto"/>
            <w:szCs w:val="24"/>
          </w:rPr>
          <w:t>https://doi.org/10.1080/00221546.2011.11779085</w:t>
        </w:r>
      </w:hyperlink>
      <w:r w:rsidRPr="00FA38B2">
        <w:rPr>
          <w:rFonts w:cs="Times New Roman"/>
          <w:szCs w:val="24"/>
        </w:rPr>
        <w:t xml:space="preserve"> </w:t>
      </w:r>
    </w:p>
    <w:p w14:paraId="178F1D66" w14:textId="77777777" w:rsidR="009E1933" w:rsidRPr="00FA38B2" w:rsidRDefault="009E1933" w:rsidP="0015321A">
      <w:pPr>
        <w:ind w:left="720" w:hanging="720"/>
        <w:rPr>
          <w:rFonts w:cs="Times New Roman"/>
          <w:szCs w:val="24"/>
        </w:rPr>
      </w:pPr>
      <w:proofErr w:type="spellStart"/>
      <w:r w:rsidRPr="00FA38B2">
        <w:rPr>
          <w:rFonts w:cs="Times New Roman"/>
          <w:szCs w:val="24"/>
        </w:rPr>
        <w:t>Derrington</w:t>
      </w:r>
      <w:proofErr w:type="spellEnd"/>
      <w:r w:rsidRPr="00FA38B2">
        <w:rPr>
          <w:rFonts w:cs="Times New Roman"/>
          <w:szCs w:val="24"/>
        </w:rPr>
        <w:t xml:space="preserve">, M. L. (2018). </w:t>
      </w:r>
      <w:r w:rsidRPr="00FA38B2">
        <w:rPr>
          <w:rFonts w:cs="Times New Roman"/>
          <w:i/>
          <w:szCs w:val="24"/>
        </w:rPr>
        <w:t>Qualitative longitudinal methods: Researching implementation and change.</w:t>
      </w:r>
      <w:r w:rsidRPr="00FA38B2">
        <w:rPr>
          <w:rFonts w:cs="Times New Roman"/>
          <w:szCs w:val="24"/>
        </w:rPr>
        <w:t xml:space="preserve"> Sage.</w:t>
      </w:r>
    </w:p>
    <w:p w14:paraId="686795A3" w14:textId="77777777" w:rsidR="009E1933" w:rsidRPr="00FA38B2" w:rsidRDefault="009E1933" w:rsidP="0015321A">
      <w:pPr>
        <w:ind w:left="720" w:hanging="720"/>
        <w:rPr>
          <w:rFonts w:cs="Times New Roman"/>
          <w:szCs w:val="24"/>
        </w:rPr>
      </w:pPr>
      <w:proofErr w:type="spellStart"/>
      <w:r w:rsidRPr="00FA38B2">
        <w:rPr>
          <w:rFonts w:cs="Times New Roman"/>
          <w:szCs w:val="24"/>
        </w:rPr>
        <w:t>Gallacher</w:t>
      </w:r>
      <w:proofErr w:type="spellEnd"/>
      <w:r w:rsidRPr="00FA38B2">
        <w:rPr>
          <w:rFonts w:cs="Times New Roman"/>
          <w:szCs w:val="24"/>
        </w:rPr>
        <w:t xml:space="preserve">, J., </w:t>
      </w:r>
      <w:proofErr w:type="spellStart"/>
      <w:r w:rsidRPr="00FA38B2">
        <w:rPr>
          <w:rFonts w:cs="Times New Roman"/>
          <w:szCs w:val="24"/>
        </w:rPr>
        <w:t>Crossan</w:t>
      </w:r>
      <w:proofErr w:type="spellEnd"/>
      <w:r w:rsidRPr="00FA38B2">
        <w:rPr>
          <w:rFonts w:cs="Times New Roman"/>
          <w:szCs w:val="24"/>
        </w:rPr>
        <w:t xml:space="preserve">, B., Field, J., &amp; Merrill, B. (2002). Learning careers and the social space: Exploring the fragile identities of adult returners in the new further education. </w:t>
      </w:r>
      <w:r w:rsidRPr="00FA38B2">
        <w:rPr>
          <w:rFonts w:cs="Times New Roman"/>
          <w:i/>
          <w:szCs w:val="24"/>
        </w:rPr>
        <w:t>International Journal of Lifelong Education</w:t>
      </w:r>
      <w:r w:rsidRPr="00FA38B2">
        <w:rPr>
          <w:rFonts w:cs="Times New Roman"/>
          <w:szCs w:val="24"/>
        </w:rPr>
        <w:t xml:space="preserve">, </w:t>
      </w:r>
      <w:r w:rsidRPr="00FA38B2">
        <w:rPr>
          <w:rFonts w:cs="Times New Roman"/>
          <w:i/>
          <w:szCs w:val="24"/>
        </w:rPr>
        <w:t>21</w:t>
      </w:r>
      <w:r w:rsidRPr="00FA38B2">
        <w:rPr>
          <w:rFonts w:cs="Times New Roman"/>
          <w:szCs w:val="24"/>
        </w:rPr>
        <w:t xml:space="preserve">(6), 493-509. </w:t>
      </w:r>
      <w:hyperlink r:id="rId17" w:history="1">
        <w:r w:rsidRPr="00FA38B2">
          <w:rPr>
            <w:rStyle w:val="Hyperlink"/>
            <w:rFonts w:cs="Times New Roman"/>
            <w:color w:val="auto"/>
            <w:szCs w:val="24"/>
          </w:rPr>
          <w:t>https://doi.org/10.1080/0260137022000016172</w:t>
        </w:r>
      </w:hyperlink>
      <w:r w:rsidRPr="00FA38B2">
        <w:rPr>
          <w:rFonts w:cs="Times New Roman"/>
          <w:szCs w:val="24"/>
        </w:rPr>
        <w:t xml:space="preserve"> </w:t>
      </w:r>
    </w:p>
    <w:p w14:paraId="68E48845" w14:textId="77777777" w:rsidR="009E1933" w:rsidRPr="00FA38B2" w:rsidRDefault="009E1933" w:rsidP="0015321A">
      <w:pPr>
        <w:ind w:left="720" w:hanging="720"/>
        <w:rPr>
          <w:rFonts w:cs="Times New Roman"/>
          <w:szCs w:val="24"/>
        </w:rPr>
      </w:pPr>
      <w:proofErr w:type="spellStart"/>
      <w:r w:rsidRPr="00FA38B2">
        <w:rPr>
          <w:rFonts w:cs="Times New Roman"/>
          <w:szCs w:val="24"/>
        </w:rPr>
        <w:t>Gershenfeld</w:t>
      </w:r>
      <w:proofErr w:type="spellEnd"/>
      <w:r w:rsidRPr="00FA38B2">
        <w:rPr>
          <w:rFonts w:cs="Times New Roman"/>
          <w:szCs w:val="24"/>
        </w:rPr>
        <w:t xml:space="preserve">, S., Zhan, M., &amp; Hood, D. W. (2019). The impact of a promise: A loan replacement grant, low-income students, and college graduation. </w:t>
      </w:r>
      <w:r w:rsidRPr="00FA38B2">
        <w:rPr>
          <w:rFonts w:cs="Times New Roman"/>
          <w:i/>
          <w:szCs w:val="24"/>
        </w:rPr>
        <w:t>The Review of Higher Education</w:t>
      </w:r>
      <w:r w:rsidRPr="00FA38B2">
        <w:rPr>
          <w:rFonts w:cs="Times New Roman"/>
          <w:szCs w:val="24"/>
        </w:rPr>
        <w:t xml:space="preserve">, </w:t>
      </w:r>
      <w:r w:rsidRPr="00FA38B2">
        <w:rPr>
          <w:rFonts w:cs="Times New Roman"/>
          <w:i/>
          <w:szCs w:val="24"/>
        </w:rPr>
        <w:t>42</w:t>
      </w:r>
      <w:r w:rsidRPr="00FA38B2">
        <w:rPr>
          <w:rFonts w:cs="Times New Roman"/>
          <w:szCs w:val="24"/>
        </w:rPr>
        <w:t>(3), 1073-1100. doi:10.1353/rhe.2019.0030.</w:t>
      </w:r>
    </w:p>
    <w:p w14:paraId="224CBB26" w14:textId="77777777" w:rsidR="009E1933" w:rsidRPr="00FA38B2" w:rsidRDefault="009E1933" w:rsidP="0015321A">
      <w:pPr>
        <w:ind w:left="720" w:hanging="720"/>
        <w:rPr>
          <w:rFonts w:cs="Times New Roman"/>
          <w:szCs w:val="24"/>
        </w:rPr>
      </w:pPr>
      <w:proofErr w:type="spellStart"/>
      <w:r w:rsidRPr="00FA38B2">
        <w:rPr>
          <w:rFonts w:cs="Times New Roman"/>
          <w:szCs w:val="24"/>
        </w:rPr>
        <w:t>Goldrick-Rab</w:t>
      </w:r>
      <w:proofErr w:type="spellEnd"/>
      <w:r w:rsidRPr="00FA38B2">
        <w:rPr>
          <w:rFonts w:cs="Times New Roman"/>
          <w:szCs w:val="24"/>
        </w:rPr>
        <w:t xml:space="preserve">, S. (2010). Challenges and opportunities for improving community college student success. </w:t>
      </w:r>
      <w:r w:rsidRPr="00FA38B2">
        <w:rPr>
          <w:rFonts w:cs="Times New Roman"/>
          <w:i/>
          <w:szCs w:val="24"/>
        </w:rPr>
        <w:t>Review of Educational Research</w:t>
      </w:r>
      <w:r w:rsidRPr="00FA38B2">
        <w:rPr>
          <w:rFonts w:cs="Times New Roman"/>
          <w:szCs w:val="24"/>
        </w:rPr>
        <w:t xml:space="preserve">, </w:t>
      </w:r>
      <w:r w:rsidRPr="00FA38B2">
        <w:rPr>
          <w:rFonts w:cs="Times New Roman"/>
          <w:i/>
          <w:szCs w:val="24"/>
        </w:rPr>
        <w:t>80</w:t>
      </w:r>
      <w:r w:rsidRPr="00FA38B2">
        <w:rPr>
          <w:rFonts w:cs="Times New Roman"/>
          <w:szCs w:val="24"/>
        </w:rPr>
        <w:t xml:space="preserve">(3), 437-469. </w:t>
      </w:r>
      <w:hyperlink r:id="rId18" w:history="1">
        <w:r w:rsidRPr="00FA38B2">
          <w:rPr>
            <w:rStyle w:val="Hyperlink"/>
            <w:rFonts w:cs="Times New Roman"/>
            <w:color w:val="auto"/>
            <w:szCs w:val="24"/>
          </w:rPr>
          <w:t>https://doi.org/10.3102/0034654310370163</w:t>
        </w:r>
      </w:hyperlink>
      <w:r w:rsidRPr="00FA38B2">
        <w:rPr>
          <w:rFonts w:cs="Times New Roman"/>
          <w:szCs w:val="24"/>
        </w:rPr>
        <w:t xml:space="preserve"> </w:t>
      </w:r>
    </w:p>
    <w:p w14:paraId="74B472D9" w14:textId="77777777" w:rsidR="009E1933" w:rsidRPr="00FA38B2" w:rsidRDefault="009E1933" w:rsidP="0015321A">
      <w:pPr>
        <w:ind w:left="720" w:hanging="720"/>
        <w:rPr>
          <w:rFonts w:cs="Times New Roman"/>
          <w:szCs w:val="24"/>
        </w:rPr>
      </w:pPr>
      <w:r w:rsidRPr="00FA38B2">
        <w:rPr>
          <w:rFonts w:cs="Times New Roman"/>
          <w:szCs w:val="24"/>
        </w:rPr>
        <w:t xml:space="preserve">Harper, S. R., Patton, L. D., &amp; Wooden, O. S. (2009). Access and equity for African American students in higher education: A critical race historical analysis of policy efforts. </w:t>
      </w:r>
      <w:r w:rsidRPr="00FA38B2">
        <w:rPr>
          <w:rFonts w:cs="Times New Roman"/>
          <w:i/>
          <w:szCs w:val="24"/>
        </w:rPr>
        <w:t>The Journal of Higher Education</w:t>
      </w:r>
      <w:r w:rsidRPr="00FA38B2">
        <w:rPr>
          <w:rFonts w:cs="Times New Roman"/>
          <w:szCs w:val="24"/>
        </w:rPr>
        <w:t xml:space="preserve">, </w:t>
      </w:r>
      <w:r w:rsidRPr="00FA38B2">
        <w:rPr>
          <w:rFonts w:cs="Times New Roman"/>
          <w:i/>
          <w:szCs w:val="24"/>
        </w:rPr>
        <w:t>80</w:t>
      </w:r>
      <w:r w:rsidRPr="00FA38B2">
        <w:rPr>
          <w:rFonts w:cs="Times New Roman"/>
          <w:szCs w:val="24"/>
        </w:rPr>
        <w:t xml:space="preserve">(4), 389-414. </w:t>
      </w:r>
      <w:hyperlink r:id="rId19" w:history="1">
        <w:r w:rsidRPr="00FA38B2">
          <w:rPr>
            <w:rStyle w:val="Hyperlink"/>
            <w:rFonts w:cs="Times New Roman"/>
            <w:color w:val="auto"/>
            <w:szCs w:val="24"/>
          </w:rPr>
          <w:t>https://doi.org/10.1080/00221546.2009.11779022</w:t>
        </w:r>
      </w:hyperlink>
      <w:r w:rsidRPr="00FA38B2">
        <w:rPr>
          <w:rFonts w:cs="Times New Roman"/>
          <w:szCs w:val="24"/>
        </w:rPr>
        <w:t xml:space="preserve"> </w:t>
      </w:r>
    </w:p>
    <w:p w14:paraId="49A6EB10" w14:textId="77777777" w:rsidR="009E1933" w:rsidRPr="00FA38B2" w:rsidRDefault="009E1933" w:rsidP="0015321A">
      <w:pPr>
        <w:ind w:left="720" w:hanging="720"/>
        <w:rPr>
          <w:rFonts w:cs="Times New Roman"/>
          <w:szCs w:val="24"/>
        </w:rPr>
      </w:pPr>
      <w:r w:rsidRPr="00FA38B2">
        <w:rPr>
          <w:rFonts w:cs="Times New Roman"/>
          <w:szCs w:val="24"/>
        </w:rPr>
        <w:lastRenderedPageBreak/>
        <w:t xml:space="preserve">Jones, T., &amp; Berger, K. (2018). </w:t>
      </w:r>
      <w:r w:rsidRPr="00FA38B2">
        <w:rPr>
          <w:rFonts w:cs="Times New Roman"/>
          <w:i/>
          <w:szCs w:val="24"/>
        </w:rPr>
        <w:t>A promise fulfilled: A framework for equitable free college programs</w:t>
      </w:r>
      <w:r w:rsidRPr="00FA38B2">
        <w:rPr>
          <w:rFonts w:cs="Times New Roman"/>
          <w:szCs w:val="24"/>
        </w:rPr>
        <w:t>. The Education Trust.</w:t>
      </w:r>
    </w:p>
    <w:p w14:paraId="2394A4F3" w14:textId="77777777" w:rsidR="009E1933" w:rsidRPr="00FA38B2" w:rsidRDefault="009E1933" w:rsidP="0015321A">
      <w:pPr>
        <w:ind w:left="720" w:hanging="720"/>
        <w:rPr>
          <w:rFonts w:cs="Times New Roman"/>
          <w:szCs w:val="24"/>
        </w:rPr>
      </w:pPr>
      <w:proofErr w:type="spellStart"/>
      <w:r w:rsidRPr="00FA38B2">
        <w:rPr>
          <w:rFonts w:cs="Times New Roman"/>
          <w:szCs w:val="24"/>
        </w:rPr>
        <w:t>Luedke</w:t>
      </w:r>
      <w:proofErr w:type="spellEnd"/>
      <w:r w:rsidRPr="00FA38B2">
        <w:rPr>
          <w:rFonts w:cs="Times New Roman"/>
          <w:szCs w:val="24"/>
        </w:rPr>
        <w:t xml:space="preserve">, C. L., Collom, G. D., McCoy, D. L., Lee-Johnson, J., &amp; Winkle-Wagner, R. (2019). Connecting identity with research: Socializing Students of Color towards seeing themselves as scholars. </w:t>
      </w:r>
      <w:r w:rsidRPr="00FA38B2">
        <w:rPr>
          <w:rFonts w:cs="Times New Roman"/>
          <w:i/>
          <w:szCs w:val="24"/>
        </w:rPr>
        <w:t>The Review of Higher Education</w:t>
      </w:r>
      <w:r w:rsidRPr="00FA38B2">
        <w:rPr>
          <w:rFonts w:cs="Times New Roman"/>
          <w:szCs w:val="24"/>
        </w:rPr>
        <w:t xml:space="preserve">, </w:t>
      </w:r>
      <w:r w:rsidRPr="00FA38B2">
        <w:rPr>
          <w:rFonts w:cs="Times New Roman"/>
          <w:i/>
          <w:szCs w:val="24"/>
        </w:rPr>
        <w:t>42</w:t>
      </w:r>
      <w:r w:rsidRPr="00FA38B2">
        <w:rPr>
          <w:rFonts w:cs="Times New Roman"/>
          <w:szCs w:val="24"/>
        </w:rPr>
        <w:t>(4), 1529-1549. doi:10.1353/rhe.2019.0074.</w:t>
      </w:r>
    </w:p>
    <w:p w14:paraId="1888B37B" w14:textId="77777777" w:rsidR="009E1933" w:rsidRPr="00FA38B2" w:rsidRDefault="009E1933" w:rsidP="0015321A">
      <w:pPr>
        <w:ind w:left="720" w:hanging="720"/>
        <w:rPr>
          <w:rFonts w:cs="Times New Roman"/>
          <w:szCs w:val="24"/>
        </w:rPr>
      </w:pPr>
      <w:r w:rsidRPr="00FA38B2">
        <w:rPr>
          <w:rFonts w:cs="Times New Roman"/>
          <w:szCs w:val="24"/>
        </w:rPr>
        <w:t xml:space="preserve">McCoy, D. L. (2014). A phenomenological approach to understanding first-generation college students of color transitions to one “extreme” predominantly white institution. </w:t>
      </w:r>
      <w:r w:rsidRPr="00FA38B2">
        <w:rPr>
          <w:rFonts w:cs="Times New Roman"/>
          <w:i/>
          <w:szCs w:val="24"/>
        </w:rPr>
        <w:t>College Student Affairs Journal</w:t>
      </w:r>
      <w:r w:rsidRPr="00FA38B2">
        <w:rPr>
          <w:rFonts w:cs="Times New Roman"/>
          <w:szCs w:val="24"/>
        </w:rPr>
        <w:t xml:space="preserve">, </w:t>
      </w:r>
      <w:r w:rsidRPr="00FA38B2">
        <w:rPr>
          <w:rFonts w:cs="Times New Roman"/>
          <w:i/>
          <w:szCs w:val="24"/>
        </w:rPr>
        <w:t>32</w:t>
      </w:r>
      <w:r w:rsidRPr="00FA38B2">
        <w:rPr>
          <w:rFonts w:cs="Times New Roman"/>
          <w:szCs w:val="24"/>
        </w:rPr>
        <w:t>(1), 155-169.</w:t>
      </w:r>
    </w:p>
    <w:p w14:paraId="4F5A27CF" w14:textId="77777777" w:rsidR="009E1933" w:rsidRPr="00FA38B2" w:rsidRDefault="009E1933" w:rsidP="0015321A">
      <w:pPr>
        <w:ind w:left="720" w:hanging="720"/>
        <w:rPr>
          <w:rFonts w:cs="Times New Roman"/>
          <w:szCs w:val="24"/>
        </w:rPr>
      </w:pPr>
      <w:r w:rsidRPr="00FA38B2">
        <w:rPr>
          <w:rFonts w:cs="Times New Roman"/>
          <w:szCs w:val="24"/>
        </w:rPr>
        <w:t xml:space="preserve">Merriam, S. B., &amp; </w:t>
      </w:r>
      <w:proofErr w:type="spellStart"/>
      <w:r w:rsidRPr="00FA38B2">
        <w:rPr>
          <w:rFonts w:cs="Times New Roman"/>
          <w:szCs w:val="24"/>
        </w:rPr>
        <w:t>Tisdell</w:t>
      </w:r>
      <w:proofErr w:type="spellEnd"/>
      <w:r w:rsidRPr="00FA38B2">
        <w:rPr>
          <w:rFonts w:cs="Times New Roman"/>
          <w:szCs w:val="24"/>
        </w:rPr>
        <w:t xml:space="preserve">, E. J. (2015). </w:t>
      </w:r>
      <w:r w:rsidRPr="00FA38B2">
        <w:rPr>
          <w:rFonts w:cs="Times New Roman"/>
          <w:i/>
          <w:szCs w:val="24"/>
        </w:rPr>
        <w:t xml:space="preserve">Qualitative research: A guide to design and implementation. </w:t>
      </w:r>
      <w:r w:rsidRPr="00FA38B2">
        <w:rPr>
          <w:rFonts w:cs="Times New Roman"/>
          <w:szCs w:val="24"/>
        </w:rPr>
        <w:t>John Wiley &amp; Sons.</w:t>
      </w:r>
    </w:p>
    <w:p w14:paraId="50B61DE5" w14:textId="77777777" w:rsidR="009E1933" w:rsidRPr="00FA38B2" w:rsidRDefault="009E1933" w:rsidP="0015321A">
      <w:pPr>
        <w:ind w:left="720" w:hanging="720"/>
        <w:rPr>
          <w:rFonts w:cs="Times New Roman"/>
          <w:szCs w:val="24"/>
        </w:rPr>
      </w:pPr>
      <w:r w:rsidRPr="00FA38B2">
        <w:rPr>
          <w:rFonts w:cs="Times New Roman"/>
          <w:szCs w:val="24"/>
        </w:rPr>
        <w:t xml:space="preserve">Miller-Adams, M., &amp; Smith, E. (2018). </w:t>
      </w:r>
      <w:r w:rsidRPr="00FA38B2">
        <w:rPr>
          <w:rFonts w:cs="Times New Roman"/>
          <w:i/>
          <w:szCs w:val="24"/>
        </w:rPr>
        <w:t>Promise scholarship programs and local prosperity.</w:t>
      </w:r>
      <w:r w:rsidRPr="00FA38B2">
        <w:rPr>
          <w:rFonts w:cs="Times New Roman"/>
          <w:szCs w:val="24"/>
        </w:rPr>
        <w:t xml:space="preserve"> (Policy Paper No. 2018-019). Upjohn Institute for Employment Research. https://research.upjohn.org/up_policypapers/19</w:t>
      </w:r>
    </w:p>
    <w:p w14:paraId="75A5B108" w14:textId="77777777" w:rsidR="009E1933" w:rsidRPr="00FA38B2" w:rsidRDefault="009E1933" w:rsidP="0015321A">
      <w:pPr>
        <w:ind w:left="720" w:hanging="720"/>
        <w:rPr>
          <w:rFonts w:cs="Times New Roman"/>
          <w:szCs w:val="24"/>
        </w:rPr>
      </w:pPr>
      <w:proofErr w:type="spellStart"/>
      <w:r w:rsidRPr="00FA38B2">
        <w:rPr>
          <w:rFonts w:cs="Times New Roman"/>
          <w:szCs w:val="24"/>
        </w:rPr>
        <w:t>Mishory</w:t>
      </w:r>
      <w:proofErr w:type="spellEnd"/>
      <w:r w:rsidRPr="00FA38B2">
        <w:rPr>
          <w:rFonts w:cs="Times New Roman"/>
          <w:szCs w:val="24"/>
        </w:rPr>
        <w:t xml:space="preserve">, J. (2018). </w:t>
      </w:r>
      <w:r w:rsidRPr="00FA38B2">
        <w:rPr>
          <w:rFonts w:cs="Times New Roman"/>
          <w:i/>
          <w:szCs w:val="24"/>
        </w:rPr>
        <w:t>The future of statewide college promise programs.</w:t>
      </w:r>
      <w:r w:rsidRPr="00FA38B2">
        <w:rPr>
          <w:rFonts w:cs="Times New Roman"/>
          <w:szCs w:val="24"/>
        </w:rPr>
        <w:t xml:space="preserve"> The Century Foundation.</w:t>
      </w:r>
    </w:p>
    <w:p w14:paraId="70856DC0" w14:textId="77777777" w:rsidR="009E1933" w:rsidRPr="00FA38B2" w:rsidRDefault="009E1933" w:rsidP="0015321A">
      <w:pPr>
        <w:ind w:left="720" w:hanging="720"/>
        <w:rPr>
          <w:rFonts w:cs="Times New Roman"/>
          <w:szCs w:val="24"/>
        </w:rPr>
      </w:pPr>
      <w:proofErr w:type="spellStart"/>
      <w:r w:rsidRPr="00FA38B2">
        <w:rPr>
          <w:rFonts w:cs="Times New Roman"/>
          <w:szCs w:val="24"/>
        </w:rPr>
        <w:t>Ritt</w:t>
      </w:r>
      <w:proofErr w:type="spellEnd"/>
      <w:r w:rsidRPr="00FA38B2">
        <w:rPr>
          <w:rFonts w:cs="Times New Roman"/>
          <w:szCs w:val="24"/>
        </w:rPr>
        <w:t xml:space="preserve">, E. (2008). Redefining tradition: Adult learners and higher education. </w:t>
      </w:r>
      <w:r w:rsidRPr="00FA38B2">
        <w:rPr>
          <w:rFonts w:cs="Times New Roman"/>
          <w:i/>
          <w:szCs w:val="24"/>
        </w:rPr>
        <w:t>Adult Learning</w:t>
      </w:r>
      <w:r w:rsidRPr="00FA38B2">
        <w:rPr>
          <w:rFonts w:cs="Times New Roman"/>
          <w:szCs w:val="24"/>
        </w:rPr>
        <w:t xml:space="preserve">, </w:t>
      </w:r>
      <w:r w:rsidRPr="00FA38B2">
        <w:rPr>
          <w:rFonts w:cs="Times New Roman"/>
          <w:i/>
          <w:szCs w:val="24"/>
        </w:rPr>
        <w:t>19</w:t>
      </w:r>
      <w:r w:rsidRPr="00FA38B2">
        <w:rPr>
          <w:rFonts w:cs="Times New Roman"/>
          <w:szCs w:val="24"/>
        </w:rPr>
        <w:t xml:space="preserve">(1-2), 12-16. </w:t>
      </w:r>
      <w:hyperlink r:id="rId20" w:history="1">
        <w:r w:rsidRPr="00FA38B2">
          <w:rPr>
            <w:rStyle w:val="Hyperlink"/>
            <w:rFonts w:cs="Times New Roman"/>
            <w:color w:val="auto"/>
            <w:szCs w:val="24"/>
          </w:rPr>
          <w:t>https://doi.org/10.1177/104515950801900103</w:t>
        </w:r>
      </w:hyperlink>
      <w:r w:rsidRPr="00FA38B2">
        <w:rPr>
          <w:rFonts w:cs="Times New Roman"/>
          <w:szCs w:val="24"/>
        </w:rPr>
        <w:t xml:space="preserve"> </w:t>
      </w:r>
    </w:p>
    <w:p w14:paraId="49D043AE" w14:textId="77777777" w:rsidR="009E1933" w:rsidRPr="00FA38B2" w:rsidRDefault="009E1933" w:rsidP="0015321A">
      <w:pPr>
        <w:ind w:left="720" w:hanging="720"/>
        <w:rPr>
          <w:rFonts w:cs="Times New Roman"/>
          <w:szCs w:val="24"/>
        </w:rPr>
      </w:pPr>
      <w:r w:rsidRPr="00FA38B2">
        <w:rPr>
          <w:rFonts w:cs="Times New Roman"/>
          <w:szCs w:val="24"/>
        </w:rPr>
        <w:t xml:space="preserve">Schlossberg, N. K. (1981). A model for analyzing human adaptation to transition. </w:t>
      </w:r>
      <w:r w:rsidRPr="00FA38B2">
        <w:rPr>
          <w:rFonts w:cs="Times New Roman"/>
          <w:i/>
          <w:szCs w:val="24"/>
        </w:rPr>
        <w:t>The Counseling Psychologist</w:t>
      </w:r>
      <w:r w:rsidRPr="00FA38B2">
        <w:rPr>
          <w:rFonts w:cs="Times New Roman"/>
          <w:szCs w:val="24"/>
        </w:rPr>
        <w:t xml:space="preserve">, </w:t>
      </w:r>
      <w:r w:rsidRPr="00FA38B2">
        <w:rPr>
          <w:rFonts w:cs="Times New Roman"/>
          <w:i/>
          <w:szCs w:val="24"/>
        </w:rPr>
        <w:t>9</w:t>
      </w:r>
      <w:r w:rsidRPr="00FA38B2">
        <w:rPr>
          <w:rFonts w:cs="Times New Roman"/>
          <w:szCs w:val="24"/>
        </w:rPr>
        <w:t xml:space="preserve">(2), 2-18. </w:t>
      </w:r>
      <w:hyperlink r:id="rId21" w:history="1">
        <w:r w:rsidRPr="00FA38B2">
          <w:rPr>
            <w:rStyle w:val="Hyperlink"/>
            <w:rFonts w:cs="Times New Roman"/>
            <w:color w:val="auto"/>
            <w:szCs w:val="24"/>
          </w:rPr>
          <w:t>https://doi.org/10.1177/001100008100900202</w:t>
        </w:r>
      </w:hyperlink>
      <w:r w:rsidRPr="00FA38B2">
        <w:rPr>
          <w:rFonts w:cs="Times New Roman"/>
          <w:szCs w:val="24"/>
        </w:rPr>
        <w:t xml:space="preserve"> </w:t>
      </w:r>
    </w:p>
    <w:p w14:paraId="55C13776" w14:textId="77777777" w:rsidR="009E1933" w:rsidRPr="00FA38B2" w:rsidRDefault="009E1933" w:rsidP="0015321A">
      <w:pPr>
        <w:ind w:left="720" w:hanging="720"/>
        <w:rPr>
          <w:rFonts w:cs="Times New Roman"/>
          <w:szCs w:val="24"/>
        </w:rPr>
      </w:pPr>
      <w:r w:rsidRPr="00FA38B2">
        <w:rPr>
          <w:rFonts w:cs="Times New Roman"/>
          <w:szCs w:val="24"/>
        </w:rPr>
        <w:t xml:space="preserve">Schlossberg, N. K. (1984). The midlife woman as student. In G. K. Baruch (Ed.), </w:t>
      </w:r>
      <w:r w:rsidRPr="00FA38B2">
        <w:rPr>
          <w:rFonts w:cs="Times New Roman"/>
          <w:i/>
          <w:szCs w:val="24"/>
        </w:rPr>
        <w:t>Women in midlife</w:t>
      </w:r>
      <w:r w:rsidRPr="00FA38B2">
        <w:rPr>
          <w:rFonts w:cs="Times New Roman"/>
          <w:szCs w:val="24"/>
        </w:rPr>
        <w:t xml:space="preserve"> (pp. 315-339). Springer.</w:t>
      </w:r>
    </w:p>
    <w:p w14:paraId="70798E1E" w14:textId="77777777" w:rsidR="009E1933" w:rsidRPr="00FA38B2" w:rsidRDefault="009E1933" w:rsidP="0015321A">
      <w:pPr>
        <w:ind w:left="720" w:hanging="720"/>
        <w:rPr>
          <w:rFonts w:cs="Times New Roman"/>
          <w:szCs w:val="24"/>
        </w:rPr>
      </w:pPr>
      <w:r w:rsidRPr="00FA38B2">
        <w:rPr>
          <w:rFonts w:cs="Times New Roman"/>
          <w:szCs w:val="24"/>
        </w:rPr>
        <w:t xml:space="preserve">Seidman, S. (2013). </w:t>
      </w:r>
      <w:r w:rsidRPr="00FA38B2">
        <w:rPr>
          <w:rFonts w:cs="Times New Roman"/>
          <w:i/>
          <w:szCs w:val="24"/>
        </w:rPr>
        <w:t>Beyond the closet: The transformation of gay and lesbian life</w:t>
      </w:r>
      <w:r w:rsidRPr="00FA38B2">
        <w:rPr>
          <w:rFonts w:cs="Times New Roman"/>
          <w:szCs w:val="24"/>
        </w:rPr>
        <w:t>. Routledge.</w:t>
      </w:r>
    </w:p>
    <w:p w14:paraId="024E1674" w14:textId="77777777" w:rsidR="009E1933" w:rsidRPr="00FA38B2" w:rsidRDefault="009E1933" w:rsidP="0015321A">
      <w:pPr>
        <w:ind w:left="720" w:hanging="720"/>
        <w:rPr>
          <w:rFonts w:cs="Times New Roman"/>
          <w:szCs w:val="24"/>
        </w:rPr>
      </w:pPr>
      <w:r w:rsidRPr="00FA38B2">
        <w:rPr>
          <w:rFonts w:cs="Times New Roman"/>
          <w:szCs w:val="24"/>
        </w:rPr>
        <w:lastRenderedPageBreak/>
        <w:t xml:space="preserve">Shaw, K. M. (2004). Using feminist critical policy analysis in the realm of higher education: The case of welfare reform as gendered educational policy. </w:t>
      </w:r>
      <w:r w:rsidRPr="00FA38B2">
        <w:rPr>
          <w:rFonts w:cs="Times New Roman"/>
          <w:i/>
          <w:szCs w:val="24"/>
        </w:rPr>
        <w:t>The Journal of Higher Education</w:t>
      </w:r>
      <w:r w:rsidRPr="00FA38B2">
        <w:rPr>
          <w:rFonts w:cs="Times New Roman"/>
          <w:szCs w:val="24"/>
        </w:rPr>
        <w:t xml:space="preserve">, </w:t>
      </w:r>
      <w:r w:rsidRPr="00FA38B2">
        <w:rPr>
          <w:rFonts w:cs="Times New Roman"/>
          <w:i/>
          <w:szCs w:val="24"/>
        </w:rPr>
        <w:t>75</w:t>
      </w:r>
      <w:r w:rsidRPr="00FA38B2">
        <w:rPr>
          <w:rFonts w:cs="Times New Roman"/>
          <w:szCs w:val="24"/>
        </w:rPr>
        <w:t xml:space="preserve">(1), 56-79. </w:t>
      </w:r>
      <w:hyperlink r:id="rId22" w:history="1">
        <w:r w:rsidRPr="00FA38B2">
          <w:rPr>
            <w:rStyle w:val="Hyperlink"/>
            <w:rFonts w:cs="Times New Roman"/>
            <w:color w:val="auto"/>
            <w:szCs w:val="24"/>
          </w:rPr>
          <w:t>https://doi.org/10.1080/00221546.2004.11778896</w:t>
        </w:r>
      </w:hyperlink>
      <w:r w:rsidRPr="00FA38B2">
        <w:rPr>
          <w:rFonts w:cs="Times New Roman"/>
          <w:szCs w:val="24"/>
        </w:rPr>
        <w:t xml:space="preserve"> </w:t>
      </w:r>
    </w:p>
    <w:p w14:paraId="08C015DE" w14:textId="77777777" w:rsidR="009E1933" w:rsidRPr="00FA38B2" w:rsidRDefault="009E1933" w:rsidP="0015321A">
      <w:pPr>
        <w:ind w:left="720" w:hanging="720"/>
        <w:rPr>
          <w:rFonts w:cs="Times New Roman"/>
          <w:szCs w:val="24"/>
        </w:rPr>
      </w:pPr>
      <w:r w:rsidRPr="00FA38B2">
        <w:rPr>
          <w:rFonts w:cs="Times New Roman"/>
          <w:szCs w:val="24"/>
        </w:rPr>
        <w:t xml:space="preserve">Patton, L. D., </w:t>
      </w:r>
      <w:proofErr w:type="spellStart"/>
      <w:r w:rsidRPr="00FA38B2">
        <w:rPr>
          <w:rFonts w:cs="Times New Roman"/>
          <w:szCs w:val="24"/>
        </w:rPr>
        <w:t>Renn</w:t>
      </w:r>
      <w:proofErr w:type="spellEnd"/>
      <w:r w:rsidRPr="00FA38B2">
        <w:rPr>
          <w:rFonts w:cs="Times New Roman"/>
          <w:szCs w:val="24"/>
        </w:rPr>
        <w:t xml:space="preserve">, K. A., Guido, F. M., &amp; </w:t>
      </w:r>
      <w:proofErr w:type="spellStart"/>
      <w:r w:rsidRPr="00FA38B2">
        <w:rPr>
          <w:rFonts w:cs="Times New Roman"/>
          <w:szCs w:val="24"/>
        </w:rPr>
        <w:t>Quaye</w:t>
      </w:r>
      <w:proofErr w:type="spellEnd"/>
      <w:r w:rsidRPr="00FA38B2">
        <w:rPr>
          <w:rFonts w:cs="Times New Roman"/>
          <w:szCs w:val="24"/>
        </w:rPr>
        <w:t xml:space="preserve">, S. J. (2016). </w:t>
      </w:r>
      <w:r w:rsidRPr="00FA38B2">
        <w:rPr>
          <w:rFonts w:cs="Times New Roman"/>
          <w:i/>
          <w:szCs w:val="24"/>
        </w:rPr>
        <w:t>Student development in college: Theory, research, and practice.</w:t>
      </w:r>
      <w:r w:rsidRPr="00FA38B2">
        <w:rPr>
          <w:rFonts w:cs="Times New Roman"/>
          <w:szCs w:val="24"/>
        </w:rPr>
        <w:t xml:space="preserve"> John Wiley &amp; Sons.</w:t>
      </w:r>
    </w:p>
    <w:p w14:paraId="4C13A231" w14:textId="77777777" w:rsidR="009E1933" w:rsidRPr="00FA38B2" w:rsidRDefault="009E1933" w:rsidP="0015321A">
      <w:pPr>
        <w:ind w:left="720" w:hanging="720"/>
        <w:rPr>
          <w:rFonts w:cs="Times New Roman"/>
          <w:szCs w:val="24"/>
        </w:rPr>
      </w:pPr>
      <w:proofErr w:type="spellStart"/>
      <w:r w:rsidRPr="00FA38B2">
        <w:rPr>
          <w:rFonts w:cs="Times New Roman"/>
          <w:szCs w:val="24"/>
        </w:rPr>
        <w:t>Perna</w:t>
      </w:r>
      <w:proofErr w:type="spellEnd"/>
      <w:r w:rsidRPr="00FA38B2">
        <w:rPr>
          <w:rFonts w:cs="Times New Roman"/>
          <w:szCs w:val="24"/>
        </w:rPr>
        <w:t xml:space="preserve">, L.W. (2006). Studying college access and choice: A proposed conceptual mode. In J. C. Smart (Ed.) </w:t>
      </w:r>
      <w:r w:rsidRPr="00FA38B2">
        <w:rPr>
          <w:rFonts w:cs="Times New Roman"/>
          <w:i/>
          <w:szCs w:val="24"/>
        </w:rPr>
        <w:t>Higher education: Handbook of theory and research, XXI,</w:t>
      </w:r>
      <w:r w:rsidRPr="00FA38B2">
        <w:rPr>
          <w:rFonts w:cs="Times New Roman"/>
          <w:szCs w:val="24"/>
        </w:rPr>
        <w:t xml:space="preserve"> (pp.99-157). Springer.</w:t>
      </w:r>
    </w:p>
    <w:p w14:paraId="284219A5" w14:textId="77777777" w:rsidR="009E1933" w:rsidRPr="00FA38B2" w:rsidRDefault="009E1933" w:rsidP="0015321A">
      <w:pPr>
        <w:ind w:left="720" w:hanging="720"/>
        <w:rPr>
          <w:rFonts w:cs="Times New Roman"/>
          <w:szCs w:val="24"/>
        </w:rPr>
      </w:pPr>
      <w:proofErr w:type="spellStart"/>
      <w:r w:rsidRPr="00FA38B2">
        <w:rPr>
          <w:rFonts w:cs="Times New Roman"/>
          <w:szCs w:val="24"/>
        </w:rPr>
        <w:t>Perna</w:t>
      </w:r>
      <w:proofErr w:type="spellEnd"/>
      <w:r w:rsidRPr="00FA38B2">
        <w:rPr>
          <w:rFonts w:cs="Times New Roman"/>
          <w:szCs w:val="24"/>
        </w:rPr>
        <w:t xml:space="preserve">, L. W., &amp; Leigh, E. W. (2018). Understanding the promise: A typology of state and local college promise programs. </w:t>
      </w:r>
      <w:r w:rsidRPr="00FA38B2">
        <w:rPr>
          <w:rFonts w:cs="Times New Roman"/>
          <w:i/>
          <w:szCs w:val="24"/>
        </w:rPr>
        <w:t>Educational Researcher</w:t>
      </w:r>
      <w:r w:rsidRPr="00FA38B2">
        <w:rPr>
          <w:rFonts w:cs="Times New Roman"/>
          <w:szCs w:val="24"/>
        </w:rPr>
        <w:t xml:space="preserve">, </w:t>
      </w:r>
      <w:r w:rsidRPr="00FA38B2">
        <w:rPr>
          <w:rFonts w:cs="Times New Roman"/>
          <w:i/>
          <w:szCs w:val="24"/>
        </w:rPr>
        <w:t>47</w:t>
      </w:r>
      <w:r w:rsidRPr="00FA38B2">
        <w:rPr>
          <w:rFonts w:cs="Times New Roman"/>
          <w:szCs w:val="24"/>
        </w:rPr>
        <w:t xml:space="preserve">(3), 155-180. </w:t>
      </w:r>
      <w:hyperlink r:id="rId23" w:history="1">
        <w:r w:rsidRPr="00FA38B2">
          <w:rPr>
            <w:rStyle w:val="Hyperlink"/>
            <w:rFonts w:cs="Times New Roman"/>
            <w:color w:val="auto"/>
            <w:szCs w:val="24"/>
          </w:rPr>
          <w:t>https://doi.org/10.3102/0013189X17742653</w:t>
        </w:r>
      </w:hyperlink>
      <w:r w:rsidRPr="00FA38B2">
        <w:rPr>
          <w:rFonts w:cs="Times New Roman"/>
          <w:szCs w:val="24"/>
        </w:rPr>
        <w:t xml:space="preserve"> </w:t>
      </w:r>
    </w:p>
    <w:p w14:paraId="0ADE900F" w14:textId="77777777" w:rsidR="009E1933" w:rsidRPr="00FA38B2" w:rsidRDefault="009E1933" w:rsidP="0015321A">
      <w:pPr>
        <w:ind w:left="720" w:hanging="720"/>
        <w:rPr>
          <w:rFonts w:cs="Times New Roman"/>
          <w:szCs w:val="24"/>
        </w:rPr>
      </w:pPr>
      <w:r w:rsidRPr="00FA38B2">
        <w:rPr>
          <w:rFonts w:cs="Times New Roman"/>
          <w:szCs w:val="24"/>
        </w:rPr>
        <w:t xml:space="preserve">Winkle-Wagner, R. (2009). An asset or an obstacle? The power of peers in African American women’s college transitions. In V. B. Bush, C. R. Chambers, &amp; M. Walpole (Eds.), From </w:t>
      </w:r>
      <w:r w:rsidRPr="00FA38B2">
        <w:rPr>
          <w:rFonts w:cs="Times New Roman"/>
          <w:i/>
          <w:szCs w:val="24"/>
        </w:rPr>
        <w:t>Diplomas to doctorates: The success of Black women in higher education and its implications for equal educational opportunities for all</w:t>
      </w:r>
      <w:r w:rsidRPr="00FA38B2">
        <w:rPr>
          <w:rFonts w:cs="Times New Roman"/>
          <w:szCs w:val="24"/>
        </w:rPr>
        <w:t xml:space="preserve"> (pp. 55-71). Stylus.</w:t>
      </w:r>
    </w:p>
    <w:p w14:paraId="17493D02" w14:textId="77777777" w:rsidR="009E1933" w:rsidRPr="00FA38B2" w:rsidRDefault="009E1933" w:rsidP="0015321A">
      <w:pPr>
        <w:rPr>
          <w:rFonts w:cs="Times New Roman"/>
          <w:szCs w:val="24"/>
        </w:rPr>
      </w:pPr>
      <w:r w:rsidRPr="00FA38B2">
        <w:rPr>
          <w:rFonts w:cs="Times New Roman"/>
          <w:szCs w:val="24"/>
        </w:rPr>
        <w:br w:type="page"/>
      </w:r>
    </w:p>
    <w:p w14:paraId="75859FEB" w14:textId="17834BB8" w:rsidR="00DF08E6" w:rsidRPr="00CC3DFF" w:rsidRDefault="0015321A" w:rsidP="00CC3DFF">
      <w:pPr>
        <w:pStyle w:val="Heading2"/>
        <w:rPr>
          <w:rFonts w:cs="Times New Roman"/>
          <w:szCs w:val="24"/>
        </w:rPr>
      </w:pPr>
      <w:bookmarkStart w:id="14" w:name="_Toc70181489"/>
      <w:r w:rsidRPr="00FA38B2">
        <w:rPr>
          <w:rFonts w:cs="Times New Roman"/>
          <w:szCs w:val="24"/>
        </w:rPr>
        <w:lastRenderedPageBreak/>
        <w:t>Appendix</w:t>
      </w:r>
      <w:r w:rsidR="005D7925">
        <w:rPr>
          <w:rFonts w:cs="Times New Roman"/>
          <w:szCs w:val="24"/>
        </w:rPr>
        <w:t>: Study</w:t>
      </w:r>
      <w:r w:rsidR="00E82E3F" w:rsidRPr="00FA38B2">
        <w:rPr>
          <w:rFonts w:cs="Times New Roman"/>
          <w:szCs w:val="24"/>
        </w:rPr>
        <w:t xml:space="preserve"> 1</w:t>
      </w:r>
      <w:bookmarkEnd w:id="14"/>
    </w:p>
    <w:p w14:paraId="3CDB6498" w14:textId="39C841AC" w:rsidR="009E1933" w:rsidRPr="0041045C" w:rsidRDefault="0041045C" w:rsidP="0041045C">
      <w:pPr>
        <w:pStyle w:val="Caption"/>
        <w:rPr>
          <w:i/>
          <w:szCs w:val="24"/>
        </w:rPr>
      </w:pPr>
      <w:bookmarkStart w:id="15" w:name="_Toc70181511"/>
      <w:r w:rsidRPr="0041045C">
        <w:t xml:space="preserve">Table A </w:t>
      </w:r>
      <w:fldSimple w:instr=" SEQ Table_A \* ARABIC ">
        <w:r w:rsidR="00505A76">
          <w:rPr>
            <w:noProof/>
          </w:rPr>
          <w:t>1</w:t>
        </w:r>
      </w:fldSimple>
      <w:r w:rsidRPr="0041045C">
        <w:t>: Emergent/Theory-Based Themes</w:t>
      </w:r>
      <w:bookmarkStart w:id="16" w:name="_GoBack"/>
      <w:r w:rsidR="008127BE" w:rsidRPr="0041045C">
        <w:rPr>
          <w:rFonts w:cs="Times New Roman"/>
          <w:i/>
          <w:noProof/>
          <w:szCs w:val="24"/>
        </w:rPr>
        <w:drawing>
          <wp:anchor distT="0" distB="0" distL="114300" distR="114300" simplePos="0" relativeHeight="251658240" behindDoc="0" locked="0" layoutInCell="1" hidden="0" allowOverlap="1" wp14:anchorId="4C3653B1" wp14:editId="2B678A74">
            <wp:simplePos x="0" y="0"/>
            <wp:positionH relativeFrom="column">
              <wp:posOffset>-237490</wp:posOffset>
            </wp:positionH>
            <wp:positionV relativeFrom="paragraph">
              <wp:posOffset>236220</wp:posOffset>
            </wp:positionV>
            <wp:extent cx="5943600" cy="5595151"/>
            <wp:effectExtent l="0" t="0" r="0" b="5715"/>
            <wp:wrapSquare wrapText="bothSides" distT="0" distB="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rotWithShape="1">
                    <a:blip r:embed="rId24"/>
                    <a:srcRect t="9877"/>
                    <a:stretch/>
                  </pic:blipFill>
                  <pic:spPr bwMode="auto">
                    <a:xfrm>
                      <a:off x="0" y="0"/>
                      <a:ext cx="5943600" cy="5595151"/>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bookmarkEnd w:id="15"/>
      <w:bookmarkEnd w:id="16"/>
    </w:p>
    <w:p w14:paraId="47AEF25C" w14:textId="77777777" w:rsidR="009E1933" w:rsidRPr="00FA38B2" w:rsidRDefault="009E1933" w:rsidP="0015321A">
      <w:pPr>
        <w:rPr>
          <w:rFonts w:cs="Times New Roman"/>
          <w:b/>
          <w:szCs w:val="24"/>
        </w:rPr>
      </w:pPr>
      <w:r w:rsidRPr="00FA38B2">
        <w:rPr>
          <w:rFonts w:cs="Times New Roman"/>
          <w:szCs w:val="24"/>
        </w:rPr>
        <w:br w:type="page"/>
      </w:r>
    </w:p>
    <w:p w14:paraId="24AD7598" w14:textId="475C3396" w:rsidR="009E1933" w:rsidRPr="0041045C" w:rsidRDefault="0041045C" w:rsidP="0041045C">
      <w:pPr>
        <w:pStyle w:val="Caption"/>
        <w:rPr>
          <w:rFonts w:cs="Times New Roman"/>
          <w:b/>
          <w:szCs w:val="24"/>
        </w:rPr>
      </w:pPr>
      <w:bookmarkStart w:id="17" w:name="_Toc70181512"/>
      <w:r>
        <w:lastRenderedPageBreak/>
        <w:t xml:space="preserve">Table A </w:t>
      </w:r>
      <w:fldSimple w:instr=" SEQ Table_A \* ARABIC ">
        <w:r w:rsidR="00505A76">
          <w:rPr>
            <w:noProof/>
          </w:rPr>
          <w:t>2</w:t>
        </w:r>
      </w:fldSimple>
      <w:r>
        <w:t>: Student Demographic Information</w:t>
      </w:r>
      <w:bookmarkEnd w:id="17"/>
    </w:p>
    <w:tbl>
      <w:tblPr>
        <w:tblW w:w="9895" w:type="dxa"/>
        <w:tblLayout w:type="fixed"/>
        <w:tblLook w:val="0000" w:firstRow="0" w:lastRow="0" w:firstColumn="0" w:lastColumn="0" w:noHBand="0" w:noVBand="0"/>
      </w:tblPr>
      <w:tblGrid>
        <w:gridCol w:w="3325"/>
        <w:gridCol w:w="3420"/>
        <w:gridCol w:w="3150"/>
      </w:tblGrid>
      <w:tr w:rsidR="009E1933" w:rsidRPr="00FA38B2" w14:paraId="48E52126" w14:textId="77777777" w:rsidTr="00CB794C">
        <w:trPr>
          <w:trHeight w:val="206"/>
        </w:trPr>
        <w:tc>
          <w:tcPr>
            <w:tcW w:w="6745" w:type="dxa"/>
            <w:gridSpan w:val="2"/>
            <w:tcBorders>
              <w:top w:val="single" w:sz="4" w:space="0" w:color="auto"/>
            </w:tcBorders>
          </w:tcPr>
          <w:p w14:paraId="2D851FA9" w14:textId="77777777" w:rsidR="009E1933" w:rsidRPr="00FA38B2" w:rsidRDefault="009E1933" w:rsidP="0015321A">
            <w:pPr>
              <w:spacing w:line="240" w:lineRule="auto"/>
              <w:rPr>
                <w:rFonts w:cs="Times New Roman"/>
                <w:szCs w:val="24"/>
              </w:rPr>
            </w:pPr>
          </w:p>
        </w:tc>
        <w:tc>
          <w:tcPr>
            <w:tcW w:w="3150" w:type="dxa"/>
            <w:tcBorders>
              <w:top w:val="single" w:sz="4" w:space="0" w:color="auto"/>
            </w:tcBorders>
          </w:tcPr>
          <w:p w14:paraId="671C6F42" w14:textId="77777777" w:rsidR="009E1933" w:rsidRPr="00FA38B2" w:rsidRDefault="009E1933" w:rsidP="0015321A">
            <w:pPr>
              <w:spacing w:line="240" w:lineRule="auto"/>
              <w:rPr>
                <w:rFonts w:cs="Times New Roman"/>
                <w:szCs w:val="24"/>
              </w:rPr>
            </w:pPr>
          </w:p>
        </w:tc>
      </w:tr>
      <w:tr w:rsidR="009E1933" w:rsidRPr="00FA38B2" w14:paraId="2F0923E3" w14:textId="77777777" w:rsidTr="009E1933">
        <w:tc>
          <w:tcPr>
            <w:tcW w:w="6745" w:type="dxa"/>
            <w:gridSpan w:val="2"/>
            <w:tcBorders>
              <w:bottom w:val="single" w:sz="4" w:space="0" w:color="auto"/>
            </w:tcBorders>
          </w:tcPr>
          <w:p w14:paraId="19359768" w14:textId="77777777" w:rsidR="009E1933" w:rsidRPr="00FA38B2" w:rsidRDefault="009E1933" w:rsidP="0015321A">
            <w:pPr>
              <w:spacing w:after="120" w:line="240" w:lineRule="auto"/>
              <w:rPr>
                <w:rFonts w:cs="Times New Roman"/>
                <w:szCs w:val="24"/>
              </w:rPr>
            </w:pPr>
            <w:r w:rsidRPr="00FA38B2">
              <w:rPr>
                <w:rFonts w:cs="Times New Roman"/>
                <w:szCs w:val="24"/>
              </w:rPr>
              <w:t xml:space="preserve">Understanding How Students Reconnect: Participant Demographics (n=23) </w:t>
            </w:r>
          </w:p>
        </w:tc>
        <w:tc>
          <w:tcPr>
            <w:tcW w:w="3150" w:type="dxa"/>
            <w:tcBorders>
              <w:bottom w:val="single" w:sz="4" w:space="0" w:color="auto"/>
            </w:tcBorders>
          </w:tcPr>
          <w:p w14:paraId="37FE3A23" w14:textId="14530DAF" w:rsidR="009E1933" w:rsidRPr="00FA38B2" w:rsidRDefault="00DD68DC" w:rsidP="0015321A">
            <w:pPr>
              <w:spacing w:after="120" w:line="240" w:lineRule="auto"/>
              <w:rPr>
                <w:rFonts w:cs="Times New Roman"/>
                <w:szCs w:val="24"/>
              </w:rPr>
            </w:pPr>
            <w:r w:rsidRPr="00FA38B2">
              <w:rPr>
                <w:rFonts w:cs="Times New Roman"/>
                <w:szCs w:val="24"/>
              </w:rPr>
              <w:t>Statewide</w:t>
            </w:r>
            <w:r w:rsidR="009E1933" w:rsidRPr="00FA38B2">
              <w:rPr>
                <w:rFonts w:cs="Times New Roman"/>
                <w:szCs w:val="24"/>
              </w:rPr>
              <w:t xml:space="preserve"> 2018-19 Reconnect Applicants </w:t>
            </w:r>
          </w:p>
        </w:tc>
      </w:tr>
      <w:tr w:rsidR="009E1933" w:rsidRPr="00FA38B2" w14:paraId="75487CC7" w14:textId="77777777" w:rsidTr="009E1933">
        <w:tc>
          <w:tcPr>
            <w:tcW w:w="3325" w:type="dxa"/>
            <w:tcBorders>
              <w:top w:val="single" w:sz="4" w:space="0" w:color="auto"/>
            </w:tcBorders>
          </w:tcPr>
          <w:p w14:paraId="0CB286C5" w14:textId="77777777" w:rsidR="009E1933" w:rsidRPr="00FA38B2" w:rsidRDefault="009E1933" w:rsidP="0015321A">
            <w:pPr>
              <w:spacing w:after="120" w:line="240" w:lineRule="auto"/>
              <w:rPr>
                <w:rFonts w:cs="Times New Roman"/>
                <w:szCs w:val="24"/>
              </w:rPr>
            </w:pPr>
            <w:r w:rsidRPr="00FA38B2">
              <w:rPr>
                <w:rFonts w:cs="Times New Roman"/>
                <w:szCs w:val="24"/>
              </w:rPr>
              <w:t xml:space="preserve">Race/Ethnicity </w:t>
            </w:r>
          </w:p>
        </w:tc>
        <w:tc>
          <w:tcPr>
            <w:tcW w:w="3420" w:type="dxa"/>
            <w:tcBorders>
              <w:top w:val="single" w:sz="4" w:space="0" w:color="auto"/>
            </w:tcBorders>
          </w:tcPr>
          <w:p w14:paraId="37E8FC19" w14:textId="77777777" w:rsidR="009E1933" w:rsidRPr="00FA38B2" w:rsidRDefault="009E1933" w:rsidP="0015321A">
            <w:pPr>
              <w:spacing w:after="120" w:line="240" w:lineRule="auto"/>
              <w:rPr>
                <w:rFonts w:cs="Times New Roman"/>
                <w:szCs w:val="24"/>
              </w:rPr>
            </w:pPr>
            <w:r w:rsidRPr="00FA38B2">
              <w:rPr>
                <w:rFonts w:cs="Times New Roman"/>
                <w:szCs w:val="24"/>
              </w:rPr>
              <w:t xml:space="preserve">65% White/Caucasian </w:t>
            </w:r>
          </w:p>
          <w:p w14:paraId="001C1E55" w14:textId="77777777" w:rsidR="009E1933" w:rsidRPr="00FA38B2" w:rsidRDefault="009E1933" w:rsidP="0015321A">
            <w:pPr>
              <w:spacing w:after="120" w:line="240" w:lineRule="auto"/>
              <w:rPr>
                <w:rFonts w:cs="Times New Roman"/>
                <w:szCs w:val="24"/>
              </w:rPr>
            </w:pPr>
            <w:r w:rsidRPr="00FA38B2">
              <w:rPr>
                <w:rFonts w:cs="Times New Roman"/>
                <w:szCs w:val="24"/>
              </w:rPr>
              <w:t xml:space="preserve">30% Black/African American </w:t>
            </w:r>
          </w:p>
          <w:p w14:paraId="51C44EC9" w14:textId="77777777" w:rsidR="009E1933" w:rsidRPr="00FA38B2" w:rsidRDefault="009E1933" w:rsidP="0015321A">
            <w:pPr>
              <w:spacing w:after="120" w:line="240" w:lineRule="auto"/>
              <w:rPr>
                <w:rFonts w:cs="Times New Roman"/>
                <w:szCs w:val="24"/>
              </w:rPr>
            </w:pPr>
            <w:r w:rsidRPr="00FA38B2">
              <w:rPr>
                <w:rFonts w:cs="Times New Roman"/>
                <w:szCs w:val="24"/>
              </w:rPr>
              <w:t xml:space="preserve">5% Other </w:t>
            </w:r>
          </w:p>
        </w:tc>
        <w:tc>
          <w:tcPr>
            <w:tcW w:w="3150" w:type="dxa"/>
            <w:tcBorders>
              <w:top w:val="single" w:sz="4" w:space="0" w:color="auto"/>
            </w:tcBorders>
          </w:tcPr>
          <w:p w14:paraId="730F5FCB" w14:textId="77777777" w:rsidR="009E1933" w:rsidRPr="00FA38B2" w:rsidRDefault="009E1933" w:rsidP="0015321A">
            <w:pPr>
              <w:spacing w:after="120" w:line="240" w:lineRule="auto"/>
              <w:rPr>
                <w:rFonts w:cs="Times New Roman"/>
                <w:szCs w:val="24"/>
              </w:rPr>
            </w:pPr>
            <w:r w:rsidRPr="00FA38B2">
              <w:rPr>
                <w:rFonts w:cs="Times New Roman"/>
                <w:szCs w:val="24"/>
              </w:rPr>
              <w:t xml:space="preserve">65% White/Caucasian </w:t>
            </w:r>
          </w:p>
          <w:p w14:paraId="2FDAD0C1" w14:textId="77777777" w:rsidR="009E1933" w:rsidRPr="00FA38B2" w:rsidRDefault="009E1933" w:rsidP="0015321A">
            <w:pPr>
              <w:spacing w:after="120" w:line="240" w:lineRule="auto"/>
              <w:rPr>
                <w:rFonts w:cs="Times New Roman"/>
                <w:szCs w:val="24"/>
              </w:rPr>
            </w:pPr>
            <w:r w:rsidRPr="00FA38B2">
              <w:rPr>
                <w:rFonts w:cs="Times New Roman"/>
                <w:szCs w:val="24"/>
              </w:rPr>
              <w:t xml:space="preserve">26% Black/African American </w:t>
            </w:r>
          </w:p>
          <w:p w14:paraId="78874610" w14:textId="77777777" w:rsidR="009E1933" w:rsidRPr="00FA38B2" w:rsidRDefault="009E1933" w:rsidP="0015321A">
            <w:pPr>
              <w:spacing w:after="120" w:line="240" w:lineRule="auto"/>
              <w:rPr>
                <w:rFonts w:cs="Times New Roman"/>
                <w:szCs w:val="24"/>
              </w:rPr>
            </w:pPr>
            <w:r w:rsidRPr="00FA38B2">
              <w:rPr>
                <w:rFonts w:cs="Times New Roman"/>
                <w:szCs w:val="24"/>
              </w:rPr>
              <w:t xml:space="preserve">6% Other/Unknown </w:t>
            </w:r>
          </w:p>
          <w:p w14:paraId="7897DEBA" w14:textId="77777777" w:rsidR="009E1933" w:rsidRPr="00FA38B2" w:rsidRDefault="009E1933" w:rsidP="0015321A">
            <w:pPr>
              <w:spacing w:after="120" w:line="240" w:lineRule="auto"/>
              <w:rPr>
                <w:rFonts w:cs="Times New Roman"/>
                <w:szCs w:val="24"/>
              </w:rPr>
            </w:pPr>
            <w:r w:rsidRPr="00FA38B2">
              <w:rPr>
                <w:rFonts w:cs="Times New Roman"/>
                <w:szCs w:val="24"/>
              </w:rPr>
              <w:t xml:space="preserve">4% Hispanic </w:t>
            </w:r>
          </w:p>
        </w:tc>
      </w:tr>
      <w:tr w:rsidR="009E1933" w:rsidRPr="00FA38B2" w14:paraId="104CD51C" w14:textId="77777777" w:rsidTr="009E1933">
        <w:tc>
          <w:tcPr>
            <w:tcW w:w="3325" w:type="dxa"/>
          </w:tcPr>
          <w:p w14:paraId="78E7DE31" w14:textId="77777777" w:rsidR="009E1933" w:rsidRPr="00FA38B2" w:rsidRDefault="009E1933" w:rsidP="0015321A">
            <w:pPr>
              <w:spacing w:after="120" w:line="240" w:lineRule="auto"/>
              <w:rPr>
                <w:rFonts w:cs="Times New Roman"/>
                <w:szCs w:val="24"/>
              </w:rPr>
            </w:pPr>
            <w:r w:rsidRPr="00FA38B2">
              <w:rPr>
                <w:rFonts w:cs="Times New Roman"/>
                <w:szCs w:val="24"/>
              </w:rPr>
              <w:t xml:space="preserve">Average Age </w:t>
            </w:r>
          </w:p>
        </w:tc>
        <w:tc>
          <w:tcPr>
            <w:tcW w:w="3420" w:type="dxa"/>
          </w:tcPr>
          <w:p w14:paraId="72440066" w14:textId="77777777" w:rsidR="009E1933" w:rsidRPr="00FA38B2" w:rsidRDefault="009E1933" w:rsidP="0015321A">
            <w:pPr>
              <w:spacing w:after="120" w:line="240" w:lineRule="auto"/>
              <w:rPr>
                <w:rFonts w:cs="Times New Roman"/>
                <w:szCs w:val="24"/>
              </w:rPr>
            </w:pPr>
            <w:r w:rsidRPr="00FA38B2">
              <w:rPr>
                <w:rFonts w:cs="Times New Roman"/>
                <w:szCs w:val="24"/>
              </w:rPr>
              <w:t>40</w:t>
            </w:r>
          </w:p>
        </w:tc>
        <w:tc>
          <w:tcPr>
            <w:tcW w:w="3150" w:type="dxa"/>
          </w:tcPr>
          <w:p w14:paraId="35D039F9" w14:textId="77777777" w:rsidR="009E1933" w:rsidRPr="00FA38B2" w:rsidRDefault="009E1933" w:rsidP="0015321A">
            <w:pPr>
              <w:spacing w:after="120" w:line="240" w:lineRule="auto"/>
              <w:rPr>
                <w:rFonts w:cs="Times New Roman"/>
                <w:szCs w:val="24"/>
              </w:rPr>
            </w:pPr>
            <w:r w:rsidRPr="00FA38B2">
              <w:rPr>
                <w:rFonts w:cs="Times New Roman"/>
                <w:szCs w:val="24"/>
              </w:rPr>
              <w:t>32</w:t>
            </w:r>
          </w:p>
        </w:tc>
      </w:tr>
      <w:tr w:rsidR="009E1933" w:rsidRPr="00FA38B2" w14:paraId="06FEA570" w14:textId="77777777" w:rsidTr="009E1933">
        <w:tc>
          <w:tcPr>
            <w:tcW w:w="3325" w:type="dxa"/>
          </w:tcPr>
          <w:p w14:paraId="6E9849DE" w14:textId="77777777" w:rsidR="009E1933" w:rsidRPr="00FA38B2" w:rsidRDefault="009E1933" w:rsidP="0015321A">
            <w:pPr>
              <w:spacing w:after="120" w:line="240" w:lineRule="auto"/>
              <w:rPr>
                <w:rFonts w:cs="Times New Roman"/>
                <w:szCs w:val="24"/>
              </w:rPr>
            </w:pPr>
            <w:r w:rsidRPr="00FA38B2">
              <w:rPr>
                <w:rFonts w:cs="Times New Roman"/>
                <w:szCs w:val="24"/>
              </w:rPr>
              <w:t xml:space="preserve">Average Semester Credit Hours </w:t>
            </w:r>
          </w:p>
        </w:tc>
        <w:tc>
          <w:tcPr>
            <w:tcW w:w="3420" w:type="dxa"/>
          </w:tcPr>
          <w:p w14:paraId="6356BA6A" w14:textId="77777777" w:rsidR="009E1933" w:rsidRPr="00FA38B2" w:rsidRDefault="009E1933" w:rsidP="0015321A">
            <w:pPr>
              <w:spacing w:after="120" w:line="240" w:lineRule="auto"/>
              <w:rPr>
                <w:rFonts w:cs="Times New Roman"/>
                <w:szCs w:val="24"/>
              </w:rPr>
            </w:pPr>
            <w:r w:rsidRPr="00FA38B2">
              <w:rPr>
                <w:rFonts w:cs="Times New Roman"/>
                <w:szCs w:val="24"/>
              </w:rPr>
              <w:t xml:space="preserve">8.5 </w:t>
            </w:r>
          </w:p>
        </w:tc>
        <w:tc>
          <w:tcPr>
            <w:tcW w:w="3150" w:type="dxa"/>
          </w:tcPr>
          <w:p w14:paraId="113A5C96" w14:textId="77777777" w:rsidR="009E1933" w:rsidRPr="00FA38B2" w:rsidRDefault="009E1933" w:rsidP="0015321A">
            <w:pPr>
              <w:spacing w:after="120" w:line="240" w:lineRule="auto"/>
              <w:rPr>
                <w:rFonts w:cs="Times New Roman"/>
                <w:szCs w:val="24"/>
              </w:rPr>
            </w:pPr>
            <w:r w:rsidRPr="00FA38B2">
              <w:rPr>
                <w:rFonts w:cs="Times New Roman"/>
                <w:szCs w:val="24"/>
              </w:rPr>
              <w:t>N/A</w:t>
            </w:r>
          </w:p>
        </w:tc>
      </w:tr>
      <w:tr w:rsidR="009E1933" w:rsidRPr="00FA38B2" w14:paraId="37494171" w14:textId="77777777" w:rsidTr="009E1933">
        <w:tc>
          <w:tcPr>
            <w:tcW w:w="3325" w:type="dxa"/>
          </w:tcPr>
          <w:p w14:paraId="721D5CFA" w14:textId="77777777" w:rsidR="009E1933" w:rsidRPr="00FA38B2" w:rsidRDefault="009E1933" w:rsidP="0015321A">
            <w:pPr>
              <w:spacing w:after="120" w:line="240" w:lineRule="auto"/>
              <w:rPr>
                <w:rFonts w:cs="Times New Roman"/>
                <w:szCs w:val="24"/>
              </w:rPr>
            </w:pPr>
            <w:r w:rsidRPr="00FA38B2">
              <w:rPr>
                <w:rFonts w:cs="Times New Roman"/>
                <w:szCs w:val="24"/>
              </w:rPr>
              <w:t xml:space="preserve">Average Years Since Last Attended College </w:t>
            </w:r>
          </w:p>
        </w:tc>
        <w:tc>
          <w:tcPr>
            <w:tcW w:w="3420" w:type="dxa"/>
          </w:tcPr>
          <w:p w14:paraId="6B84D1DD" w14:textId="77777777" w:rsidR="009E1933" w:rsidRPr="00FA38B2" w:rsidRDefault="009E1933" w:rsidP="0015321A">
            <w:pPr>
              <w:spacing w:after="120" w:line="240" w:lineRule="auto"/>
              <w:rPr>
                <w:rFonts w:cs="Times New Roman"/>
                <w:szCs w:val="24"/>
              </w:rPr>
            </w:pPr>
            <w:r w:rsidRPr="00FA38B2">
              <w:rPr>
                <w:rFonts w:cs="Times New Roman"/>
                <w:szCs w:val="24"/>
              </w:rPr>
              <w:t>10.5</w:t>
            </w:r>
          </w:p>
        </w:tc>
        <w:tc>
          <w:tcPr>
            <w:tcW w:w="3150" w:type="dxa"/>
          </w:tcPr>
          <w:p w14:paraId="6173EC9E" w14:textId="77777777" w:rsidR="009E1933" w:rsidRPr="00FA38B2" w:rsidRDefault="009E1933" w:rsidP="0015321A">
            <w:pPr>
              <w:spacing w:after="120" w:line="240" w:lineRule="auto"/>
              <w:rPr>
                <w:rFonts w:cs="Times New Roman"/>
                <w:szCs w:val="24"/>
              </w:rPr>
            </w:pPr>
            <w:r w:rsidRPr="00FA38B2">
              <w:rPr>
                <w:rFonts w:cs="Times New Roman"/>
                <w:szCs w:val="24"/>
              </w:rPr>
              <w:t>N/A</w:t>
            </w:r>
          </w:p>
        </w:tc>
      </w:tr>
      <w:tr w:rsidR="009E1933" w:rsidRPr="00FA38B2" w14:paraId="195B2580" w14:textId="77777777" w:rsidTr="009E1933">
        <w:tc>
          <w:tcPr>
            <w:tcW w:w="3325" w:type="dxa"/>
          </w:tcPr>
          <w:p w14:paraId="10604FF0" w14:textId="77777777" w:rsidR="009E1933" w:rsidRPr="00FA38B2" w:rsidRDefault="009E1933" w:rsidP="0015321A">
            <w:pPr>
              <w:spacing w:after="120" w:line="240" w:lineRule="auto"/>
              <w:rPr>
                <w:rFonts w:cs="Times New Roman"/>
                <w:szCs w:val="24"/>
              </w:rPr>
            </w:pPr>
            <w:r w:rsidRPr="00FA38B2">
              <w:rPr>
                <w:rFonts w:cs="Times New Roman"/>
                <w:szCs w:val="24"/>
              </w:rPr>
              <w:t xml:space="preserve">Employment Status </w:t>
            </w:r>
          </w:p>
        </w:tc>
        <w:tc>
          <w:tcPr>
            <w:tcW w:w="3420" w:type="dxa"/>
          </w:tcPr>
          <w:p w14:paraId="59E77364" w14:textId="77777777" w:rsidR="009E1933" w:rsidRPr="00FA38B2" w:rsidRDefault="009E1933" w:rsidP="0015321A">
            <w:pPr>
              <w:spacing w:after="120" w:line="240" w:lineRule="auto"/>
              <w:rPr>
                <w:rFonts w:cs="Times New Roman"/>
                <w:szCs w:val="24"/>
              </w:rPr>
            </w:pPr>
            <w:r w:rsidRPr="00FA38B2">
              <w:rPr>
                <w:rFonts w:cs="Times New Roman"/>
                <w:szCs w:val="24"/>
              </w:rPr>
              <w:t xml:space="preserve">50% Employed Full-Time </w:t>
            </w:r>
          </w:p>
          <w:p w14:paraId="1F42AEED" w14:textId="77777777" w:rsidR="009E1933" w:rsidRPr="00FA38B2" w:rsidRDefault="009E1933" w:rsidP="0015321A">
            <w:pPr>
              <w:spacing w:after="120" w:line="240" w:lineRule="auto"/>
              <w:rPr>
                <w:rFonts w:cs="Times New Roman"/>
                <w:szCs w:val="24"/>
              </w:rPr>
            </w:pPr>
            <w:r w:rsidRPr="00FA38B2">
              <w:rPr>
                <w:rFonts w:cs="Times New Roman"/>
                <w:szCs w:val="24"/>
              </w:rPr>
              <w:t xml:space="preserve">25% Employed Part-Time </w:t>
            </w:r>
          </w:p>
          <w:p w14:paraId="5C3D8DA4" w14:textId="77777777" w:rsidR="009E1933" w:rsidRPr="00FA38B2" w:rsidRDefault="009E1933" w:rsidP="0015321A">
            <w:pPr>
              <w:spacing w:after="120" w:line="240" w:lineRule="auto"/>
              <w:rPr>
                <w:rFonts w:cs="Times New Roman"/>
                <w:szCs w:val="24"/>
              </w:rPr>
            </w:pPr>
            <w:r w:rsidRPr="00FA38B2">
              <w:rPr>
                <w:rFonts w:cs="Times New Roman"/>
                <w:szCs w:val="24"/>
              </w:rPr>
              <w:t xml:space="preserve">25% Unemployed </w:t>
            </w:r>
          </w:p>
        </w:tc>
        <w:tc>
          <w:tcPr>
            <w:tcW w:w="3150" w:type="dxa"/>
          </w:tcPr>
          <w:p w14:paraId="406FBAB9" w14:textId="77777777" w:rsidR="009E1933" w:rsidRPr="00FA38B2" w:rsidRDefault="009E1933" w:rsidP="0015321A">
            <w:pPr>
              <w:spacing w:after="120" w:line="240" w:lineRule="auto"/>
              <w:rPr>
                <w:rFonts w:cs="Times New Roman"/>
                <w:szCs w:val="24"/>
              </w:rPr>
            </w:pPr>
            <w:r w:rsidRPr="00FA38B2">
              <w:rPr>
                <w:rFonts w:cs="Times New Roman"/>
                <w:szCs w:val="24"/>
              </w:rPr>
              <w:t>N/A</w:t>
            </w:r>
          </w:p>
        </w:tc>
      </w:tr>
      <w:tr w:rsidR="009E1933" w:rsidRPr="00FA38B2" w14:paraId="4218BB47" w14:textId="77777777" w:rsidTr="009E1933">
        <w:tc>
          <w:tcPr>
            <w:tcW w:w="3325" w:type="dxa"/>
          </w:tcPr>
          <w:p w14:paraId="58BA4E41" w14:textId="77777777" w:rsidR="009E1933" w:rsidRPr="00FA38B2" w:rsidRDefault="009E1933" w:rsidP="0015321A">
            <w:pPr>
              <w:spacing w:after="120" w:line="240" w:lineRule="auto"/>
              <w:rPr>
                <w:rFonts w:cs="Times New Roman"/>
                <w:szCs w:val="24"/>
              </w:rPr>
            </w:pPr>
            <w:r w:rsidRPr="00FA38B2">
              <w:rPr>
                <w:rFonts w:cs="Times New Roman"/>
                <w:szCs w:val="24"/>
              </w:rPr>
              <w:t xml:space="preserve">Marital Status </w:t>
            </w:r>
          </w:p>
        </w:tc>
        <w:tc>
          <w:tcPr>
            <w:tcW w:w="3420" w:type="dxa"/>
          </w:tcPr>
          <w:p w14:paraId="7E58FAA3" w14:textId="77777777" w:rsidR="009E1933" w:rsidRPr="00FA38B2" w:rsidRDefault="009E1933" w:rsidP="0015321A">
            <w:pPr>
              <w:spacing w:after="120" w:line="240" w:lineRule="auto"/>
              <w:rPr>
                <w:rFonts w:cs="Times New Roman"/>
                <w:szCs w:val="24"/>
              </w:rPr>
            </w:pPr>
            <w:r w:rsidRPr="00FA38B2">
              <w:rPr>
                <w:rFonts w:cs="Times New Roman"/>
                <w:szCs w:val="24"/>
              </w:rPr>
              <w:t xml:space="preserve">25% Single/Never Married </w:t>
            </w:r>
          </w:p>
          <w:p w14:paraId="3694360D" w14:textId="77777777" w:rsidR="009E1933" w:rsidRPr="00FA38B2" w:rsidRDefault="009E1933" w:rsidP="0015321A">
            <w:pPr>
              <w:spacing w:after="120" w:line="240" w:lineRule="auto"/>
              <w:rPr>
                <w:rFonts w:cs="Times New Roman"/>
                <w:szCs w:val="24"/>
              </w:rPr>
            </w:pPr>
            <w:r w:rsidRPr="00FA38B2">
              <w:rPr>
                <w:rFonts w:cs="Times New Roman"/>
                <w:szCs w:val="24"/>
              </w:rPr>
              <w:t>50% Married</w:t>
            </w:r>
          </w:p>
          <w:p w14:paraId="6EEA6DDB" w14:textId="77777777" w:rsidR="009E1933" w:rsidRPr="00FA38B2" w:rsidRDefault="009E1933" w:rsidP="0015321A">
            <w:pPr>
              <w:spacing w:after="120" w:line="240" w:lineRule="auto"/>
              <w:rPr>
                <w:rFonts w:cs="Times New Roman"/>
                <w:szCs w:val="24"/>
              </w:rPr>
            </w:pPr>
            <w:r w:rsidRPr="00FA38B2">
              <w:rPr>
                <w:rFonts w:cs="Times New Roman"/>
                <w:szCs w:val="24"/>
              </w:rPr>
              <w:t xml:space="preserve">25% Divorced/Separated </w:t>
            </w:r>
          </w:p>
        </w:tc>
        <w:tc>
          <w:tcPr>
            <w:tcW w:w="3150" w:type="dxa"/>
          </w:tcPr>
          <w:p w14:paraId="3285624C" w14:textId="77777777" w:rsidR="009E1933" w:rsidRPr="00FA38B2" w:rsidRDefault="009E1933" w:rsidP="0015321A">
            <w:pPr>
              <w:spacing w:after="120" w:line="240" w:lineRule="auto"/>
              <w:rPr>
                <w:rFonts w:cs="Times New Roman"/>
                <w:szCs w:val="24"/>
              </w:rPr>
            </w:pPr>
            <w:r w:rsidRPr="00FA38B2">
              <w:rPr>
                <w:rFonts w:cs="Times New Roman"/>
                <w:szCs w:val="24"/>
              </w:rPr>
              <w:t>N/A</w:t>
            </w:r>
          </w:p>
        </w:tc>
      </w:tr>
      <w:tr w:rsidR="009E1933" w:rsidRPr="00FA38B2" w14:paraId="48EF25D8" w14:textId="77777777" w:rsidTr="009E1933">
        <w:tc>
          <w:tcPr>
            <w:tcW w:w="3325" w:type="dxa"/>
            <w:tcBorders>
              <w:bottom w:val="single" w:sz="4" w:space="0" w:color="auto"/>
            </w:tcBorders>
          </w:tcPr>
          <w:p w14:paraId="49D55913" w14:textId="77777777" w:rsidR="009E1933" w:rsidRPr="00FA38B2" w:rsidRDefault="009E1933" w:rsidP="0015321A">
            <w:pPr>
              <w:spacing w:after="120" w:line="240" w:lineRule="auto"/>
              <w:rPr>
                <w:rFonts w:cs="Times New Roman"/>
                <w:szCs w:val="24"/>
              </w:rPr>
            </w:pPr>
            <w:r w:rsidRPr="00FA38B2">
              <w:rPr>
                <w:rFonts w:cs="Times New Roman"/>
                <w:szCs w:val="24"/>
              </w:rPr>
              <w:t>Dependents</w:t>
            </w:r>
          </w:p>
        </w:tc>
        <w:tc>
          <w:tcPr>
            <w:tcW w:w="3420" w:type="dxa"/>
            <w:tcBorders>
              <w:bottom w:val="single" w:sz="4" w:space="0" w:color="auto"/>
            </w:tcBorders>
          </w:tcPr>
          <w:p w14:paraId="18C71648" w14:textId="77777777" w:rsidR="009E1933" w:rsidRPr="00FA38B2" w:rsidRDefault="009E1933" w:rsidP="0015321A">
            <w:pPr>
              <w:spacing w:after="120" w:line="240" w:lineRule="auto"/>
              <w:rPr>
                <w:rFonts w:cs="Times New Roman"/>
                <w:szCs w:val="24"/>
              </w:rPr>
            </w:pPr>
            <w:r w:rsidRPr="00FA38B2">
              <w:rPr>
                <w:rFonts w:cs="Times New Roman"/>
                <w:szCs w:val="24"/>
              </w:rPr>
              <w:t xml:space="preserve">70% Primary Caregiver for Child/Other Dependent </w:t>
            </w:r>
          </w:p>
        </w:tc>
        <w:tc>
          <w:tcPr>
            <w:tcW w:w="3150" w:type="dxa"/>
            <w:tcBorders>
              <w:bottom w:val="single" w:sz="4" w:space="0" w:color="auto"/>
            </w:tcBorders>
          </w:tcPr>
          <w:p w14:paraId="28AE7C9C" w14:textId="77777777" w:rsidR="009E1933" w:rsidRPr="00FA38B2" w:rsidRDefault="009E1933" w:rsidP="0015321A">
            <w:pPr>
              <w:spacing w:after="120" w:line="240" w:lineRule="auto"/>
              <w:rPr>
                <w:rFonts w:cs="Times New Roman"/>
                <w:szCs w:val="24"/>
              </w:rPr>
            </w:pPr>
            <w:r w:rsidRPr="00FA38B2">
              <w:rPr>
                <w:rFonts w:cs="Times New Roman"/>
                <w:szCs w:val="24"/>
              </w:rPr>
              <w:t>56% Primary Caregiver for Child/Other Dependent</w:t>
            </w:r>
          </w:p>
        </w:tc>
      </w:tr>
    </w:tbl>
    <w:p w14:paraId="1B3317B3" w14:textId="67F8A8E4" w:rsidR="009E1933" w:rsidRPr="00FA38B2" w:rsidRDefault="009E1933" w:rsidP="0015321A">
      <w:pPr>
        <w:spacing w:line="240" w:lineRule="auto"/>
        <w:rPr>
          <w:rFonts w:cs="Times New Roman"/>
          <w:szCs w:val="24"/>
        </w:rPr>
      </w:pPr>
      <w:r w:rsidRPr="00FA38B2">
        <w:rPr>
          <w:rFonts w:cs="Times New Roman"/>
          <w:szCs w:val="24"/>
        </w:rPr>
        <w:br w:type="page"/>
      </w:r>
    </w:p>
    <w:p w14:paraId="7836896A" w14:textId="0E5E5A6C" w:rsidR="0041045C" w:rsidRPr="0041045C" w:rsidRDefault="0041045C" w:rsidP="0041045C">
      <w:pPr>
        <w:pStyle w:val="Caption"/>
      </w:pPr>
      <w:bookmarkStart w:id="18" w:name="_Toc70181513"/>
      <w:r>
        <w:lastRenderedPageBreak/>
        <w:t xml:space="preserve">Table A </w:t>
      </w:r>
      <w:fldSimple w:instr=" SEQ Table_A \* ARABIC ">
        <w:r w:rsidR="00505A76">
          <w:rPr>
            <w:noProof/>
          </w:rPr>
          <w:t>3</w:t>
        </w:r>
      </w:fldSimple>
      <w:r>
        <w:t>: Cohort Demographic Information</w:t>
      </w:r>
      <w:bookmarkEnd w:id="18"/>
    </w:p>
    <w:tbl>
      <w:tblPr>
        <w:tblW w:w="9360" w:type="dxa"/>
        <w:tblBorders>
          <w:top w:val="nil"/>
          <w:left w:val="nil"/>
          <w:bottom w:val="nil"/>
          <w:right w:val="nil"/>
          <w:insideH w:val="nil"/>
          <w:insideV w:val="nil"/>
        </w:tblBorders>
        <w:tblLayout w:type="fixed"/>
        <w:tblLook w:val="0400" w:firstRow="0" w:lastRow="0" w:firstColumn="0" w:lastColumn="0" w:noHBand="0" w:noVBand="1"/>
      </w:tblPr>
      <w:tblGrid>
        <w:gridCol w:w="1337"/>
        <w:gridCol w:w="1643"/>
        <w:gridCol w:w="923"/>
        <w:gridCol w:w="616"/>
        <w:gridCol w:w="1996"/>
        <w:gridCol w:w="1570"/>
        <w:gridCol w:w="1275"/>
      </w:tblGrid>
      <w:tr w:rsidR="009E1933" w:rsidRPr="00FA38B2" w14:paraId="5E771B00" w14:textId="77777777">
        <w:trPr>
          <w:trHeight w:val="890"/>
        </w:trPr>
        <w:tc>
          <w:tcPr>
            <w:tcW w:w="1337" w:type="dxa"/>
            <w:tcBorders>
              <w:top w:val="single" w:sz="4" w:space="0" w:color="000000"/>
              <w:bottom w:val="single" w:sz="4" w:space="0" w:color="000000"/>
            </w:tcBorders>
            <w:vAlign w:val="bottom"/>
          </w:tcPr>
          <w:p w14:paraId="1415D0EA" w14:textId="77777777" w:rsidR="009E1933" w:rsidRPr="00FA38B2" w:rsidRDefault="009E1933" w:rsidP="0015321A">
            <w:pPr>
              <w:spacing w:line="240" w:lineRule="auto"/>
              <w:jc w:val="center"/>
              <w:rPr>
                <w:rFonts w:cs="Times New Roman"/>
                <w:szCs w:val="24"/>
              </w:rPr>
            </w:pPr>
            <w:r w:rsidRPr="00FA38B2">
              <w:rPr>
                <w:rFonts w:cs="Times New Roman"/>
                <w:szCs w:val="24"/>
              </w:rPr>
              <w:t>Pseudonym</w:t>
            </w:r>
          </w:p>
          <w:p w14:paraId="23FC686B" w14:textId="77777777" w:rsidR="009E1933" w:rsidRPr="00FA38B2" w:rsidRDefault="009E1933" w:rsidP="0015321A">
            <w:pPr>
              <w:spacing w:line="240" w:lineRule="auto"/>
              <w:jc w:val="center"/>
              <w:rPr>
                <w:rFonts w:cs="Times New Roman"/>
                <w:szCs w:val="24"/>
              </w:rPr>
            </w:pPr>
          </w:p>
        </w:tc>
        <w:tc>
          <w:tcPr>
            <w:tcW w:w="1643" w:type="dxa"/>
            <w:tcBorders>
              <w:top w:val="single" w:sz="4" w:space="0" w:color="000000"/>
              <w:bottom w:val="single" w:sz="4" w:space="0" w:color="000000"/>
            </w:tcBorders>
            <w:vAlign w:val="bottom"/>
          </w:tcPr>
          <w:p w14:paraId="253E8852" w14:textId="77777777" w:rsidR="009E1933" w:rsidRPr="00FA38B2" w:rsidRDefault="009E1933" w:rsidP="0015321A">
            <w:pPr>
              <w:spacing w:line="240" w:lineRule="auto"/>
              <w:jc w:val="center"/>
              <w:rPr>
                <w:rFonts w:cs="Times New Roman"/>
                <w:szCs w:val="24"/>
              </w:rPr>
            </w:pPr>
            <w:r w:rsidRPr="00FA38B2">
              <w:rPr>
                <w:rFonts w:cs="Times New Roman"/>
                <w:szCs w:val="24"/>
              </w:rPr>
              <w:t>Race/Ethnicity</w:t>
            </w:r>
          </w:p>
          <w:p w14:paraId="6B007526" w14:textId="77777777" w:rsidR="009E1933" w:rsidRPr="00FA38B2" w:rsidRDefault="009E1933" w:rsidP="0015321A">
            <w:pPr>
              <w:spacing w:line="240" w:lineRule="auto"/>
              <w:jc w:val="center"/>
              <w:rPr>
                <w:rFonts w:cs="Times New Roman"/>
                <w:szCs w:val="24"/>
              </w:rPr>
            </w:pPr>
          </w:p>
        </w:tc>
        <w:tc>
          <w:tcPr>
            <w:tcW w:w="923" w:type="dxa"/>
            <w:tcBorders>
              <w:top w:val="single" w:sz="4" w:space="0" w:color="000000"/>
              <w:bottom w:val="single" w:sz="4" w:space="0" w:color="000000"/>
            </w:tcBorders>
            <w:vAlign w:val="bottom"/>
          </w:tcPr>
          <w:p w14:paraId="0B9B17F6" w14:textId="77777777" w:rsidR="009E1933" w:rsidRPr="00FA38B2" w:rsidRDefault="009E1933" w:rsidP="0015321A">
            <w:pPr>
              <w:spacing w:line="240" w:lineRule="auto"/>
              <w:jc w:val="center"/>
              <w:rPr>
                <w:rFonts w:cs="Times New Roman"/>
                <w:szCs w:val="24"/>
              </w:rPr>
            </w:pPr>
            <w:r w:rsidRPr="00FA38B2">
              <w:rPr>
                <w:rFonts w:cs="Times New Roman"/>
                <w:szCs w:val="24"/>
              </w:rPr>
              <w:t>Sex</w:t>
            </w:r>
          </w:p>
          <w:p w14:paraId="57F2F43C" w14:textId="77777777" w:rsidR="009E1933" w:rsidRPr="00FA38B2" w:rsidRDefault="009E1933" w:rsidP="0015321A">
            <w:pPr>
              <w:spacing w:line="240" w:lineRule="auto"/>
              <w:jc w:val="center"/>
              <w:rPr>
                <w:rFonts w:cs="Times New Roman"/>
                <w:szCs w:val="24"/>
              </w:rPr>
            </w:pPr>
          </w:p>
        </w:tc>
        <w:tc>
          <w:tcPr>
            <w:tcW w:w="616" w:type="dxa"/>
            <w:tcBorders>
              <w:top w:val="single" w:sz="4" w:space="0" w:color="000000"/>
              <w:bottom w:val="single" w:sz="4" w:space="0" w:color="000000"/>
            </w:tcBorders>
            <w:vAlign w:val="bottom"/>
          </w:tcPr>
          <w:p w14:paraId="1E9080A9" w14:textId="77777777" w:rsidR="009E1933" w:rsidRPr="00FA38B2" w:rsidRDefault="009E1933" w:rsidP="0015321A">
            <w:pPr>
              <w:spacing w:line="240" w:lineRule="auto"/>
              <w:jc w:val="center"/>
              <w:rPr>
                <w:rFonts w:cs="Times New Roman"/>
                <w:szCs w:val="24"/>
              </w:rPr>
            </w:pPr>
            <w:r w:rsidRPr="00FA38B2">
              <w:rPr>
                <w:rFonts w:cs="Times New Roman"/>
                <w:szCs w:val="24"/>
              </w:rPr>
              <w:t>Age</w:t>
            </w:r>
          </w:p>
          <w:p w14:paraId="28A48539" w14:textId="77777777" w:rsidR="009E1933" w:rsidRPr="00FA38B2" w:rsidRDefault="009E1933" w:rsidP="0015321A">
            <w:pPr>
              <w:spacing w:line="240" w:lineRule="auto"/>
              <w:jc w:val="center"/>
              <w:rPr>
                <w:rFonts w:cs="Times New Roman"/>
                <w:szCs w:val="24"/>
              </w:rPr>
            </w:pPr>
          </w:p>
        </w:tc>
        <w:tc>
          <w:tcPr>
            <w:tcW w:w="1996" w:type="dxa"/>
            <w:tcBorders>
              <w:top w:val="single" w:sz="4" w:space="0" w:color="000000"/>
              <w:bottom w:val="single" w:sz="4" w:space="0" w:color="000000"/>
            </w:tcBorders>
            <w:vAlign w:val="bottom"/>
          </w:tcPr>
          <w:p w14:paraId="37E8FB5F" w14:textId="77777777" w:rsidR="009E1933" w:rsidRPr="00FA38B2" w:rsidRDefault="009E1933" w:rsidP="0015321A">
            <w:pPr>
              <w:spacing w:line="240" w:lineRule="auto"/>
              <w:rPr>
                <w:rFonts w:cs="Times New Roman"/>
                <w:szCs w:val="24"/>
              </w:rPr>
            </w:pPr>
            <w:r w:rsidRPr="00FA38B2">
              <w:rPr>
                <w:rFonts w:cs="Times New Roman"/>
                <w:szCs w:val="24"/>
              </w:rPr>
              <w:t>Years Since Last Attended College</w:t>
            </w:r>
          </w:p>
          <w:p w14:paraId="00003180" w14:textId="77777777" w:rsidR="009E1933" w:rsidRPr="00FA38B2" w:rsidRDefault="009E1933" w:rsidP="0015321A">
            <w:pPr>
              <w:spacing w:line="240" w:lineRule="auto"/>
              <w:jc w:val="center"/>
              <w:rPr>
                <w:rFonts w:cs="Times New Roman"/>
                <w:szCs w:val="24"/>
              </w:rPr>
            </w:pPr>
          </w:p>
        </w:tc>
        <w:tc>
          <w:tcPr>
            <w:tcW w:w="1570" w:type="dxa"/>
            <w:tcBorders>
              <w:top w:val="single" w:sz="4" w:space="0" w:color="000000"/>
              <w:bottom w:val="single" w:sz="4" w:space="0" w:color="000000"/>
            </w:tcBorders>
            <w:vAlign w:val="bottom"/>
          </w:tcPr>
          <w:p w14:paraId="2277A1A4" w14:textId="77777777" w:rsidR="009E1933" w:rsidRPr="00FA38B2" w:rsidRDefault="009E1933" w:rsidP="0015321A">
            <w:pPr>
              <w:spacing w:line="240" w:lineRule="auto"/>
              <w:jc w:val="center"/>
              <w:rPr>
                <w:rFonts w:cs="Times New Roman"/>
                <w:szCs w:val="24"/>
              </w:rPr>
            </w:pPr>
            <w:r w:rsidRPr="00FA38B2">
              <w:rPr>
                <w:rFonts w:cs="Times New Roman"/>
                <w:szCs w:val="24"/>
              </w:rPr>
              <w:t>Primary Caregiver?</w:t>
            </w:r>
          </w:p>
          <w:p w14:paraId="6280D583" w14:textId="77777777" w:rsidR="009E1933" w:rsidRPr="00FA38B2" w:rsidRDefault="009E1933" w:rsidP="0015321A">
            <w:pPr>
              <w:spacing w:line="240" w:lineRule="auto"/>
              <w:jc w:val="center"/>
              <w:rPr>
                <w:rFonts w:cs="Times New Roman"/>
                <w:szCs w:val="24"/>
              </w:rPr>
            </w:pPr>
          </w:p>
        </w:tc>
        <w:tc>
          <w:tcPr>
            <w:tcW w:w="1275" w:type="dxa"/>
            <w:tcBorders>
              <w:top w:val="single" w:sz="4" w:space="0" w:color="000000"/>
              <w:bottom w:val="single" w:sz="4" w:space="0" w:color="000000"/>
            </w:tcBorders>
            <w:vAlign w:val="bottom"/>
          </w:tcPr>
          <w:p w14:paraId="038BEE6A" w14:textId="77777777" w:rsidR="009E1933" w:rsidRPr="00FA38B2" w:rsidRDefault="009E1933" w:rsidP="0015321A">
            <w:pPr>
              <w:spacing w:line="240" w:lineRule="auto"/>
              <w:jc w:val="center"/>
              <w:rPr>
                <w:rFonts w:cs="Times New Roman"/>
                <w:szCs w:val="24"/>
              </w:rPr>
            </w:pPr>
            <w:r w:rsidRPr="00FA38B2">
              <w:rPr>
                <w:rFonts w:cs="Times New Roman"/>
                <w:szCs w:val="24"/>
              </w:rPr>
              <w:t>Marital Status</w:t>
            </w:r>
          </w:p>
          <w:p w14:paraId="2A461A99" w14:textId="77777777" w:rsidR="009E1933" w:rsidRPr="00FA38B2" w:rsidRDefault="009E1933" w:rsidP="0015321A">
            <w:pPr>
              <w:spacing w:line="240" w:lineRule="auto"/>
              <w:jc w:val="center"/>
              <w:rPr>
                <w:rFonts w:cs="Times New Roman"/>
                <w:szCs w:val="24"/>
              </w:rPr>
            </w:pPr>
          </w:p>
        </w:tc>
      </w:tr>
      <w:tr w:rsidR="009E1933" w:rsidRPr="00FA38B2" w14:paraId="59FCEB3E" w14:textId="77777777">
        <w:tc>
          <w:tcPr>
            <w:tcW w:w="1337" w:type="dxa"/>
            <w:tcBorders>
              <w:top w:val="single" w:sz="4" w:space="0" w:color="000000"/>
            </w:tcBorders>
            <w:vAlign w:val="bottom"/>
          </w:tcPr>
          <w:p w14:paraId="1A53AA6A" w14:textId="77777777" w:rsidR="009E1933" w:rsidRPr="00FA38B2" w:rsidRDefault="009E1933" w:rsidP="0015321A">
            <w:pPr>
              <w:spacing w:line="240" w:lineRule="auto"/>
              <w:jc w:val="center"/>
              <w:rPr>
                <w:rFonts w:cs="Times New Roman"/>
                <w:i/>
                <w:szCs w:val="24"/>
              </w:rPr>
            </w:pPr>
          </w:p>
        </w:tc>
        <w:tc>
          <w:tcPr>
            <w:tcW w:w="1643" w:type="dxa"/>
            <w:tcBorders>
              <w:top w:val="single" w:sz="4" w:space="0" w:color="000000"/>
            </w:tcBorders>
            <w:vAlign w:val="bottom"/>
          </w:tcPr>
          <w:p w14:paraId="16BD6F10" w14:textId="77777777" w:rsidR="009E1933" w:rsidRPr="00FA38B2" w:rsidRDefault="009E1933" w:rsidP="0015321A">
            <w:pPr>
              <w:spacing w:line="240" w:lineRule="auto"/>
              <w:jc w:val="center"/>
              <w:rPr>
                <w:rFonts w:cs="Times New Roman"/>
                <w:i/>
                <w:szCs w:val="24"/>
              </w:rPr>
            </w:pPr>
          </w:p>
        </w:tc>
        <w:tc>
          <w:tcPr>
            <w:tcW w:w="923" w:type="dxa"/>
            <w:tcBorders>
              <w:top w:val="single" w:sz="4" w:space="0" w:color="000000"/>
            </w:tcBorders>
            <w:vAlign w:val="bottom"/>
          </w:tcPr>
          <w:p w14:paraId="7C5A8862" w14:textId="77777777" w:rsidR="009E1933" w:rsidRPr="00FA38B2" w:rsidRDefault="009E1933" w:rsidP="0015321A">
            <w:pPr>
              <w:spacing w:line="240" w:lineRule="auto"/>
              <w:jc w:val="center"/>
              <w:rPr>
                <w:rFonts w:cs="Times New Roman"/>
                <w:i/>
                <w:szCs w:val="24"/>
              </w:rPr>
            </w:pPr>
          </w:p>
        </w:tc>
        <w:tc>
          <w:tcPr>
            <w:tcW w:w="616" w:type="dxa"/>
            <w:tcBorders>
              <w:top w:val="single" w:sz="4" w:space="0" w:color="000000"/>
            </w:tcBorders>
            <w:vAlign w:val="bottom"/>
          </w:tcPr>
          <w:p w14:paraId="382F140F" w14:textId="77777777" w:rsidR="009E1933" w:rsidRPr="00FA38B2" w:rsidRDefault="009E1933" w:rsidP="0015321A">
            <w:pPr>
              <w:spacing w:line="240" w:lineRule="auto"/>
              <w:jc w:val="center"/>
              <w:rPr>
                <w:rFonts w:cs="Times New Roman"/>
                <w:i/>
                <w:szCs w:val="24"/>
              </w:rPr>
            </w:pPr>
          </w:p>
        </w:tc>
        <w:tc>
          <w:tcPr>
            <w:tcW w:w="1996" w:type="dxa"/>
            <w:tcBorders>
              <w:top w:val="single" w:sz="4" w:space="0" w:color="000000"/>
            </w:tcBorders>
            <w:vAlign w:val="bottom"/>
          </w:tcPr>
          <w:p w14:paraId="0121520E" w14:textId="77777777" w:rsidR="009E1933" w:rsidRPr="00FA38B2" w:rsidRDefault="009E1933" w:rsidP="0015321A">
            <w:pPr>
              <w:spacing w:line="240" w:lineRule="auto"/>
              <w:jc w:val="center"/>
              <w:rPr>
                <w:rFonts w:cs="Times New Roman"/>
                <w:i/>
                <w:szCs w:val="24"/>
              </w:rPr>
            </w:pPr>
          </w:p>
        </w:tc>
        <w:tc>
          <w:tcPr>
            <w:tcW w:w="1570" w:type="dxa"/>
            <w:tcBorders>
              <w:top w:val="single" w:sz="4" w:space="0" w:color="000000"/>
            </w:tcBorders>
            <w:vAlign w:val="bottom"/>
          </w:tcPr>
          <w:p w14:paraId="765584F3" w14:textId="77777777" w:rsidR="009E1933" w:rsidRPr="00FA38B2" w:rsidRDefault="009E1933" w:rsidP="0015321A">
            <w:pPr>
              <w:spacing w:line="240" w:lineRule="auto"/>
              <w:jc w:val="center"/>
              <w:rPr>
                <w:rFonts w:cs="Times New Roman"/>
                <w:i/>
                <w:szCs w:val="24"/>
              </w:rPr>
            </w:pPr>
          </w:p>
        </w:tc>
        <w:tc>
          <w:tcPr>
            <w:tcW w:w="1275" w:type="dxa"/>
            <w:tcBorders>
              <w:top w:val="single" w:sz="4" w:space="0" w:color="000000"/>
            </w:tcBorders>
            <w:vAlign w:val="bottom"/>
          </w:tcPr>
          <w:p w14:paraId="49DA6260" w14:textId="77777777" w:rsidR="009E1933" w:rsidRPr="00FA38B2" w:rsidRDefault="009E1933" w:rsidP="0015321A">
            <w:pPr>
              <w:spacing w:line="240" w:lineRule="auto"/>
              <w:jc w:val="center"/>
              <w:rPr>
                <w:rFonts w:cs="Times New Roman"/>
                <w:i/>
                <w:szCs w:val="24"/>
              </w:rPr>
            </w:pPr>
          </w:p>
        </w:tc>
      </w:tr>
      <w:tr w:rsidR="009E1933" w:rsidRPr="00FA38B2" w14:paraId="4A86D8DB" w14:textId="77777777">
        <w:tc>
          <w:tcPr>
            <w:tcW w:w="1337" w:type="dxa"/>
          </w:tcPr>
          <w:p w14:paraId="56D998B7" w14:textId="77777777" w:rsidR="009E1933" w:rsidRPr="00FA38B2" w:rsidRDefault="009E1933" w:rsidP="0015321A">
            <w:pPr>
              <w:spacing w:line="240" w:lineRule="auto"/>
              <w:rPr>
                <w:rFonts w:cs="Times New Roman"/>
                <w:szCs w:val="24"/>
              </w:rPr>
            </w:pPr>
            <w:r w:rsidRPr="00FA38B2">
              <w:rPr>
                <w:rFonts w:cs="Times New Roman"/>
                <w:szCs w:val="24"/>
              </w:rPr>
              <w:t>Ashley</w:t>
            </w:r>
          </w:p>
        </w:tc>
        <w:tc>
          <w:tcPr>
            <w:tcW w:w="1643" w:type="dxa"/>
          </w:tcPr>
          <w:p w14:paraId="74C49399" w14:textId="77777777" w:rsidR="009E1933" w:rsidRPr="00FA38B2" w:rsidRDefault="009E1933" w:rsidP="0015321A">
            <w:pPr>
              <w:spacing w:line="240" w:lineRule="auto"/>
              <w:rPr>
                <w:rFonts w:cs="Times New Roman"/>
                <w:szCs w:val="24"/>
              </w:rPr>
            </w:pPr>
            <w:r w:rsidRPr="00FA38B2">
              <w:rPr>
                <w:rFonts w:cs="Times New Roman"/>
                <w:szCs w:val="24"/>
              </w:rPr>
              <w:t>White</w:t>
            </w:r>
          </w:p>
        </w:tc>
        <w:tc>
          <w:tcPr>
            <w:tcW w:w="923" w:type="dxa"/>
          </w:tcPr>
          <w:p w14:paraId="345F3CBC" w14:textId="77777777" w:rsidR="009E1933" w:rsidRPr="00FA38B2" w:rsidRDefault="009E1933" w:rsidP="0015321A">
            <w:pPr>
              <w:spacing w:line="240" w:lineRule="auto"/>
              <w:rPr>
                <w:rFonts w:cs="Times New Roman"/>
                <w:szCs w:val="24"/>
              </w:rPr>
            </w:pPr>
            <w:r w:rsidRPr="00FA38B2">
              <w:rPr>
                <w:rFonts w:cs="Times New Roman"/>
                <w:szCs w:val="24"/>
              </w:rPr>
              <w:t xml:space="preserve">Female </w:t>
            </w:r>
          </w:p>
        </w:tc>
        <w:tc>
          <w:tcPr>
            <w:tcW w:w="616" w:type="dxa"/>
          </w:tcPr>
          <w:p w14:paraId="44A9BE5B" w14:textId="77777777" w:rsidR="009E1933" w:rsidRPr="00FA38B2" w:rsidRDefault="009E1933" w:rsidP="0015321A">
            <w:pPr>
              <w:spacing w:line="240" w:lineRule="auto"/>
              <w:rPr>
                <w:rFonts w:cs="Times New Roman"/>
                <w:szCs w:val="24"/>
              </w:rPr>
            </w:pPr>
            <w:r w:rsidRPr="00FA38B2">
              <w:rPr>
                <w:rFonts w:cs="Times New Roman"/>
                <w:szCs w:val="24"/>
              </w:rPr>
              <w:t>27</w:t>
            </w:r>
          </w:p>
        </w:tc>
        <w:tc>
          <w:tcPr>
            <w:tcW w:w="1996" w:type="dxa"/>
          </w:tcPr>
          <w:p w14:paraId="3EF87C87" w14:textId="77777777" w:rsidR="009E1933" w:rsidRPr="00FA38B2" w:rsidRDefault="009E1933" w:rsidP="0015321A">
            <w:pPr>
              <w:spacing w:line="240" w:lineRule="auto"/>
              <w:rPr>
                <w:rFonts w:cs="Times New Roman"/>
                <w:szCs w:val="24"/>
              </w:rPr>
            </w:pPr>
            <w:r w:rsidRPr="00FA38B2">
              <w:rPr>
                <w:rFonts w:cs="Times New Roman"/>
                <w:szCs w:val="24"/>
              </w:rPr>
              <w:t>1</w:t>
            </w:r>
          </w:p>
        </w:tc>
        <w:tc>
          <w:tcPr>
            <w:tcW w:w="1570" w:type="dxa"/>
          </w:tcPr>
          <w:p w14:paraId="5DCE2E38" w14:textId="77777777" w:rsidR="009E1933" w:rsidRPr="00FA38B2" w:rsidRDefault="009E1933" w:rsidP="0015321A">
            <w:pPr>
              <w:spacing w:line="240" w:lineRule="auto"/>
              <w:rPr>
                <w:rFonts w:cs="Times New Roman"/>
                <w:szCs w:val="24"/>
              </w:rPr>
            </w:pPr>
            <w:r w:rsidRPr="00FA38B2">
              <w:rPr>
                <w:rFonts w:cs="Times New Roman"/>
                <w:szCs w:val="24"/>
              </w:rPr>
              <w:t>Yes</w:t>
            </w:r>
          </w:p>
        </w:tc>
        <w:tc>
          <w:tcPr>
            <w:tcW w:w="1275" w:type="dxa"/>
          </w:tcPr>
          <w:p w14:paraId="49CFF8C1" w14:textId="77777777" w:rsidR="009E1933" w:rsidRPr="00FA38B2" w:rsidRDefault="009E1933" w:rsidP="0015321A">
            <w:pPr>
              <w:spacing w:line="240" w:lineRule="auto"/>
              <w:rPr>
                <w:rFonts w:cs="Times New Roman"/>
                <w:szCs w:val="24"/>
              </w:rPr>
            </w:pPr>
            <w:r w:rsidRPr="00FA38B2">
              <w:rPr>
                <w:rFonts w:cs="Times New Roman"/>
                <w:szCs w:val="24"/>
              </w:rPr>
              <w:t>Single</w:t>
            </w:r>
          </w:p>
        </w:tc>
      </w:tr>
      <w:tr w:rsidR="009E1933" w:rsidRPr="00FA38B2" w14:paraId="554C107F" w14:textId="77777777">
        <w:tc>
          <w:tcPr>
            <w:tcW w:w="1337" w:type="dxa"/>
          </w:tcPr>
          <w:p w14:paraId="323A341C" w14:textId="77777777" w:rsidR="009E1933" w:rsidRPr="00FA38B2" w:rsidRDefault="009E1933" w:rsidP="0015321A">
            <w:pPr>
              <w:spacing w:line="240" w:lineRule="auto"/>
              <w:rPr>
                <w:rFonts w:cs="Times New Roman"/>
                <w:szCs w:val="24"/>
              </w:rPr>
            </w:pPr>
            <w:r w:rsidRPr="00FA38B2">
              <w:rPr>
                <w:rFonts w:cs="Times New Roman"/>
                <w:szCs w:val="24"/>
              </w:rPr>
              <w:t>Becky</w:t>
            </w:r>
          </w:p>
        </w:tc>
        <w:tc>
          <w:tcPr>
            <w:tcW w:w="1643" w:type="dxa"/>
          </w:tcPr>
          <w:p w14:paraId="7DEDD4E2" w14:textId="77777777" w:rsidR="009E1933" w:rsidRPr="00FA38B2" w:rsidRDefault="009E1933" w:rsidP="0015321A">
            <w:pPr>
              <w:spacing w:line="240" w:lineRule="auto"/>
              <w:rPr>
                <w:rFonts w:cs="Times New Roman"/>
                <w:szCs w:val="24"/>
              </w:rPr>
            </w:pPr>
            <w:r w:rsidRPr="00FA38B2">
              <w:rPr>
                <w:rFonts w:cs="Times New Roman"/>
                <w:szCs w:val="24"/>
              </w:rPr>
              <w:t>White</w:t>
            </w:r>
          </w:p>
        </w:tc>
        <w:tc>
          <w:tcPr>
            <w:tcW w:w="923" w:type="dxa"/>
          </w:tcPr>
          <w:p w14:paraId="280CE394" w14:textId="77777777" w:rsidR="009E1933" w:rsidRPr="00FA38B2" w:rsidRDefault="009E1933" w:rsidP="0015321A">
            <w:pPr>
              <w:spacing w:line="240" w:lineRule="auto"/>
              <w:rPr>
                <w:rFonts w:cs="Times New Roman"/>
                <w:szCs w:val="24"/>
              </w:rPr>
            </w:pPr>
            <w:r w:rsidRPr="00FA38B2">
              <w:rPr>
                <w:rFonts w:cs="Times New Roman"/>
                <w:szCs w:val="24"/>
              </w:rPr>
              <w:t xml:space="preserve">Female </w:t>
            </w:r>
          </w:p>
        </w:tc>
        <w:tc>
          <w:tcPr>
            <w:tcW w:w="616" w:type="dxa"/>
          </w:tcPr>
          <w:p w14:paraId="118379D0" w14:textId="77777777" w:rsidR="009E1933" w:rsidRPr="00FA38B2" w:rsidRDefault="009E1933" w:rsidP="0015321A">
            <w:pPr>
              <w:spacing w:line="240" w:lineRule="auto"/>
              <w:rPr>
                <w:rFonts w:cs="Times New Roman"/>
                <w:szCs w:val="24"/>
              </w:rPr>
            </w:pPr>
            <w:r w:rsidRPr="00FA38B2">
              <w:rPr>
                <w:rFonts w:cs="Times New Roman"/>
                <w:szCs w:val="24"/>
              </w:rPr>
              <w:t>35</w:t>
            </w:r>
          </w:p>
        </w:tc>
        <w:tc>
          <w:tcPr>
            <w:tcW w:w="1996" w:type="dxa"/>
          </w:tcPr>
          <w:p w14:paraId="7BE4DA41" w14:textId="77777777" w:rsidR="009E1933" w:rsidRPr="00FA38B2" w:rsidRDefault="009E1933" w:rsidP="0015321A">
            <w:pPr>
              <w:spacing w:line="240" w:lineRule="auto"/>
              <w:rPr>
                <w:rFonts w:cs="Times New Roman"/>
                <w:szCs w:val="24"/>
              </w:rPr>
            </w:pPr>
            <w:r w:rsidRPr="00FA38B2">
              <w:rPr>
                <w:rFonts w:cs="Times New Roman"/>
                <w:szCs w:val="24"/>
              </w:rPr>
              <w:t>14</w:t>
            </w:r>
          </w:p>
        </w:tc>
        <w:tc>
          <w:tcPr>
            <w:tcW w:w="1570" w:type="dxa"/>
          </w:tcPr>
          <w:p w14:paraId="1595EA93" w14:textId="77777777" w:rsidR="009E1933" w:rsidRPr="00FA38B2" w:rsidRDefault="009E1933" w:rsidP="0015321A">
            <w:pPr>
              <w:spacing w:line="240" w:lineRule="auto"/>
              <w:rPr>
                <w:rFonts w:cs="Times New Roman"/>
                <w:szCs w:val="24"/>
              </w:rPr>
            </w:pPr>
            <w:r w:rsidRPr="00FA38B2">
              <w:rPr>
                <w:rFonts w:cs="Times New Roman"/>
                <w:szCs w:val="24"/>
              </w:rPr>
              <w:t xml:space="preserve">Yes </w:t>
            </w:r>
          </w:p>
        </w:tc>
        <w:tc>
          <w:tcPr>
            <w:tcW w:w="1275" w:type="dxa"/>
          </w:tcPr>
          <w:p w14:paraId="3354BFBA" w14:textId="77777777" w:rsidR="009E1933" w:rsidRPr="00FA38B2" w:rsidRDefault="009E1933" w:rsidP="0015321A">
            <w:pPr>
              <w:spacing w:line="240" w:lineRule="auto"/>
              <w:rPr>
                <w:rFonts w:cs="Times New Roman"/>
                <w:szCs w:val="24"/>
              </w:rPr>
            </w:pPr>
            <w:r w:rsidRPr="00FA38B2">
              <w:rPr>
                <w:rFonts w:cs="Times New Roman"/>
                <w:szCs w:val="24"/>
              </w:rPr>
              <w:t xml:space="preserve">Married </w:t>
            </w:r>
          </w:p>
        </w:tc>
      </w:tr>
      <w:tr w:rsidR="009E1933" w:rsidRPr="00FA38B2" w14:paraId="40AF809B" w14:textId="77777777">
        <w:tc>
          <w:tcPr>
            <w:tcW w:w="1337" w:type="dxa"/>
          </w:tcPr>
          <w:p w14:paraId="6221AE61" w14:textId="77777777" w:rsidR="009E1933" w:rsidRPr="00FA38B2" w:rsidRDefault="009E1933" w:rsidP="0015321A">
            <w:pPr>
              <w:spacing w:line="240" w:lineRule="auto"/>
              <w:rPr>
                <w:rFonts w:cs="Times New Roman"/>
                <w:szCs w:val="24"/>
              </w:rPr>
            </w:pPr>
            <w:r w:rsidRPr="00FA38B2">
              <w:rPr>
                <w:rFonts w:cs="Times New Roman"/>
                <w:szCs w:val="24"/>
              </w:rPr>
              <w:t>Diamond</w:t>
            </w:r>
          </w:p>
        </w:tc>
        <w:tc>
          <w:tcPr>
            <w:tcW w:w="1643" w:type="dxa"/>
          </w:tcPr>
          <w:p w14:paraId="412B9BB3" w14:textId="77777777" w:rsidR="009E1933" w:rsidRPr="00FA38B2" w:rsidRDefault="009E1933" w:rsidP="0015321A">
            <w:pPr>
              <w:spacing w:line="240" w:lineRule="auto"/>
              <w:rPr>
                <w:rFonts w:cs="Times New Roman"/>
                <w:szCs w:val="24"/>
              </w:rPr>
            </w:pPr>
            <w:r w:rsidRPr="00FA38B2">
              <w:rPr>
                <w:rFonts w:cs="Times New Roman"/>
                <w:szCs w:val="24"/>
              </w:rPr>
              <w:t>Black</w:t>
            </w:r>
          </w:p>
        </w:tc>
        <w:tc>
          <w:tcPr>
            <w:tcW w:w="923" w:type="dxa"/>
          </w:tcPr>
          <w:p w14:paraId="41010169" w14:textId="77777777" w:rsidR="009E1933" w:rsidRPr="00FA38B2" w:rsidRDefault="009E1933" w:rsidP="0015321A">
            <w:pPr>
              <w:spacing w:line="240" w:lineRule="auto"/>
              <w:rPr>
                <w:rFonts w:cs="Times New Roman"/>
                <w:szCs w:val="24"/>
              </w:rPr>
            </w:pPr>
            <w:r w:rsidRPr="00FA38B2">
              <w:rPr>
                <w:rFonts w:cs="Times New Roman"/>
                <w:szCs w:val="24"/>
              </w:rPr>
              <w:t xml:space="preserve">Female </w:t>
            </w:r>
          </w:p>
        </w:tc>
        <w:tc>
          <w:tcPr>
            <w:tcW w:w="616" w:type="dxa"/>
          </w:tcPr>
          <w:p w14:paraId="5E9FFBC0" w14:textId="77777777" w:rsidR="009E1933" w:rsidRPr="00FA38B2" w:rsidRDefault="009E1933" w:rsidP="0015321A">
            <w:pPr>
              <w:spacing w:line="240" w:lineRule="auto"/>
              <w:rPr>
                <w:rFonts w:cs="Times New Roman"/>
                <w:szCs w:val="24"/>
              </w:rPr>
            </w:pPr>
            <w:r w:rsidRPr="00FA38B2">
              <w:rPr>
                <w:rFonts w:cs="Times New Roman"/>
                <w:szCs w:val="24"/>
              </w:rPr>
              <w:t>32</w:t>
            </w:r>
          </w:p>
        </w:tc>
        <w:tc>
          <w:tcPr>
            <w:tcW w:w="1996" w:type="dxa"/>
          </w:tcPr>
          <w:p w14:paraId="3A89D017" w14:textId="77777777" w:rsidR="009E1933" w:rsidRPr="00FA38B2" w:rsidRDefault="009E1933" w:rsidP="0015321A">
            <w:pPr>
              <w:spacing w:line="240" w:lineRule="auto"/>
              <w:rPr>
                <w:rFonts w:cs="Times New Roman"/>
                <w:szCs w:val="24"/>
              </w:rPr>
            </w:pPr>
            <w:r w:rsidRPr="00FA38B2">
              <w:rPr>
                <w:rFonts w:cs="Times New Roman"/>
                <w:szCs w:val="24"/>
              </w:rPr>
              <w:t>5</w:t>
            </w:r>
          </w:p>
        </w:tc>
        <w:tc>
          <w:tcPr>
            <w:tcW w:w="1570" w:type="dxa"/>
          </w:tcPr>
          <w:p w14:paraId="5400C5F1" w14:textId="77777777" w:rsidR="009E1933" w:rsidRPr="00FA38B2" w:rsidRDefault="009E1933" w:rsidP="0015321A">
            <w:pPr>
              <w:spacing w:line="240" w:lineRule="auto"/>
              <w:rPr>
                <w:rFonts w:cs="Times New Roman"/>
                <w:szCs w:val="24"/>
              </w:rPr>
            </w:pPr>
            <w:r w:rsidRPr="00FA38B2">
              <w:rPr>
                <w:rFonts w:cs="Times New Roman"/>
                <w:szCs w:val="24"/>
              </w:rPr>
              <w:t>Yes</w:t>
            </w:r>
          </w:p>
        </w:tc>
        <w:tc>
          <w:tcPr>
            <w:tcW w:w="1275" w:type="dxa"/>
          </w:tcPr>
          <w:p w14:paraId="3CB6823F" w14:textId="77777777" w:rsidR="009E1933" w:rsidRPr="00FA38B2" w:rsidRDefault="009E1933" w:rsidP="0015321A">
            <w:pPr>
              <w:spacing w:line="240" w:lineRule="auto"/>
              <w:rPr>
                <w:rFonts w:cs="Times New Roman"/>
                <w:szCs w:val="24"/>
              </w:rPr>
            </w:pPr>
            <w:r w:rsidRPr="00FA38B2">
              <w:rPr>
                <w:rFonts w:cs="Times New Roman"/>
                <w:szCs w:val="24"/>
              </w:rPr>
              <w:t>Single</w:t>
            </w:r>
          </w:p>
        </w:tc>
      </w:tr>
      <w:tr w:rsidR="009E1933" w:rsidRPr="00FA38B2" w14:paraId="231ECE86" w14:textId="77777777">
        <w:tc>
          <w:tcPr>
            <w:tcW w:w="1337" w:type="dxa"/>
          </w:tcPr>
          <w:p w14:paraId="27E58C5B" w14:textId="77777777" w:rsidR="009E1933" w:rsidRPr="00FA38B2" w:rsidRDefault="009E1933" w:rsidP="0015321A">
            <w:pPr>
              <w:spacing w:line="240" w:lineRule="auto"/>
              <w:rPr>
                <w:rFonts w:cs="Times New Roman"/>
                <w:szCs w:val="24"/>
              </w:rPr>
            </w:pPr>
            <w:r w:rsidRPr="00FA38B2">
              <w:rPr>
                <w:rFonts w:cs="Times New Roman"/>
                <w:szCs w:val="24"/>
              </w:rPr>
              <w:t>Greg</w:t>
            </w:r>
          </w:p>
        </w:tc>
        <w:tc>
          <w:tcPr>
            <w:tcW w:w="1643" w:type="dxa"/>
          </w:tcPr>
          <w:p w14:paraId="2C4654EE" w14:textId="77777777" w:rsidR="009E1933" w:rsidRPr="00FA38B2" w:rsidRDefault="009E1933" w:rsidP="0015321A">
            <w:pPr>
              <w:spacing w:line="240" w:lineRule="auto"/>
              <w:rPr>
                <w:rFonts w:cs="Times New Roman"/>
                <w:szCs w:val="24"/>
              </w:rPr>
            </w:pPr>
            <w:r w:rsidRPr="00FA38B2">
              <w:rPr>
                <w:rFonts w:cs="Times New Roman"/>
                <w:szCs w:val="24"/>
              </w:rPr>
              <w:t xml:space="preserve">White </w:t>
            </w:r>
          </w:p>
        </w:tc>
        <w:tc>
          <w:tcPr>
            <w:tcW w:w="923" w:type="dxa"/>
          </w:tcPr>
          <w:p w14:paraId="2134E815" w14:textId="77777777" w:rsidR="009E1933" w:rsidRPr="00FA38B2" w:rsidRDefault="009E1933" w:rsidP="0015321A">
            <w:pPr>
              <w:spacing w:line="240" w:lineRule="auto"/>
              <w:rPr>
                <w:rFonts w:cs="Times New Roman"/>
                <w:szCs w:val="24"/>
              </w:rPr>
            </w:pPr>
            <w:r w:rsidRPr="00FA38B2">
              <w:rPr>
                <w:rFonts w:cs="Times New Roman"/>
                <w:szCs w:val="24"/>
              </w:rPr>
              <w:t xml:space="preserve">Male </w:t>
            </w:r>
          </w:p>
        </w:tc>
        <w:tc>
          <w:tcPr>
            <w:tcW w:w="616" w:type="dxa"/>
          </w:tcPr>
          <w:p w14:paraId="05B83B42" w14:textId="77777777" w:rsidR="009E1933" w:rsidRPr="00FA38B2" w:rsidRDefault="009E1933" w:rsidP="0015321A">
            <w:pPr>
              <w:spacing w:line="240" w:lineRule="auto"/>
              <w:rPr>
                <w:rFonts w:cs="Times New Roman"/>
                <w:szCs w:val="24"/>
              </w:rPr>
            </w:pPr>
            <w:r w:rsidRPr="00FA38B2">
              <w:rPr>
                <w:rFonts w:cs="Times New Roman"/>
                <w:szCs w:val="24"/>
              </w:rPr>
              <w:t>44</w:t>
            </w:r>
          </w:p>
        </w:tc>
        <w:tc>
          <w:tcPr>
            <w:tcW w:w="1996" w:type="dxa"/>
          </w:tcPr>
          <w:p w14:paraId="07C60D59" w14:textId="77777777" w:rsidR="009E1933" w:rsidRPr="00FA38B2" w:rsidRDefault="009E1933" w:rsidP="0015321A">
            <w:pPr>
              <w:spacing w:line="240" w:lineRule="auto"/>
              <w:rPr>
                <w:rFonts w:cs="Times New Roman"/>
                <w:szCs w:val="24"/>
              </w:rPr>
            </w:pPr>
            <w:r w:rsidRPr="00FA38B2">
              <w:rPr>
                <w:rFonts w:cs="Times New Roman"/>
                <w:szCs w:val="24"/>
              </w:rPr>
              <w:t>21</w:t>
            </w:r>
          </w:p>
        </w:tc>
        <w:tc>
          <w:tcPr>
            <w:tcW w:w="1570" w:type="dxa"/>
          </w:tcPr>
          <w:p w14:paraId="53FAD5EA" w14:textId="77777777" w:rsidR="009E1933" w:rsidRPr="00FA38B2" w:rsidRDefault="009E1933" w:rsidP="0015321A">
            <w:pPr>
              <w:spacing w:line="240" w:lineRule="auto"/>
              <w:rPr>
                <w:rFonts w:cs="Times New Roman"/>
                <w:szCs w:val="24"/>
              </w:rPr>
            </w:pPr>
            <w:r w:rsidRPr="00FA38B2">
              <w:rPr>
                <w:rFonts w:cs="Times New Roman"/>
                <w:szCs w:val="24"/>
              </w:rPr>
              <w:t xml:space="preserve">Yes </w:t>
            </w:r>
          </w:p>
        </w:tc>
        <w:tc>
          <w:tcPr>
            <w:tcW w:w="1275" w:type="dxa"/>
          </w:tcPr>
          <w:p w14:paraId="58ED4FE4" w14:textId="77777777" w:rsidR="009E1933" w:rsidRPr="00FA38B2" w:rsidRDefault="009E1933" w:rsidP="0015321A">
            <w:pPr>
              <w:spacing w:line="240" w:lineRule="auto"/>
              <w:rPr>
                <w:rFonts w:cs="Times New Roman"/>
                <w:szCs w:val="24"/>
              </w:rPr>
            </w:pPr>
            <w:r w:rsidRPr="00FA38B2">
              <w:rPr>
                <w:rFonts w:cs="Times New Roman"/>
                <w:szCs w:val="24"/>
              </w:rPr>
              <w:t xml:space="preserve">Married </w:t>
            </w:r>
          </w:p>
        </w:tc>
      </w:tr>
      <w:tr w:rsidR="009E1933" w:rsidRPr="00FA38B2" w14:paraId="1641DD1F" w14:textId="77777777">
        <w:tc>
          <w:tcPr>
            <w:tcW w:w="1337" w:type="dxa"/>
          </w:tcPr>
          <w:p w14:paraId="6FE5A559" w14:textId="77777777" w:rsidR="009E1933" w:rsidRPr="00FA38B2" w:rsidRDefault="009E1933" w:rsidP="0015321A">
            <w:pPr>
              <w:spacing w:line="240" w:lineRule="auto"/>
              <w:rPr>
                <w:rFonts w:cs="Times New Roman"/>
                <w:szCs w:val="24"/>
              </w:rPr>
            </w:pPr>
            <w:proofErr w:type="spellStart"/>
            <w:r w:rsidRPr="00FA38B2">
              <w:rPr>
                <w:rFonts w:cs="Times New Roman"/>
                <w:szCs w:val="24"/>
              </w:rPr>
              <w:t>Gretta</w:t>
            </w:r>
            <w:proofErr w:type="spellEnd"/>
            <w:r w:rsidRPr="00FA38B2">
              <w:rPr>
                <w:rFonts w:cs="Times New Roman"/>
                <w:szCs w:val="24"/>
              </w:rPr>
              <w:t xml:space="preserve"> </w:t>
            </w:r>
          </w:p>
        </w:tc>
        <w:tc>
          <w:tcPr>
            <w:tcW w:w="1643" w:type="dxa"/>
          </w:tcPr>
          <w:p w14:paraId="580529C9" w14:textId="77777777" w:rsidR="009E1933" w:rsidRPr="00FA38B2" w:rsidRDefault="009E1933" w:rsidP="0015321A">
            <w:pPr>
              <w:spacing w:line="240" w:lineRule="auto"/>
              <w:rPr>
                <w:rFonts w:cs="Times New Roman"/>
                <w:szCs w:val="24"/>
              </w:rPr>
            </w:pPr>
            <w:r w:rsidRPr="00FA38B2">
              <w:rPr>
                <w:rFonts w:cs="Times New Roman"/>
                <w:szCs w:val="24"/>
              </w:rPr>
              <w:t>White</w:t>
            </w:r>
          </w:p>
        </w:tc>
        <w:tc>
          <w:tcPr>
            <w:tcW w:w="923" w:type="dxa"/>
          </w:tcPr>
          <w:p w14:paraId="5920F7EF" w14:textId="77777777" w:rsidR="009E1933" w:rsidRPr="00FA38B2" w:rsidRDefault="009E1933" w:rsidP="0015321A">
            <w:pPr>
              <w:spacing w:line="240" w:lineRule="auto"/>
              <w:rPr>
                <w:rFonts w:cs="Times New Roman"/>
                <w:szCs w:val="24"/>
              </w:rPr>
            </w:pPr>
            <w:r w:rsidRPr="00FA38B2">
              <w:rPr>
                <w:rFonts w:cs="Times New Roman"/>
                <w:szCs w:val="24"/>
              </w:rPr>
              <w:t xml:space="preserve">Female </w:t>
            </w:r>
          </w:p>
        </w:tc>
        <w:tc>
          <w:tcPr>
            <w:tcW w:w="616" w:type="dxa"/>
          </w:tcPr>
          <w:p w14:paraId="60D46596" w14:textId="77777777" w:rsidR="009E1933" w:rsidRPr="00FA38B2" w:rsidRDefault="009E1933" w:rsidP="0015321A">
            <w:pPr>
              <w:spacing w:line="240" w:lineRule="auto"/>
              <w:rPr>
                <w:rFonts w:cs="Times New Roman"/>
                <w:szCs w:val="24"/>
              </w:rPr>
            </w:pPr>
            <w:r w:rsidRPr="00FA38B2">
              <w:rPr>
                <w:rFonts w:cs="Times New Roman"/>
                <w:szCs w:val="24"/>
              </w:rPr>
              <w:t>24</w:t>
            </w:r>
          </w:p>
        </w:tc>
        <w:tc>
          <w:tcPr>
            <w:tcW w:w="1996" w:type="dxa"/>
          </w:tcPr>
          <w:p w14:paraId="4F4A1C8F" w14:textId="77777777" w:rsidR="009E1933" w:rsidRPr="00FA38B2" w:rsidRDefault="009E1933" w:rsidP="0015321A">
            <w:pPr>
              <w:spacing w:line="240" w:lineRule="auto"/>
              <w:rPr>
                <w:rFonts w:cs="Times New Roman"/>
                <w:szCs w:val="24"/>
              </w:rPr>
            </w:pPr>
            <w:r w:rsidRPr="00FA38B2">
              <w:rPr>
                <w:rFonts w:cs="Times New Roman"/>
                <w:szCs w:val="24"/>
              </w:rPr>
              <w:t>N/A</w:t>
            </w:r>
          </w:p>
        </w:tc>
        <w:tc>
          <w:tcPr>
            <w:tcW w:w="1570" w:type="dxa"/>
          </w:tcPr>
          <w:p w14:paraId="69367775" w14:textId="77777777" w:rsidR="009E1933" w:rsidRPr="00FA38B2" w:rsidRDefault="009E1933" w:rsidP="0015321A">
            <w:pPr>
              <w:spacing w:line="240" w:lineRule="auto"/>
              <w:rPr>
                <w:rFonts w:cs="Times New Roman"/>
                <w:szCs w:val="24"/>
              </w:rPr>
            </w:pPr>
            <w:r w:rsidRPr="00FA38B2">
              <w:rPr>
                <w:rFonts w:cs="Times New Roman"/>
                <w:szCs w:val="24"/>
              </w:rPr>
              <w:t>No</w:t>
            </w:r>
          </w:p>
        </w:tc>
        <w:tc>
          <w:tcPr>
            <w:tcW w:w="1275" w:type="dxa"/>
          </w:tcPr>
          <w:p w14:paraId="6991B7B7" w14:textId="77777777" w:rsidR="009E1933" w:rsidRPr="00FA38B2" w:rsidRDefault="009E1933" w:rsidP="0015321A">
            <w:pPr>
              <w:spacing w:line="240" w:lineRule="auto"/>
              <w:rPr>
                <w:rFonts w:cs="Times New Roman"/>
                <w:szCs w:val="24"/>
              </w:rPr>
            </w:pPr>
            <w:r w:rsidRPr="00FA38B2">
              <w:rPr>
                <w:rFonts w:cs="Times New Roman"/>
                <w:szCs w:val="24"/>
              </w:rPr>
              <w:t>Single</w:t>
            </w:r>
          </w:p>
        </w:tc>
      </w:tr>
      <w:tr w:rsidR="009E1933" w:rsidRPr="00FA38B2" w14:paraId="4C0ADC22" w14:textId="77777777">
        <w:tc>
          <w:tcPr>
            <w:tcW w:w="1337" w:type="dxa"/>
          </w:tcPr>
          <w:p w14:paraId="77CCA87A" w14:textId="77777777" w:rsidR="009E1933" w:rsidRPr="00FA38B2" w:rsidRDefault="009E1933" w:rsidP="0015321A">
            <w:pPr>
              <w:spacing w:line="240" w:lineRule="auto"/>
              <w:rPr>
                <w:rFonts w:cs="Times New Roman"/>
                <w:szCs w:val="24"/>
              </w:rPr>
            </w:pPr>
            <w:r w:rsidRPr="00FA38B2">
              <w:rPr>
                <w:rFonts w:cs="Times New Roman"/>
                <w:szCs w:val="24"/>
              </w:rPr>
              <w:t>Jackie</w:t>
            </w:r>
          </w:p>
        </w:tc>
        <w:tc>
          <w:tcPr>
            <w:tcW w:w="1643" w:type="dxa"/>
          </w:tcPr>
          <w:p w14:paraId="016855B2" w14:textId="77777777" w:rsidR="009E1933" w:rsidRPr="00FA38B2" w:rsidRDefault="009E1933" w:rsidP="0015321A">
            <w:pPr>
              <w:spacing w:line="240" w:lineRule="auto"/>
              <w:rPr>
                <w:rFonts w:cs="Times New Roman"/>
                <w:szCs w:val="24"/>
              </w:rPr>
            </w:pPr>
            <w:r w:rsidRPr="00FA38B2">
              <w:rPr>
                <w:rFonts w:cs="Times New Roman"/>
                <w:szCs w:val="24"/>
              </w:rPr>
              <w:t>White</w:t>
            </w:r>
          </w:p>
        </w:tc>
        <w:tc>
          <w:tcPr>
            <w:tcW w:w="923" w:type="dxa"/>
          </w:tcPr>
          <w:p w14:paraId="1AAC4D6E" w14:textId="77777777" w:rsidR="009E1933" w:rsidRPr="00FA38B2" w:rsidRDefault="009E1933" w:rsidP="0015321A">
            <w:pPr>
              <w:spacing w:line="240" w:lineRule="auto"/>
              <w:rPr>
                <w:rFonts w:cs="Times New Roman"/>
                <w:szCs w:val="24"/>
              </w:rPr>
            </w:pPr>
            <w:r w:rsidRPr="00FA38B2">
              <w:rPr>
                <w:rFonts w:cs="Times New Roman"/>
                <w:szCs w:val="24"/>
              </w:rPr>
              <w:t xml:space="preserve">Female </w:t>
            </w:r>
          </w:p>
        </w:tc>
        <w:tc>
          <w:tcPr>
            <w:tcW w:w="616" w:type="dxa"/>
          </w:tcPr>
          <w:p w14:paraId="5F233E8A" w14:textId="77777777" w:rsidR="009E1933" w:rsidRPr="00FA38B2" w:rsidRDefault="009E1933" w:rsidP="0015321A">
            <w:pPr>
              <w:spacing w:line="240" w:lineRule="auto"/>
              <w:rPr>
                <w:rFonts w:cs="Times New Roman"/>
                <w:szCs w:val="24"/>
              </w:rPr>
            </w:pPr>
            <w:r w:rsidRPr="00FA38B2">
              <w:rPr>
                <w:rFonts w:cs="Times New Roman"/>
                <w:szCs w:val="24"/>
              </w:rPr>
              <w:t>47</w:t>
            </w:r>
          </w:p>
        </w:tc>
        <w:tc>
          <w:tcPr>
            <w:tcW w:w="1996" w:type="dxa"/>
          </w:tcPr>
          <w:p w14:paraId="662327B5" w14:textId="77777777" w:rsidR="009E1933" w:rsidRPr="00FA38B2" w:rsidRDefault="009E1933" w:rsidP="0015321A">
            <w:pPr>
              <w:spacing w:line="240" w:lineRule="auto"/>
              <w:rPr>
                <w:rFonts w:cs="Times New Roman"/>
                <w:szCs w:val="24"/>
              </w:rPr>
            </w:pPr>
            <w:r w:rsidRPr="00FA38B2">
              <w:rPr>
                <w:rFonts w:cs="Times New Roman"/>
                <w:szCs w:val="24"/>
              </w:rPr>
              <w:t>15</w:t>
            </w:r>
          </w:p>
        </w:tc>
        <w:tc>
          <w:tcPr>
            <w:tcW w:w="1570" w:type="dxa"/>
          </w:tcPr>
          <w:p w14:paraId="6DB73EBE" w14:textId="77777777" w:rsidR="009E1933" w:rsidRPr="00FA38B2" w:rsidRDefault="009E1933" w:rsidP="0015321A">
            <w:pPr>
              <w:spacing w:line="240" w:lineRule="auto"/>
              <w:rPr>
                <w:rFonts w:cs="Times New Roman"/>
                <w:szCs w:val="24"/>
              </w:rPr>
            </w:pPr>
            <w:r w:rsidRPr="00FA38B2">
              <w:rPr>
                <w:rFonts w:cs="Times New Roman"/>
                <w:szCs w:val="24"/>
              </w:rPr>
              <w:t>Yes</w:t>
            </w:r>
          </w:p>
        </w:tc>
        <w:tc>
          <w:tcPr>
            <w:tcW w:w="1275" w:type="dxa"/>
          </w:tcPr>
          <w:p w14:paraId="29EEDFC2" w14:textId="77777777" w:rsidR="009E1933" w:rsidRPr="00FA38B2" w:rsidRDefault="009E1933" w:rsidP="0015321A">
            <w:pPr>
              <w:spacing w:line="240" w:lineRule="auto"/>
              <w:rPr>
                <w:rFonts w:cs="Times New Roman"/>
                <w:szCs w:val="24"/>
              </w:rPr>
            </w:pPr>
            <w:r w:rsidRPr="00FA38B2">
              <w:rPr>
                <w:rFonts w:cs="Times New Roman"/>
                <w:szCs w:val="24"/>
              </w:rPr>
              <w:t xml:space="preserve">Divorced </w:t>
            </w:r>
          </w:p>
        </w:tc>
      </w:tr>
      <w:tr w:rsidR="009E1933" w:rsidRPr="00FA38B2" w14:paraId="201AD220" w14:textId="77777777">
        <w:tc>
          <w:tcPr>
            <w:tcW w:w="1337" w:type="dxa"/>
          </w:tcPr>
          <w:p w14:paraId="57ABE934" w14:textId="77777777" w:rsidR="009E1933" w:rsidRPr="00FA38B2" w:rsidRDefault="009E1933" w:rsidP="0015321A">
            <w:pPr>
              <w:spacing w:line="240" w:lineRule="auto"/>
              <w:rPr>
                <w:rFonts w:cs="Times New Roman"/>
                <w:szCs w:val="24"/>
              </w:rPr>
            </w:pPr>
            <w:r w:rsidRPr="00FA38B2">
              <w:rPr>
                <w:rFonts w:cs="Times New Roman"/>
                <w:szCs w:val="24"/>
              </w:rPr>
              <w:t>Jay</w:t>
            </w:r>
          </w:p>
        </w:tc>
        <w:tc>
          <w:tcPr>
            <w:tcW w:w="1643" w:type="dxa"/>
          </w:tcPr>
          <w:p w14:paraId="791E5C75" w14:textId="77777777" w:rsidR="009E1933" w:rsidRPr="00FA38B2" w:rsidRDefault="009E1933" w:rsidP="0015321A">
            <w:pPr>
              <w:spacing w:line="240" w:lineRule="auto"/>
              <w:rPr>
                <w:rFonts w:cs="Times New Roman"/>
                <w:szCs w:val="24"/>
              </w:rPr>
            </w:pPr>
            <w:r w:rsidRPr="00FA38B2">
              <w:rPr>
                <w:rFonts w:cs="Times New Roman"/>
                <w:szCs w:val="24"/>
              </w:rPr>
              <w:t xml:space="preserve">White </w:t>
            </w:r>
          </w:p>
        </w:tc>
        <w:tc>
          <w:tcPr>
            <w:tcW w:w="923" w:type="dxa"/>
          </w:tcPr>
          <w:p w14:paraId="1CCDFC47" w14:textId="77777777" w:rsidR="009E1933" w:rsidRPr="00FA38B2" w:rsidRDefault="009E1933" w:rsidP="0015321A">
            <w:pPr>
              <w:spacing w:line="240" w:lineRule="auto"/>
              <w:rPr>
                <w:rFonts w:cs="Times New Roman"/>
                <w:szCs w:val="24"/>
              </w:rPr>
            </w:pPr>
            <w:r w:rsidRPr="00FA38B2">
              <w:rPr>
                <w:rFonts w:cs="Times New Roman"/>
                <w:szCs w:val="24"/>
              </w:rPr>
              <w:t xml:space="preserve">Male </w:t>
            </w:r>
          </w:p>
        </w:tc>
        <w:tc>
          <w:tcPr>
            <w:tcW w:w="616" w:type="dxa"/>
          </w:tcPr>
          <w:p w14:paraId="2553E85E" w14:textId="77777777" w:rsidR="009E1933" w:rsidRPr="00FA38B2" w:rsidRDefault="009E1933" w:rsidP="0015321A">
            <w:pPr>
              <w:spacing w:line="240" w:lineRule="auto"/>
              <w:rPr>
                <w:rFonts w:cs="Times New Roman"/>
                <w:szCs w:val="24"/>
              </w:rPr>
            </w:pPr>
            <w:r w:rsidRPr="00FA38B2">
              <w:rPr>
                <w:rFonts w:cs="Times New Roman"/>
                <w:szCs w:val="24"/>
              </w:rPr>
              <w:t>49</w:t>
            </w:r>
          </w:p>
        </w:tc>
        <w:tc>
          <w:tcPr>
            <w:tcW w:w="1996" w:type="dxa"/>
          </w:tcPr>
          <w:p w14:paraId="1F0616F2" w14:textId="77777777" w:rsidR="009E1933" w:rsidRPr="00FA38B2" w:rsidRDefault="009E1933" w:rsidP="0015321A">
            <w:pPr>
              <w:spacing w:line="240" w:lineRule="auto"/>
              <w:rPr>
                <w:rFonts w:cs="Times New Roman"/>
                <w:szCs w:val="24"/>
              </w:rPr>
            </w:pPr>
            <w:r w:rsidRPr="00FA38B2">
              <w:rPr>
                <w:rFonts w:cs="Times New Roman"/>
                <w:szCs w:val="24"/>
              </w:rPr>
              <w:t>N/A</w:t>
            </w:r>
          </w:p>
        </w:tc>
        <w:tc>
          <w:tcPr>
            <w:tcW w:w="1570" w:type="dxa"/>
          </w:tcPr>
          <w:p w14:paraId="47AB0F9D" w14:textId="77777777" w:rsidR="009E1933" w:rsidRPr="00FA38B2" w:rsidRDefault="009E1933" w:rsidP="0015321A">
            <w:pPr>
              <w:spacing w:line="240" w:lineRule="auto"/>
              <w:rPr>
                <w:rFonts w:cs="Times New Roman"/>
                <w:szCs w:val="24"/>
              </w:rPr>
            </w:pPr>
            <w:r w:rsidRPr="00FA38B2">
              <w:rPr>
                <w:rFonts w:cs="Times New Roman"/>
                <w:szCs w:val="24"/>
              </w:rPr>
              <w:t>No</w:t>
            </w:r>
          </w:p>
        </w:tc>
        <w:tc>
          <w:tcPr>
            <w:tcW w:w="1275" w:type="dxa"/>
          </w:tcPr>
          <w:p w14:paraId="0882E1BD" w14:textId="77777777" w:rsidR="009E1933" w:rsidRPr="00FA38B2" w:rsidRDefault="009E1933" w:rsidP="0015321A">
            <w:pPr>
              <w:spacing w:line="240" w:lineRule="auto"/>
              <w:rPr>
                <w:rFonts w:cs="Times New Roman"/>
                <w:szCs w:val="24"/>
              </w:rPr>
            </w:pPr>
            <w:r w:rsidRPr="00FA38B2">
              <w:rPr>
                <w:rFonts w:cs="Times New Roman"/>
                <w:szCs w:val="24"/>
              </w:rPr>
              <w:t xml:space="preserve">Divorced </w:t>
            </w:r>
          </w:p>
        </w:tc>
      </w:tr>
      <w:tr w:rsidR="009E1933" w:rsidRPr="00FA38B2" w14:paraId="538FDD47" w14:textId="77777777">
        <w:tc>
          <w:tcPr>
            <w:tcW w:w="1337" w:type="dxa"/>
          </w:tcPr>
          <w:p w14:paraId="3FFBCD86" w14:textId="77777777" w:rsidR="009E1933" w:rsidRPr="00FA38B2" w:rsidRDefault="009E1933" w:rsidP="0015321A">
            <w:pPr>
              <w:spacing w:line="240" w:lineRule="auto"/>
              <w:rPr>
                <w:rFonts w:cs="Times New Roman"/>
                <w:szCs w:val="24"/>
              </w:rPr>
            </w:pPr>
            <w:r w:rsidRPr="00FA38B2">
              <w:rPr>
                <w:rFonts w:cs="Times New Roman"/>
                <w:szCs w:val="24"/>
              </w:rPr>
              <w:t>Jen</w:t>
            </w:r>
          </w:p>
        </w:tc>
        <w:tc>
          <w:tcPr>
            <w:tcW w:w="1643" w:type="dxa"/>
          </w:tcPr>
          <w:p w14:paraId="3A08547D" w14:textId="77777777" w:rsidR="009E1933" w:rsidRPr="00FA38B2" w:rsidRDefault="009E1933" w:rsidP="0015321A">
            <w:pPr>
              <w:spacing w:line="240" w:lineRule="auto"/>
              <w:rPr>
                <w:rFonts w:cs="Times New Roman"/>
                <w:szCs w:val="24"/>
              </w:rPr>
            </w:pPr>
            <w:r w:rsidRPr="00FA38B2">
              <w:rPr>
                <w:rFonts w:cs="Times New Roman"/>
                <w:szCs w:val="24"/>
              </w:rPr>
              <w:t xml:space="preserve">N/A </w:t>
            </w:r>
          </w:p>
        </w:tc>
        <w:tc>
          <w:tcPr>
            <w:tcW w:w="923" w:type="dxa"/>
          </w:tcPr>
          <w:p w14:paraId="6C9E0BD6" w14:textId="77777777" w:rsidR="009E1933" w:rsidRPr="00FA38B2" w:rsidRDefault="009E1933" w:rsidP="0015321A">
            <w:pPr>
              <w:spacing w:line="240" w:lineRule="auto"/>
              <w:rPr>
                <w:rFonts w:cs="Times New Roman"/>
                <w:szCs w:val="24"/>
              </w:rPr>
            </w:pPr>
            <w:r w:rsidRPr="00FA38B2">
              <w:rPr>
                <w:rFonts w:cs="Times New Roman"/>
                <w:szCs w:val="24"/>
              </w:rPr>
              <w:t xml:space="preserve">Female </w:t>
            </w:r>
          </w:p>
        </w:tc>
        <w:tc>
          <w:tcPr>
            <w:tcW w:w="616" w:type="dxa"/>
          </w:tcPr>
          <w:p w14:paraId="0638F513" w14:textId="77777777" w:rsidR="009E1933" w:rsidRPr="00FA38B2" w:rsidRDefault="009E1933" w:rsidP="0015321A">
            <w:pPr>
              <w:spacing w:line="240" w:lineRule="auto"/>
              <w:rPr>
                <w:rFonts w:cs="Times New Roman"/>
                <w:szCs w:val="24"/>
              </w:rPr>
            </w:pPr>
            <w:r w:rsidRPr="00FA38B2">
              <w:rPr>
                <w:rFonts w:cs="Times New Roman"/>
                <w:szCs w:val="24"/>
              </w:rPr>
              <w:t>37</w:t>
            </w:r>
          </w:p>
        </w:tc>
        <w:tc>
          <w:tcPr>
            <w:tcW w:w="1996" w:type="dxa"/>
          </w:tcPr>
          <w:p w14:paraId="521E95C5" w14:textId="77777777" w:rsidR="009E1933" w:rsidRPr="00FA38B2" w:rsidRDefault="009E1933" w:rsidP="0015321A">
            <w:pPr>
              <w:spacing w:line="240" w:lineRule="auto"/>
              <w:rPr>
                <w:rFonts w:cs="Times New Roman"/>
                <w:szCs w:val="24"/>
              </w:rPr>
            </w:pPr>
            <w:r w:rsidRPr="00FA38B2">
              <w:rPr>
                <w:rFonts w:cs="Times New Roman"/>
                <w:szCs w:val="24"/>
              </w:rPr>
              <w:t>5</w:t>
            </w:r>
          </w:p>
        </w:tc>
        <w:tc>
          <w:tcPr>
            <w:tcW w:w="1570" w:type="dxa"/>
          </w:tcPr>
          <w:p w14:paraId="7A64856C" w14:textId="77777777" w:rsidR="009E1933" w:rsidRPr="00FA38B2" w:rsidRDefault="009E1933" w:rsidP="0015321A">
            <w:pPr>
              <w:spacing w:line="240" w:lineRule="auto"/>
              <w:rPr>
                <w:rFonts w:cs="Times New Roman"/>
                <w:szCs w:val="24"/>
              </w:rPr>
            </w:pPr>
            <w:r w:rsidRPr="00FA38B2">
              <w:rPr>
                <w:rFonts w:cs="Times New Roman"/>
                <w:szCs w:val="24"/>
              </w:rPr>
              <w:t xml:space="preserve">Yes </w:t>
            </w:r>
          </w:p>
        </w:tc>
        <w:tc>
          <w:tcPr>
            <w:tcW w:w="1275" w:type="dxa"/>
          </w:tcPr>
          <w:p w14:paraId="7D5F7EC9" w14:textId="77777777" w:rsidR="009E1933" w:rsidRPr="00FA38B2" w:rsidRDefault="009E1933" w:rsidP="0015321A">
            <w:pPr>
              <w:spacing w:line="240" w:lineRule="auto"/>
              <w:rPr>
                <w:rFonts w:cs="Times New Roman"/>
                <w:szCs w:val="24"/>
              </w:rPr>
            </w:pPr>
            <w:r w:rsidRPr="00FA38B2">
              <w:rPr>
                <w:rFonts w:cs="Times New Roman"/>
                <w:szCs w:val="24"/>
              </w:rPr>
              <w:t xml:space="preserve">Married </w:t>
            </w:r>
          </w:p>
        </w:tc>
      </w:tr>
      <w:tr w:rsidR="009E1933" w:rsidRPr="00FA38B2" w14:paraId="315B8BA0" w14:textId="77777777">
        <w:tc>
          <w:tcPr>
            <w:tcW w:w="1337" w:type="dxa"/>
          </w:tcPr>
          <w:p w14:paraId="5128DB29" w14:textId="77777777" w:rsidR="009E1933" w:rsidRPr="00FA38B2" w:rsidRDefault="009E1933" w:rsidP="0015321A">
            <w:pPr>
              <w:spacing w:line="240" w:lineRule="auto"/>
              <w:rPr>
                <w:rFonts w:cs="Times New Roman"/>
                <w:szCs w:val="24"/>
              </w:rPr>
            </w:pPr>
            <w:r w:rsidRPr="00FA38B2">
              <w:rPr>
                <w:rFonts w:cs="Times New Roman"/>
                <w:szCs w:val="24"/>
              </w:rPr>
              <w:t xml:space="preserve">Jessica </w:t>
            </w:r>
          </w:p>
        </w:tc>
        <w:tc>
          <w:tcPr>
            <w:tcW w:w="1643" w:type="dxa"/>
          </w:tcPr>
          <w:p w14:paraId="276CA317" w14:textId="77777777" w:rsidR="009E1933" w:rsidRPr="00FA38B2" w:rsidRDefault="009E1933" w:rsidP="0015321A">
            <w:pPr>
              <w:spacing w:line="240" w:lineRule="auto"/>
              <w:rPr>
                <w:rFonts w:cs="Times New Roman"/>
                <w:szCs w:val="24"/>
              </w:rPr>
            </w:pPr>
            <w:r w:rsidRPr="00FA38B2">
              <w:rPr>
                <w:rFonts w:cs="Times New Roman"/>
                <w:szCs w:val="24"/>
              </w:rPr>
              <w:t xml:space="preserve">White </w:t>
            </w:r>
          </w:p>
        </w:tc>
        <w:tc>
          <w:tcPr>
            <w:tcW w:w="923" w:type="dxa"/>
          </w:tcPr>
          <w:p w14:paraId="0DB9721D" w14:textId="77777777" w:rsidR="009E1933" w:rsidRPr="00FA38B2" w:rsidRDefault="009E1933" w:rsidP="0015321A">
            <w:pPr>
              <w:spacing w:line="240" w:lineRule="auto"/>
              <w:rPr>
                <w:rFonts w:cs="Times New Roman"/>
                <w:szCs w:val="24"/>
              </w:rPr>
            </w:pPr>
            <w:r w:rsidRPr="00FA38B2">
              <w:rPr>
                <w:rFonts w:cs="Times New Roman"/>
                <w:szCs w:val="24"/>
              </w:rPr>
              <w:t xml:space="preserve">Female </w:t>
            </w:r>
          </w:p>
        </w:tc>
        <w:tc>
          <w:tcPr>
            <w:tcW w:w="616" w:type="dxa"/>
          </w:tcPr>
          <w:p w14:paraId="1E5B8453" w14:textId="77777777" w:rsidR="009E1933" w:rsidRPr="00FA38B2" w:rsidRDefault="009E1933" w:rsidP="0015321A">
            <w:pPr>
              <w:spacing w:line="240" w:lineRule="auto"/>
              <w:rPr>
                <w:rFonts w:cs="Times New Roman"/>
                <w:szCs w:val="24"/>
              </w:rPr>
            </w:pPr>
            <w:r w:rsidRPr="00FA38B2">
              <w:rPr>
                <w:rFonts w:cs="Times New Roman"/>
                <w:szCs w:val="24"/>
              </w:rPr>
              <w:t>36</w:t>
            </w:r>
          </w:p>
        </w:tc>
        <w:tc>
          <w:tcPr>
            <w:tcW w:w="1996" w:type="dxa"/>
          </w:tcPr>
          <w:p w14:paraId="37F02A10" w14:textId="77777777" w:rsidR="009E1933" w:rsidRPr="00FA38B2" w:rsidRDefault="009E1933" w:rsidP="0015321A">
            <w:pPr>
              <w:spacing w:line="240" w:lineRule="auto"/>
              <w:rPr>
                <w:rFonts w:cs="Times New Roman"/>
                <w:szCs w:val="24"/>
              </w:rPr>
            </w:pPr>
            <w:r w:rsidRPr="00FA38B2">
              <w:rPr>
                <w:rFonts w:cs="Times New Roman"/>
                <w:szCs w:val="24"/>
              </w:rPr>
              <w:t xml:space="preserve">5 </w:t>
            </w:r>
          </w:p>
        </w:tc>
        <w:tc>
          <w:tcPr>
            <w:tcW w:w="1570" w:type="dxa"/>
          </w:tcPr>
          <w:p w14:paraId="138A6D59" w14:textId="77777777" w:rsidR="009E1933" w:rsidRPr="00FA38B2" w:rsidRDefault="009E1933" w:rsidP="0015321A">
            <w:pPr>
              <w:spacing w:line="240" w:lineRule="auto"/>
              <w:rPr>
                <w:rFonts w:cs="Times New Roman"/>
                <w:szCs w:val="24"/>
              </w:rPr>
            </w:pPr>
            <w:r w:rsidRPr="00FA38B2">
              <w:rPr>
                <w:rFonts w:cs="Times New Roman"/>
                <w:szCs w:val="24"/>
              </w:rPr>
              <w:t xml:space="preserve">Yes </w:t>
            </w:r>
          </w:p>
        </w:tc>
        <w:tc>
          <w:tcPr>
            <w:tcW w:w="1275" w:type="dxa"/>
          </w:tcPr>
          <w:p w14:paraId="4091B863" w14:textId="77777777" w:rsidR="009E1933" w:rsidRPr="00FA38B2" w:rsidRDefault="009E1933" w:rsidP="0015321A">
            <w:pPr>
              <w:spacing w:line="240" w:lineRule="auto"/>
              <w:rPr>
                <w:rFonts w:cs="Times New Roman"/>
                <w:szCs w:val="24"/>
              </w:rPr>
            </w:pPr>
            <w:r w:rsidRPr="00FA38B2">
              <w:rPr>
                <w:rFonts w:cs="Times New Roman"/>
                <w:szCs w:val="24"/>
              </w:rPr>
              <w:t xml:space="preserve">Divorced </w:t>
            </w:r>
          </w:p>
        </w:tc>
      </w:tr>
      <w:tr w:rsidR="009E1933" w:rsidRPr="00FA38B2" w14:paraId="3CF19C0A" w14:textId="77777777">
        <w:tc>
          <w:tcPr>
            <w:tcW w:w="1337" w:type="dxa"/>
          </w:tcPr>
          <w:p w14:paraId="200854EA" w14:textId="77777777" w:rsidR="009E1933" w:rsidRPr="00FA38B2" w:rsidRDefault="009E1933" w:rsidP="0015321A">
            <w:pPr>
              <w:spacing w:line="240" w:lineRule="auto"/>
              <w:rPr>
                <w:rFonts w:cs="Times New Roman"/>
                <w:szCs w:val="24"/>
              </w:rPr>
            </w:pPr>
            <w:r w:rsidRPr="00FA38B2">
              <w:rPr>
                <w:rFonts w:cs="Times New Roman"/>
                <w:szCs w:val="24"/>
              </w:rPr>
              <w:t xml:space="preserve">Kay </w:t>
            </w:r>
          </w:p>
        </w:tc>
        <w:tc>
          <w:tcPr>
            <w:tcW w:w="1643" w:type="dxa"/>
          </w:tcPr>
          <w:p w14:paraId="7AAE5C09" w14:textId="77777777" w:rsidR="009E1933" w:rsidRPr="00FA38B2" w:rsidRDefault="009E1933" w:rsidP="0015321A">
            <w:pPr>
              <w:spacing w:line="240" w:lineRule="auto"/>
              <w:rPr>
                <w:rFonts w:cs="Times New Roman"/>
                <w:szCs w:val="24"/>
              </w:rPr>
            </w:pPr>
            <w:r w:rsidRPr="00FA38B2">
              <w:rPr>
                <w:rFonts w:cs="Times New Roman"/>
                <w:szCs w:val="24"/>
              </w:rPr>
              <w:t xml:space="preserve">Black </w:t>
            </w:r>
          </w:p>
        </w:tc>
        <w:tc>
          <w:tcPr>
            <w:tcW w:w="923" w:type="dxa"/>
          </w:tcPr>
          <w:p w14:paraId="0E0DCCF8" w14:textId="77777777" w:rsidR="009E1933" w:rsidRPr="00FA38B2" w:rsidRDefault="009E1933" w:rsidP="0015321A">
            <w:pPr>
              <w:spacing w:line="240" w:lineRule="auto"/>
              <w:rPr>
                <w:rFonts w:cs="Times New Roman"/>
                <w:szCs w:val="24"/>
              </w:rPr>
            </w:pPr>
            <w:r w:rsidRPr="00FA38B2">
              <w:rPr>
                <w:rFonts w:cs="Times New Roman"/>
                <w:szCs w:val="24"/>
              </w:rPr>
              <w:t xml:space="preserve">Female </w:t>
            </w:r>
          </w:p>
        </w:tc>
        <w:tc>
          <w:tcPr>
            <w:tcW w:w="616" w:type="dxa"/>
          </w:tcPr>
          <w:p w14:paraId="427CF7C5" w14:textId="77777777" w:rsidR="009E1933" w:rsidRPr="00FA38B2" w:rsidRDefault="009E1933" w:rsidP="0015321A">
            <w:pPr>
              <w:spacing w:line="240" w:lineRule="auto"/>
              <w:rPr>
                <w:rFonts w:cs="Times New Roman"/>
                <w:szCs w:val="24"/>
              </w:rPr>
            </w:pPr>
            <w:r w:rsidRPr="00FA38B2">
              <w:rPr>
                <w:rFonts w:cs="Times New Roman"/>
                <w:szCs w:val="24"/>
              </w:rPr>
              <w:t>54</w:t>
            </w:r>
          </w:p>
        </w:tc>
        <w:tc>
          <w:tcPr>
            <w:tcW w:w="1996" w:type="dxa"/>
          </w:tcPr>
          <w:p w14:paraId="4F3A2AD0" w14:textId="77777777" w:rsidR="009E1933" w:rsidRPr="00FA38B2" w:rsidRDefault="009E1933" w:rsidP="0015321A">
            <w:pPr>
              <w:spacing w:line="240" w:lineRule="auto"/>
              <w:rPr>
                <w:rFonts w:cs="Times New Roman"/>
                <w:szCs w:val="24"/>
              </w:rPr>
            </w:pPr>
            <w:r w:rsidRPr="00FA38B2">
              <w:rPr>
                <w:rFonts w:cs="Times New Roman"/>
                <w:szCs w:val="24"/>
              </w:rPr>
              <w:t>10</w:t>
            </w:r>
          </w:p>
        </w:tc>
        <w:tc>
          <w:tcPr>
            <w:tcW w:w="1570" w:type="dxa"/>
          </w:tcPr>
          <w:p w14:paraId="05895D22" w14:textId="77777777" w:rsidR="009E1933" w:rsidRPr="00FA38B2" w:rsidRDefault="009E1933" w:rsidP="0015321A">
            <w:pPr>
              <w:spacing w:line="240" w:lineRule="auto"/>
              <w:rPr>
                <w:rFonts w:cs="Times New Roman"/>
                <w:szCs w:val="24"/>
              </w:rPr>
            </w:pPr>
            <w:r w:rsidRPr="00FA38B2">
              <w:rPr>
                <w:rFonts w:cs="Times New Roman"/>
                <w:szCs w:val="24"/>
              </w:rPr>
              <w:t xml:space="preserve">Yes </w:t>
            </w:r>
          </w:p>
        </w:tc>
        <w:tc>
          <w:tcPr>
            <w:tcW w:w="1275" w:type="dxa"/>
          </w:tcPr>
          <w:p w14:paraId="01C6A697" w14:textId="77777777" w:rsidR="009E1933" w:rsidRPr="00FA38B2" w:rsidRDefault="009E1933" w:rsidP="0015321A">
            <w:pPr>
              <w:spacing w:line="240" w:lineRule="auto"/>
              <w:rPr>
                <w:rFonts w:cs="Times New Roman"/>
                <w:szCs w:val="24"/>
              </w:rPr>
            </w:pPr>
            <w:r w:rsidRPr="00FA38B2">
              <w:rPr>
                <w:rFonts w:cs="Times New Roman"/>
                <w:szCs w:val="24"/>
              </w:rPr>
              <w:t xml:space="preserve">Married </w:t>
            </w:r>
          </w:p>
        </w:tc>
      </w:tr>
      <w:tr w:rsidR="009E1933" w:rsidRPr="00FA38B2" w14:paraId="78ED9C47" w14:textId="77777777">
        <w:tc>
          <w:tcPr>
            <w:tcW w:w="1337" w:type="dxa"/>
          </w:tcPr>
          <w:p w14:paraId="1BFBF36B" w14:textId="77777777" w:rsidR="009E1933" w:rsidRPr="00FA38B2" w:rsidRDefault="009E1933" w:rsidP="0015321A">
            <w:pPr>
              <w:spacing w:line="240" w:lineRule="auto"/>
              <w:rPr>
                <w:rFonts w:cs="Times New Roman"/>
                <w:szCs w:val="24"/>
              </w:rPr>
            </w:pPr>
            <w:r w:rsidRPr="00FA38B2">
              <w:rPr>
                <w:rFonts w:cs="Times New Roman"/>
                <w:szCs w:val="24"/>
              </w:rPr>
              <w:t xml:space="preserve">Kayla </w:t>
            </w:r>
          </w:p>
        </w:tc>
        <w:tc>
          <w:tcPr>
            <w:tcW w:w="1643" w:type="dxa"/>
          </w:tcPr>
          <w:p w14:paraId="2BB61ACD" w14:textId="77777777" w:rsidR="009E1933" w:rsidRPr="00FA38B2" w:rsidRDefault="009E1933" w:rsidP="0015321A">
            <w:pPr>
              <w:spacing w:line="240" w:lineRule="auto"/>
              <w:rPr>
                <w:rFonts w:cs="Times New Roman"/>
                <w:szCs w:val="24"/>
              </w:rPr>
            </w:pPr>
            <w:r w:rsidRPr="00FA38B2">
              <w:rPr>
                <w:rFonts w:cs="Times New Roman"/>
                <w:szCs w:val="24"/>
              </w:rPr>
              <w:t xml:space="preserve">White </w:t>
            </w:r>
          </w:p>
        </w:tc>
        <w:tc>
          <w:tcPr>
            <w:tcW w:w="923" w:type="dxa"/>
          </w:tcPr>
          <w:p w14:paraId="042EF687" w14:textId="77777777" w:rsidR="009E1933" w:rsidRPr="00FA38B2" w:rsidRDefault="009E1933" w:rsidP="0015321A">
            <w:pPr>
              <w:spacing w:line="240" w:lineRule="auto"/>
              <w:rPr>
                <w:rFonts w:cs="Times New Roman"/>
                <w:szCs w:val="24"/>
              </w:rPr>
            </w:pPr>
            <w:r w:rsidRPr="00FA38B2">
              <w:rPr>
                <w:rFonts w:cs="Times New Roman"/>
                <w:szCs w:val="24"/>
              </w:rPr>
              <w:t xml:space="preserve">Female </w:t>
            </w:r>
          </w:p>
        </w:tc>
        <w:tc>
          <w:tcPr>
            <w:tcW w:w="616" w:type="dxa"/>
          </w:tcPr>
          <w:p w14:paraId="18B45A88" w14:textId="77777777" w:rsidR="009E1933" w:rsidRPr="00FA38B2" w:rsidRDefault="009E1933" w:rsidP="0015321A">
            <w:pPr>
              <w:spacing w:line="240" w:lineRule="auto"/>
              <w:rPr>
                <w:rFonts w:cs="Times New Roman"/>
                <w:szCs w:val="24"/>
              </w:rPr>
            </w:pPr>
            <w:r w:rsidRPr="00FA38B2">
              <w:rPr>
                <w:rFonts w:cs="Times New Roman"/>
                <w:szCs w:val="24"/>
              </w:rPr>
              <w:t>32</w:t>
            </w:r>
          </w:p>
        </w:tc>
        <w:tc>
          <w:tcPr>
            <w:tcW w:w="1996" w:type="dxa"/>
          </w:tcPr>
          <w:p w14:paraId="5A01E3CE" w14:textId="77777777" w:rsidR="009E1933" w:rsidRPr="00FA38B2" w:rsidRDefault="009E1933" w:rsidP="0015321A">
            <w:pPr>
              <w:spacing w:line="240" w:lineRule="auto"/>
              <w:rPr>
                <w:rFonts w:cs="Times New Roman"/>
                <w:szCs w:val="24"/>
              </w:rPr>
            </w:pPr>
            <w:r w:rsidRPr="00FA38B2">
              <w:rPr>
                <w:rFonts w:cs="Times New Roman"/>
                <w:szCs w:val="24"/>
              </w:rPr>
              <w:t>11</w:t>
            </w:r>
          </w:p>
        </w:tc>
        <w:tc>
          <w:tcPr>
            <w:tcW w:w="1570" w:type="dxa"/>
          </w:tcPr>
          <w:p w14:paraId="158D2BDB" w14:textId="77777777" w:rsidR="009E1933" w:rsidRPr="00FA38B2" w:rsidRDefault="009E1933" w:rsidP="0015321A">
            <w:pPr>
              <w:spacing w:line="240" w:lineRule="auto"/>
              <w:rPr>
                <w:rFonts w:cs="Times New Roman"/>
                <w:szCs w:val="24"/>
              </w:rPr>
            </w:pPr>
            <w:r w:rsidRPr="00FA38B2">
              <w:rPr>
                <w:rFonts w:cs="Times New Roman"/>
                <w:szCs w:val="24"/>
              </w:rPr>
              <w:t>No</w:t>
            </w:r>
          </w:p>
        </w:tc>
        <w:tc>
          <w:tcPr>
            <w:tcW w:w="1275" w:type="dxa"/>
          </w:tcPr>
          <w:p w14:paraId="63D8381D" w14:textId="77777777" w:rsidR="009E1933" w:rsidRPr="00FA38B2" w:rsidRDefault="009E1933" w:rsidP="0015321A">
            <w:pPr>
              <w:spacing w:line="240" w:lineRule="auto"/>
              <w:rPr>
                <w:rFonts w:cs="Times New Roman"/>
                <w:szCs w:val="24"/>
              </w:rPr>
            </w:pPr>
            <w:r w:rsidRPr="00FA38B2">
              <w:rPr>
                <w:rFonts w:cs="Times New Roman"/>
                <w:szCs w:val="24"/>
              </w:rPr>
              <w:t xml:space="preserve">Married </w:t>
            </w:r>
          </w:p>
        </w:tc>
      </w:tr>
      <w:tr w:rsidR="009E1933" w:rsidRPr="00FA38B2" w14:paraId="5D5F14A2" w14:textId="77777777">
        <w:tc>
          <w:tcPr>
            <w:tcW w:w="1337" w:type="dxa"/>
          </w:tcPr>
          <w:p w14:paraId="4E9157A3" w14:textId="77777777" w:rsidR="009E1933" w:rsidRPr="00FA38B2" w:rsidRDefault="009E1933" w:rsidP="0015321A">
            <w:pPr>
              <w:spacing w:line="240" w:lineRule="auto"/>
              <w:rPr>
                <w:rFonts w:cs="Times New Roman"/>
                <w:szCs w:val="24"/>
              </w:rPr>
            </w:pPr>
            <w:r w:rsidRPr="00FA38B2">
              <w:rPr>
                <w:rFonts w:cs="Times New Roman"/>
                <w:szCs w:val="24"/>
              </w:rPr>
              <w:t xml:space="preserve">Morgan </w:t>
            </w:r>
          </w:p>
        </w:tc>
        <w:tc>
          <w:tcPr>
            <w:tcW w:w="1643" w:type="dxa"/>
          </w:tcPr>
          <w:p w14:paraId="38DBEE31" w14:textId="77777777" w:rsidR="009E1933" w:rsidRPr="00FA38B2" w:rsidRDefault="009E1933" w:rsidP="0015321A">
            <w:pPr>
              <w:spacing w:line="240" w:lineRule="auto"/>
              <w:rPr>
                <w:rFonts w:cs="Times New Roman"/>
                <w:szCs w:val="24"/>
              </w:rPr>
            </w:pPr>
            <w:r w:rsidRPr="00FA38B2">
              <w:rPr>
                <w:rFonts w:cs="Times New Roman"/>
                <w:szCs w:val="24"/>
              </w:rPr>
              <w:t xml:space="preserve">Black </w:t>
            </w:r>
          </w:p>
        </w:tc>
        <w:tc>
          <w:tcPr>
            <w:tcW w:w="923" w:type="dxa"/>
          </w:tcPr>
          <w:p w14:paraId="684DAFCE" w14:textId="77777777" w:rsidR="009E1933" w:rsidRPr="00FA38B2" w:rsidRDefault="009E1933" w:rsidP="0015321A">
            <w:pPr>
              <w:spacing w:line="240" w:lineRule="auto"/>
              <w:rPr>
                <w:rFonts w:cs="Times New Roman"/>
                <w:szCs w:val="24"/>
              </w:rPr>
            </w:pPr>
            <w:r w:rsidRPr="00FA38B2">
              <w:rPr>
                <w:rFonts w:cs="Times New Roman"/>
                <w:szCs w:val="24"/>
              </w:rPr>
              <w:t xml:space="preserve">Female </w:t>
            </w:r>
          </w:p>
        </w:tc>
        <w:tc>
          <w:tcPr>
            <w:tcW w:w="616" w:type="dxa"/>
          </w:tcPr>
          <w:p w14:paraId="075E6228" w14:textId="77777777" w:rsidR="009E1933" w:rsidRPr="00FA38B2" w:rsidRDefault="009E1933" w:rsidP="0015321A">
            <w:pPr>
              <w:spacing w:line="240" w:lineRule="auto"/>
              <w:rPr>
                <w:rFonts w:cs="Times New Roman"/>
                <w:szCs w:val="24"/>
              </w:rPr>
            </w:pPr>
            <w:r w:rsidRPr="00FA38B2">
              <w:rPr>
                <w:rFonts w:cs="Times New Roman"/>
                <w:szCs w:val="24"/>
              </w:rPr>
              <w:t>61</w:t>
            </w:r>
          </w:p>
        </w:tc>
        <w:tc>
          <w:tcPr>
            <w:tcW w:w="1996" w:type="dxa"/>
          </w:tcPr>
          <w:p w14:paraId="4AE856B9" w14:textId="77777777" w:rsidR="009E1933" w:rsidRPr="00FA38B2" w:rsidRDefault="009E1933" w:rsidP="0015321A">
            <w:pPr>
              <w:spacing w:line="240" w:lineRule="auto"/>
              <w:rPr>
                <w:rFonts w:cs="Times New Roman"/>
                <w:szCs w:val="24"/>
              </w:rPr>
            </w:pPr>
            <w:r w:rsidRPr="00FA38B2">
              <w:rPr>
                <w:rFonts w:cs="Times New Roman"/>
                <w:szCs w:val="24"/>
              </w:rPr>
              <w:t>N/A</w:t>
            </w:r>
          </w:p>
        </w:tc>
        <w:tc>
          <w:tcPr>
            <w:tcW w:w="1570" w:type="dxa"/>
          </w:tcPr>
          <w:p w14:paraId="4E53C7E7" w14:textId="77777777" w:rsidR="009E1933" w:rsidRPr="00FA38B2" w:rsidRDefault="009E1933" w:rsidP="0015321A">
            <w:pPr>
              <w:spacing w:line="240" w:lineRule="auto"/>
              <w:rPr>
                <w:rFonts w:cs="Times New Roman"/>
                <w:szCs w:val="24"/>
              </w:rPr>
            </w:pPr>
            <w:r w:rsidRPr="00FA38B2">
              <w:rPr>
                <w:rFonts w:cs="Times New Roman"/>
                <w:szCs w:val="24"/>
              </w:rPr>
              <w:t>No</w:t>
            </w:r>
          </w:p>
        </w:tc>
        <w:tc>
          <w:tcPr>
            <w:tcW w:w="1275" w:type="dxa"/>
          </w:tcPr>
          <w:p w14:paraId="7F28DACE" w14:textId="77777777" w:rsidR="009E1933" w:rsidRPr="00FA38B2" w:rsidRDefault="009E1933" w:rsidP="0015321A">
            <w:pPr>
              <w:spacing w:line="240" w:lineRule="auto"/>
              <w:rPr>
                <w:rFonts w:cs="Times New Roman"/>
                <w:szCs w:val="24"/>
              </w:rPr>
            </w:pPr>
            <w:r w:rsidRPr="00FA38B2">
              <w:rPr>
                <w:rFonts w:cs="Times New Roman"/>
                <w:szCs w:val="24"/>
              </w:rPr>
              <w:t xml:space="preserve">Divorced </w:t>
            </w:r>
          </w:p>
        </w:tc>
      </w:tr>
      <w:tr w:rsidR="009E1933" w:rsidRPr="00FA38B2" w14:paraId="4A7018D3" w14:textId="77777777">
        <w:tc>
          <w:tcPr>
            <w:tcW w:w="1337" w:type="dxa"/>
          </w:tcPr>
          <w:p w14:paraId="23A7782D" w14:textId="77777777" w:rsidR="009E1933" w:rsidRPr="00FA38B2" w:rsidRDefault="009E1933" w:rsidP="0015321A">
            <w:pPr>
              <w:spacing w:line="240" w:lineRule="auto"/>
              <w:rPr>
                <w:rFonts w:cs="Times New Roman"/>
                <w:szCs w:val="24"/>
              </w:rPr>
            </w:pPr>
            <w:r w:rsidRPr="00FA38B2">
              <w:rPr>
                <w:rFonts w:cs="Times New Roman"/>
                <w:szCs w:val="24"/>
              </w:rPr>
              <w:t>Nana</w:t>
            </w:r>
          </w:p>
        </w:tc>
        <w:tc>
          <w:tcPr>
            <w:tcW w:w="1643" w:type="dxa"/>
          </w:tcPr>
          <w:p w14:paraId="6ABA0A58" w14:textId="77777777" w:rsidR="009E1933" w:rsidRPr="00FA38B2" w:rsidRDefault="009E1933" w:rsidP="0015321A">
            <w:pPr>
              <w:spacing w:line="240" w:lineRule="auto"/>
              <w:rPr>
                <w:rFonts w:cs="Times New Roman"/>
                <w:szCs w:val="24"/>
              </w:rPr>
            </w:pPr>
            <w:r w:rsidRPr="00FA38B2">
              <w:rPr>
                <w:rFonts w:cs="Times New Roman"/>
                <w:szCs w:val="24"/>
              </w:rPr>
              <w:t xml:space="preserve">Hispanic </w:t>
            </w:r>
          </w:p>
        </w:tc>
        <w:tc>
          <w:tcPr>
            <w:tcW w:w="923" w:type="dxa"/>
          </w:tcPr>
          <w:p w14:paraId="7E2BD46A" w14:textId="77777777" w:rsidR="009E1933" w:rsidRPr="00FA38B2" w:rsidRDefault="009E1933" w:rsidP="0015321A">
            <w:pPr>
              <w:spacing w:line="240" w:lineRule="auto"/>
              <w:rPr>
                <w:rFonts w:cs="Times New Roman"/>
                <w:szCs w:val="24"/>
              </w:rPr>
            </w:pPr>
            <w:r w:rsidRPr="00FA38B2">
              <w:rPr>
                <w:rFonts w:cs="Times New Roman"/>
                <w:szCs w:val="24"/>
              </w:rPr>
              <w:t xml:space="preserve">Female </w:t>
            </w:r>
          </w:p>
        </w:tc>
        <w:tc>
          <w:tcPr>
            <w:tcW w:w="616" w:type="dxa"/>
          </w:tcPr>
          <w:p w14:paraId="7280EFC6" w14:textId="77777777" w:rsidR="009E1933" w:rsidRPr="00FA38B2" w:rsidRDefault="009E1933" w:rsidP="0015321A">
            <w:pPr>
              <w:spacing w:line="240" w:lineRule="auto"/>
              <w:rPr>
                <w:rFonts w:cs="Times New Roman"/>
                <w:szCs w:val="24"/>
              </w:rPr>
            </w:pPr>
            <w:r w:rsidRPr="00FA38B2">
              <w:rPr>
                <w:rFonts w:cs="Times New Roman"/>
                <w:szCs w:val="24"/>
              </w:rPr>
              <w:t>50</w:t>
            </w:r>
          </w:p>
        </w:tc>
        <w:tc>
          <w:tcPr>
            <w:tcW w:w="1996" w:type="dxa"/>
          </w:tcPr>
          <w:p w14:paraId="577B7624" w14:textId="77777777" w:rsidR="009E1933" w:rsidRPr="00FA38B2" w:rsidRDefault="009E1933" w:rsidP="0015321A">
            <w:pPr>
              <w:spacing w:line="240" w:lineRule="auto"/>
              <w:rPr>
                <w:rFonts w:cs="Times New Roman"/>
                <w:szCs w:val="24"/>
              </w:rPr>
            </w:pPr>
            <w:r w:rsidRPr="00FA38B2">
              <w:rPr>
                <w:rFonts w:cs="Times New Roman"/>
                <w:szCs w:val="24"/>
              </w:rPr>
              <w:t>25</w:t>
            </w:r>
          </w:p>
        </w:tc>
        <w:tc>
          <w:tcPr>
            <w:tcW w:w="1570" w:type="dxa"/>
          </w:tcPr>
          <w:p w14:paraId="36701C9E" w14:textId="77777777" w:rsidR="009E1933" w:rsidRPr="00FA38B2" w:rsidRDefault="009E1933" w:rsidP="0015321A">
            <w:pPr>
              <w:spacing w:line="240" w:lineRule="auto"/>
              <w:rPr>
                <w:rFonts w:cs="Times New Roman"/>
                <w:szCs w:val="24"/>
              </w:rPr>
            </w:pPr>
            <w:r w:rsidRPr="00FA38B2">
              <w:rPr>
                <w:rFonts w:cs="Times New Roman"/>
                <w:szCs w:val="24"/>
              </w:rPr>
              <w:t xml:space="preserve">No </w:t>
            </w:r>
          </w:p>
        </w:tc>
        <w:tc>
          <w:tcPr>
            <w:tcW w:w="1275" w:type="dxa"/>
          </w:tcPr>
          <w:p w14:paraId="0606B590" w14:textId="77777777" w:rsidR="009E1933" w:rsidRPr="00FA38B2" w:rsidRDefault="009E1933" w:rsidP="0015321A">
            <w:pPr>
              <w:spacing w:line="240" w:lineRule="auto"/>
              <w:rPr>
                <w:rFonts w:cs="Times New Roman"/>
                <w:szCs w:val="24"/>
              </w:rPr>
            </w:pPr>
            <w:r w:rsidRPr="00FA38B2">
              <w:rPr>
                <w:rFonts w:cs="Times New Roman"/>
                <w:szCs w:val="24"/>
              </w:rPr>
              <w:t xml:space="preserve">Married </w:t>
            </w:r>
          </w:p>
        </w:tc>
      </w:tr>
      <w:tr w:rsidR="009E1933" w:rsidRPr="00FA38B2" w14:paraId="27CCD433" w14:textId="77777777">
        <w:tc>
          <w:tcPr>
            <w:tcW w:w="1337" w:type="dxa"/>
          </w:tcPr>
          <w:p w14:paraId="49752361" w14:textId="77777777" w:rsidR="009E1933" w:rsidRPr="00FA38B2" w:rsidRDefault="009E1933" w:rsidP="0015321A">
            <w:pPr>
              <w:spacing w:line="240" w:lineRule="auto"/>
              <w:rPr>
                <w:rFonts w:cs="Times New Roman"/>
                <w:szCs w:val="24"/>
              </w:rPr>
            </w:pPr>
            <w:r w:rsidRPr="00FA38B2">
              <w:rPr>
                <w:rFonts w:cs="Times New Roman"/>
                <w:szCs w:val="24"/>
              </w:rPr>
              <w:t xml:space="preserve">Mac </w:t>
            </w:r>
          </w:p>
        </w:tc>
        <w:tc>
          <w:tcPr>
            <w:tcW w:w="1643" w:type="dxa"/>
          </w:tcPr>
          <w:p w14:paraId="2DDB1A14" w14:textId="77777777" w:rsidR="009E1933" w:rsidRPr="00FA38B2" w:rsidRDefault="009E1933" w:rsidP="0015321A">
            <w:pPr>
              <w:spacing w:line="240" w:lineRule="auto"/>
              <w:rPr>
                <w:rFonts w:cs="Times New Roman"/>
                <w:szCs w:val="24"/>
              </w:rPr>
            </w:pPr>
            <w:r w:rsidRPr="00FA38B2">
              <w:rPr>
                <w:rFonts w:cs="Times New Roman"/>
                <w:szCs w:val="24"/>
              </w:rPr>
              <w:t>White</w:t>
            </w:r>
          </w:p>
        </w:tc>
        <w:tc>
          <w:tcPr>
            <w:tcW w:w="923" w:type="dxa"/>
          </w:tcPr>
          <w:p w14:paraId="498442F0" w14:textId="77777777" w:rsidR="009E1933" w:rsidRPr="00FA38B2" w:rsidRDefault="009E1933" w:rsidP="0015321A">
            <w:pPr>
              <w:spacing w:line="240" w:lineRule="auto"/>
              <w:rPr>
                <w:rFonts w:cs="Times New Roman"/>
                <w:szCs w:val="24"/>
              </w:rPr>
            </w:pPr>
            <w:r w:rsidRPr="00FA38B2">
              <w:rPr>
                <w:rFonts w:cs="Times New Roman"/>
                <w:szCs w:val="24"/>
              </w:rPr>
              <w:t xml:space="preserve">Female </w:t>
            </w:r>
          </w:p>
        </w:tc>
        <w:tc>
          <w:tcPr>
            <w:tcW w:w="616" w:type="dxa"/>
          </w:tcPr>
          <w:p w14:paraId="7208CA93" w14:textId="77777777" w:rsidR="009E1933" w:rsidRPr="00FA38B2" w:rsidRDefault="009E1933" w:rsidP="0015321A">
            <w:pPr>
              <w:spacing w:line="240" w:lineRule="auto"/>
              <w:rPr>
                <w:rFonts w:cs="Times New Roman"/>
                <w:szCs w:val="24"/>
              </w:rPr>
            </w:pPr>
            <w:r w:rsidRPr="00FA38B2">
              <w:rPr>
                <w:rFonts w:cs="Times New Roman"/>
                <w:szCs w:val="24"/>
              </w:rPr>
              <w:t>40</w:t>
            </w:r>
          </w:p>
        </w:tc>
        <w:tc>
          <w:tcPr>
            <w:tcW w:w="1996" w:type="dxa"/>
          </w:tcPr>
          <w:p w14:paraId="56505DFD" w14:textId="77777777" w:rsidR="009E1933" w:rsidRPr="00FA38B2" w:rsidRDefault="009E1933" w:rsidP="0015321A">
            <w:pPr>
              <w:spacing w:line="240" w:lineRule="auto"/>
              <w:rPr>
                <w:rFonts w:cs="Times New Roman"/>
                <w:szCs w:val="24"/>
              </w:rPr>
            </w:pPr>
            <w:r w:rsidRPr="00FA38B2">
              <w:rPr>
                <w:rFonts w:cs="Times New Roman"/>
                <w:szCs w:val="24"/>
              </w:rPr>
              <w:t>14</w:t>
            </w:r>
          </w:p>
        </w:tc>
        <w:tc>
          <w:tcPr>
            <w:tcW w:w="1570" w:type="dxa"/>
          </w:tcPr>
          <w:p w14:paraId="6432A506" w14:textId="77777777" w:rsidR="009E1933" w:rsidRPr="00FA38B2" w:rsidRDefault="009E1933" w:rsidP="0015321A">
            <w:pPr>
              <w:spacing w:line="240" w:lineRule="auto"/>
              <w:rPr>
                <w:rFonts w:cs="Times New Roman"/>
                <w:szCs w:val="24"/>
              </w:rPr>
            </w:pPr>
            <w:r w:rsidRPr="00FA38B2">
              <w:rPr>
                <w:rFonts w:cs="Times New Roman"/>
                <w:szCs w:val="24"/>
              </w:rPr>
              <w:t>Yes</w:t>
            </w:r>
          </w:p>
        </w:tc>
        <w:tc>
          <w:tcPr>
            <w:tcW w:w="1275" w:type="dxa"/>
          </w:tcPr>
          <w:p w14:paraId="05F1C986" w14:textId="77777777" w:rsidR="009E1933" w:rsidRPr="00FA38B2" w:rsidRDefault="009E1933" w:rsidP="0015321A">
            <w:pPr>
              <w:spacing w:line="240" w:lineRule="auto"/>
              <w:rPr>
                <w:rFonts w:cs="Times New Roman"/>
                <w:szCs w:val="24"/>
              </w:rPr>
            </w:pPr>
            <w:r w:rsidRPr="00FA38B2">
              <w:rPr>
                <w:rFonts w:cs="Times New Roman"/>
                <w:szCs w:val="24"/>
              </w:rPr>
              <w:t xml:space="preserve">Married </w:t>
            </w:r>
          </w:p>
        </w:tc>
      </w:tr>
      <w:tr w:rsidR="009E1933" w:rsidRPr="00FA38B2" w14:paraId="16A29860" w14:textId="77777777">
        <w:tc>
          <w:tcPr>
            <w:tcW w:w="1337" w:type="dxa"/>
          </w:tcPr>
          <w:p w14:paraId="77F57D0B" w14:textId="77777777" w:rsidR="009E1933" w:rsidRPr="00FA38B2" w:rsidRDefault="009E1933" w:rsidP="0015321A">
            <w:pPr>
              <w:spacing w:line="240" w:lineRule="auto"/>
              <w:rPr>
                <w:rFonts w:cs="Times New Roman"/>
                <w:szCs w:val="24"/>
              </w:rPr>
            </w:pPr>
            <w:proofErr w:type="spellStart"/>
            <w:r w:rsidRPr="00FA38B2">
              <w:rPr>
                <w:rFonts w:cs="Times New Roman"/>
                <w:szCs w:val="24"/>
              </w:rPr>
              <w:t>Rida</w:t>
            </w:r>
            <w:proofErr w:type="spellEnd"/>
            <w:r w:rsidRPr="00FA38B2">
              <w:rPr>
                <w:rFonts w:cs="Times New Roman"/>
                <w:szCs w:val="24"/>
              </w:rPr>
              <w:t xml:space="preserve"> </w:t>
            </w:r>
          </w:p>
        </w:tc>
        <w:tc>
          <w:tcPr>
            <w:tcW w:w="1643" w:type="dxa"/>
          </w:tcPr>
          <w:p w14:paraId="1FCB0B01" w14:textId="77777777" w:rsidR="009E1933" w:rsidRPr="00FA38B2" w:rsidRDefault="009E1933" w:rsidP="0015321A">
            <w:pPr>
              <w:spacing w:line="240" w:lineRule="auto"/>
              <w:rPr>
                <w:rFonts w:cs="Times New Roman"/>
                <w:szCs w:val="24"/>
              </w:rPr>
            </w:pPr>
            <w:r w:rsidRPr="00FA38B2">
              <w:rPr>
                <w:rFonts w:cs="Times New Roman"/>
                <w:szCs w:val="24"/>
              </w:rPr>
              <w:t xml:space="preserve">Black </w:t>
            </w:r>
          </w:p>
        </w:tc>
        <w:tc>
          <w:tcPr>
            <w:tcW w:w="923" w:type="dxa"/>
          </w:tcPr>
          <w:p w14:paraId="4B71F084" w14:textId="77777777" w:rsidR="009E1933" w:rsidRPr="00FA38B2" w:rsidRDefault="009E1933" w:rsidP="0015321A">
            <w:pPr>
              <w:spacing w:line="240" w:lineRule="auto"/>
              <w:rPr>
                <w:rFonts w:cs="Times New Roman"/>
                <w:szCs w:val="24"/>
              </w:rPr>
            </w:pPr>
            <w:r w:rsidRPr="00FA38B2">
              <w:rPr>
                <w:rFonts w:cs="Times New Roman"/>
                <w:szCs w:val="24"/>
              </w:rPr>
              <w:t xml:space="preserve">Female </w:t>
            </w:r>
          </w:p>
        </w:tc>
        <w:tc>
          <w:tcPr>
            <w:tcW w:w="616" w:type="dxa"/>
          </w:tcPr>
          <w:p w14:paraId="6D24D8E8" w14:textId="77777777" w:rsidR="009E1933" w:rsidRPr="00FA38B2" w:rsidRDefault="009E1933" w:rsidP="0015321A">
            <w:pPr>
              <w:spacing w:line="240" w:lineRule="auto"/>
              <w:rPr>
                <w:rFonts w:cs="Times New Roman"/>
                <w:szCs w:val="24"/>
              </w:rPr>
            </w:pPr>
            <w:r w:rsidRPr="00FA38B2">
              <w:rPr>
                <w:rFonts w:cs="Times New Roman"/>
                <w:szCs w:val="24"/>
              </w:rPr>
              <w:t>28</w:t>
            </w:r>
          </w:p>
        </w:tc>
        <w:tc>
          <w:tcPr>
            <w:tcW w:w="1996" w:type="dxa"/>
          </w:tcPr>
          <w:p w14:paraId="39A23E22" w14:textId="77777777" w:rsidR="009E1933" w:rsidRPr="00FA38B2" w:rsidRDefault="009E1933" w:rsidP="0015321A">
            <w:pPr>
              <w:spacing w:line="240" w:lineRule="auto"/>
              <w:rPr>
                <w:rFonts w:cs="Times New Roman"/>
                <w:szCs w:val="24"/>
              </w:rPr>
            </w:pPr>
            <w:r w:rsidRPr="00FA38B2">
              <w:rPr>
                <w:rFonts w:cs="Times New Roman"/>
                <w:szCs w:val="24"/>
              </w:rPr>
              <w:t>3</w:t>
            </w:r>
          </w:p>
        </w:tc>
        <w:tc>
          <w:tcPr>
            <w:tcW w:w="1570" w:type="dxa"/>
          </w:tcPr>
          <w:p w14:paraId="20366FF3" w14:textId="77777777" w:rsidR="009E1933" w:rsidRPr="00FA38B2" w:rsidRDefault="009E1933" w:rsidP="0015321A">
            <w:pPr>
              <w:spacing w:line="240" w:lineRule="auto"/>
              <w:rPr>
                <w:rFonts w:cs="Times New Roman"/>
                <w:szCs w:val="24"/>
              </w:rPr>
            </w:pPr>
            <w:r w:rsidRPr="00FA38B2">
              <w:rPr>
                <w:rFonts w:cs="Times New Roman"/>
                <w:szCs w:val="24"/>
              </w:rPr>
              <w:t xml:space="preserve">Yes </w:t>
            </w:r>
          </w:p>
        </w:tc>
        <w:tc>
          <w:tcPr>
            <w:tcW w:w="1275" w:type="dxa"/>
          </w:tcPr>
          <w:p w14:paraId="63718FB2" w14:textId="77777777" w:rsidR="009E1933" w:rsidRPr="00FA38B2" w:rsidRDefault="009E1933" w:rsidP="0015321A">
            <w:pPr>
              <w:spacing w:line="240" w:lineRule="auto"/>
              <w:rPr>
                <w:rFonts w:cs="Times New Roman"/>
                <w:szCs w:val="24"/>
              </w:rPr>
            </w:pPr>
            <w:r w:rsidRPr="00FA38B2">
              <w:rPr>
                <w:rFonts w:cs="Times New Roman"/>
                <w:szCs w:val="24"/>
              </w:rPr>
              <w:t>Single</w:t>
            </w:r>
          </w:p>
        </w:tc>
      </w:tr>
      <w:tr w:rsidR="009E1933" w:rsidRPr="00FA38B2" w14:paraId="1B84DDE9" w14:textId="77777777">
        <w:tc>
          <w:tcPr>
            <w:tcW w:w="1337" w:type="dxa"/>
          </w:tcPr>
          <w:p w14:paraId="76BC6640" w14:textId="77777777" w:rsidR="009E1933" w:rsidRPr="00FA38B2" w:rsidRDefault="009E1933" w:rsidP="0015321A">
            <w:pPr>
              <w:spacing w:line="240" w:lineRule="auto"/>
              <w:rPr>
                <w:rFonts w:cs="Times New Roman"/>
                <w:szCs w:val="24"/>
              </w:rPr>
            </w:pPr>
            <w:r w:rsidRPr="00FA38B2">
              <w:rPr>
                <w:rFonts w:cs="Times New Roman"/>
                <w:szCs w:val="24"/>
              </w:rPr>
              <w:t>Rikki</w:t>
            </w:r>
          </w:p>
        </w:tc>
        <w:tc>
          <w:tcPr>
            <w:tcW w:w="1643" w:type="dxa"/>
          </w:tcPr>
          <w:p w14:paraId="34AB9B1D" w14:textId="77777777" w:rsidR="009E1933" w:rsidRPr="00FA38B2" w:rsidRDefault="009E1933" w:rsidP="0015321A">
            <w:pPr>
              <w:spacing w:line="240" w:lineRule="auto"/>
              <w:rPr>
                <w:rFonts w:cs="Times New Roman"/>
                <w:szCs w:val="24"/>
              </w:rPr>
            </w:pPr>
            <w:r w:rsidRPr="00FA38B2">
              <w:rPr>
                <w:rFonts w:cs="Times New Roman"/>
                <w:szCs w:val="24"/>
              </w:rPr>
              <w:t>White</w:t>
            </w:r>
          </w:p>
        </w:tc>
        <w:tc>
          <w:tcPr>
            <w:tcW w:w="923" w:type="dxa"/>
          </w:tcPr>
          <w:p w14:paraId="366A76BC" w14:textId="77777777" w:rsidR="009E1933" w:rsidRPr="00FA38B2" w:rsidRDefault="009E1933" w:rsidP="0015321A">
            <w:pPr>
              <w:spacing w:line="240" w:lineRule="auto"/>
              <w:rPr>
                <w:rFonts w:cs="Times New Roman"/>
                <w:szCs w:val="24"/>
              </w:rPr>
            </w:pPr>
            <w:r w:rsidRPr="00FA38B2">
              <w:rPr>
                <w:rFonts w:cs="Times New Roman"/>
                <w:szCs w:val="24"/>
              </w:rPr>
              <w:t xml:space="preserve">Female </w:t>
            </w:r>
          </w:p>
        </w:tc>
        <w:tc>
          <w:tcPr>
            <w:tcW w:w="616" w:type="dxa"/>
          </w:tcPr>
          <w:p w14:paraId="2D59E3EA" w14:textId="77777777" w:rsidR="009E1933" w:rsidRPr="00FA38B2" w:rsidRDefault="009E1933" w:rsidP="0015321A">
            <w:pPr>
              <w:spacing w:line="240" w:lineRule="auto"/>
              <w:rPr>
                <w:rFonts w:cs="Times New Roman"/>
                <w:szCs w:val="24"/>
              </w:rPr>
            </w:pPr>
            <w:r w:rsidRPr="00FA38B2">
              <w:rPr>
                <w:rFonts w:cs="Times New Roman"/>
                <w:szCs w:val="24"/>
              </w:rPr>
              <w:t>41</w:t>
            </w:r>
          </w:p>
        </w:tc>
        <w:tc>
          <w:tcPr>
            <w:tcW w:w="1996" w:type="dxa"/>
          </w:tcPr>
          <w:p w14:paraId="6C8944C6" w14:textId="77777777" w:rsidR="009E1933" w:rsidRPr="00FA38B2" w:rsidRDefault="009E1933" w:rsidP="0015321A">
            <w:pPr>
              <w:spacing w:line="240" w:lineRule="auto"/>
              <w:rPr>
                <w:rFonts w:cs="Times New Roman"/>
                <w:szCs w:val="24"/>
              </w:rPr>
            </w:pPr>
            <w:r w:rsidRPr="00FA38B2">
              <w:rPr>
                <w:rFonts w:cs="Times New Roman"/>
                <w:szCs w:val="24"/>
              </w:rPr>
              <w:t xml:space="preserve">7 </w:t>
            </w:r>
          </w:p>
        </w:tc>
        <w:tc>
          <w:tcPr>
            <w:tcW w:w="1570" w:type="dxa"/>
          </w:tcPr>
          <w:p w14:paraId="692045AE" w14:textId="77777777" w:rsidR="009E1933" w:rsidRPr="00FA38B2" w:rsidRDefault="009E1933" w:rsidP="0015321A">
            <w:pPr>
              <w:spacing w:line="240" w:lineRule="auto"/>
              <w:rPr>
                <w:rFonts w:cs="Times New Roman"/>
                <w:szCs w:val="24"/>
              </w:rPr>
            </w:pPr>
            <w:r w:rsidRPr="00FA38B2">
              <w:rPr>
                <w:rFonts w:cs="Times New Roman"/>
                <w:szCs w:val="24"/>
              </w:rPr>
              <w:t>No</w:t>
            </w:r>
          </w:p>
        </w:tc>
        <w:tc>
          <w:tcPr>
            <w:tcW w:w="1275" w:type="dxa"/>
          </w:tcPr>
          <w:p w14:paraId="161E17D4" w14:textId="77777777" w:rsidR="009E1933" w:rsidRPr="00FA38B2" w:rsidRDefault="009E1933" w:rsidP="0015321A">
            <w:pPr>
              <w:spacing w:line="240" w:lineRule="auto"/>
              <w:rPr>
                <w:rFonts w:cs="Times New Roman"/>
                <w:szCs w:val="24"/>
              </w:rPr>
            </w:pPr>
            <w:r w:rsidRPr="00FA38B2">
              <w:rPr>
                <w:rFonts w:cs="Times New Roman"/>
                <w:szCs w:val="24"/>
              </w:rPr>
              <w:t xml:space="preserve">Single </w:t>
            </w:r>
          </w:p>
        </w:tc>
      </w:tr>
      <w:tr w:rsidR="009E1933" w:rsidRPr="00FA38B2" w14:paraId="5244DC90" w14:textId="77777777">
        <w:tc>
          <w:tcPr>
            <w:tcW w:w="1337" w:type="dxa"/>
          </w:tcPr>
          <w:p w14:paraId="5341E878" w14:textId="77777777" w:rsidR="009E1933" w:rsidRPr="00FA38B2" w:rsidRDefault="009E1933" w:rsidP="0015321A">
            <w:pPr>
              <w:spacing w:line="240" w:lineRule="auto"/>
              <w:rPr>
                <w:rFonts w:cs="Times New Roman"/>
                <w:szCs w:val="24"/>
              </w:rPr>
            </w:pPr>
            <w:r w:rsidRPr="00FA38B2">
              <w:rPr>
                <w:rFonts w:cs="Times New Roman"/>
                <w:szCs w:val="24"/>
              </w:rPr>
              <w:t xml:space="preserve">Rose </w:t>
            </w:r>
          </w:p>
        </w:tc>
        <w:tc>
          <w:tcPr>
            <w:tcW w:w="1643" w:type="dxa"/>
          </w:tcPr>
          <w:p w14:paraId="22801F9C" w14:textId="77777777" w:rsidR="009E1933" w:rsidRPr="00FA38B2" w:rsidRDefault="009E1933" w:rsidP="0015321A">
            <w:pPr>
              <w:spacing w:line="240" w:lineRule="auto"/>
              <w:rPr>
                <w:rFonts w:cs="Times New Roman"/>
                <w:szCs w:val="24"/>
              </w:rPr>
            </w:pPr>
            <w:r w:rsidRPr="00FA38B2">
              <w:rPr>
                <w:rFonts w:cs="Times New Roman"/>
                <w:szCs w:val="24"/>
              </w:rPr>
              <w:t xml:space="preserve">Black </w:t>
            </w:r>
          </w:p>
        </w:tc>
        <w:tc>
          <w:tcPr>
            <w:tcW w:w="923" w:type="dxa"/>
          </w:tcPr>
          <w:p w14:paraId="2849593F" w14:textId="77777777" w:rsidR="009E1933" w:rsidRPr="00FA38B2" w:rsidRDefault="009E1933" w:rsidP="0015321A">
            <w:pPr>
              <w:spacing w:line="240" w:lineRule="auto"/>
              <w:rPr>
                <w:rFonts w:cs="Times New Roman"/>
                <w:szCs w:val="24"/>
              </w:rPr>
            </w:pPr>
            <w:r w:rsidRPr="00FA38B2">
              <w:rPr>
                <w:rFonts w:cs="Times New Roman"/>
                <w:szCs w:val="24"/>
              </w:rPr>
              <w:t xml:space="preserve">Female </w:t>
            </w:r>
          </w:p>
        </w:tc>
        <w:tc>
          <w:tcPr>
            <w:tcW w:w="616" w:type="dxa"/>
          </w:tcPr>
          <w:p w14:paraId="20F19ADC" w14:textId="77777777" w:rsidR="009E1933" w:rsidRPr="00FA38B2" w:rsidRDefault="009E1933" w:rsidP="0015321A">
            <w:pPr>
              <w:spacing w:line="240" w:lineRule="auto"/>
              <w:rPr>
                <w:rFonts w:cs="Times New Roman"/>
                <w:szCs w:val="24"/>
              </w:rPr>
            </w:pPr>
            <w:r w:rsidRPr="00FA38B2">
              <w:rPr>
                <w:rFonts w:cs="Times New Roman"/>
                <w:szCs w:val="24"/>
              </w:rPr>
              <w:t>32</w:t>
            </w:r>
          </w:p>
        </w:tc>
        <w:tc>
          <w:tcPr>
            <w:tcW w:w="1996" w:type="dxa"/>
          </w:tcPr>
          <w:p w14:paraId="6FCE9CA5" w14:textId="77777777" w:rsidR="009E1933" w:rsidRPr="00FA38B2" w:rsidRDefault="009E1933" w:rsidP="0015321A">
            <w:pPr>
              <w:spacing w:line="240" w:lineRule="auto"/>
              <w:rPr>
                <w:rFonts w:cs="Times New Roman"/>
                <w:szCs w:val="24"/>
              </w:rPr>
            </w:pPr>
            <w:r w:rsidRPr="00FA38B2">
              <w:rPr>
                <w:rFonts w:cs="Times New Roman"/>
                <w:szCs w:val="24"/>
              </w:rPr>
              <w:t>1</w:t>
            </w:r>
          </w:p>
        </w:tc>
        <w:tc>
          <w:tcPr>
            <w:tcW w:w="1570" w:type="dxa"/>
          </w:tcPr>
          <w:p w14:paraId="645C6505" w14:textId="77777777" w:rsidR="009E1933" w:rsidRPr="00FA38B2" w:rsidRDefault="009E1933" w:rsidP="0015321A">
            <w:pPr>
              <w:spacing w:line="240" w:lineRule="auto"/>
              <w:rPr>
                <w:rFonts w:cs="Times New Roman"/>
                <w:szCs w:val="24"/>
              </w:rPr>
            </w:pPr>
            <w:r w:rsidRPr="00FA38B2">
              <w:rPr>
                <w:rFonts w:cs="Times New Roman"/>
                <w:szCs w:val="24"/>
              </w:rPr>
              <w:t xml:space="preserve">Yes </w:t>
            </w:r>
          </w:p>
        </w:tc>
        <w:tc>
          <w:tcPr>
            <w:tcW w:w="1275" w:type="dxa"/>
          </w:tcPr>
          <w:p w14:paraId="479C4D0E" w14:textId="77777777" w:rsidR="009E1933" w:rsidRPr="00FA38B2" w:rsidRDefault="009E1933" w:rsidP="0015321A">
            <w:pPr>
              <w:spacing w:line="240" w:lineRule="auto"/>
              <w:rPr>
                <w:rFonts w:cs="Times New Roman"/>
                <w:szCs w:val="24"/>
              </w:rPr>
            </w:pPr>
            <w:r w:rsidRPr="00FA38B2">
              <w:rPr>
                <w:rFonts w:cs="Times New Roman"/>
                <w:szCs w:val="24"/>
              </w:rPr>
              <w:t xml:space="preserve">Married </w:t>
            </w:r>
          </w:p>
        </w:tc>
      </w:tr>
      <w:tr w:rsidR="009E1933" w:rsidRPr="00FA38B2" w14:paraId="087417ED" w14:textId="77777777">
        <w:tc>
          <w:tcPr>
            <w:tcW w:w="1337" w:type="dxa"/>
          </w:tcPr>
          <w:p w14:paraId="36CE6F48" w14:textId="77777777" w:rsidR="009E1933" w:rsidRPr="00FA38B2" w:rsidRDefault="009E1933" w:rsidP="0015321A">
            <w:pPr>
              <w:spacing w:line="240" w:lineRule="auto"/>
              <w:rPr>
                <w:rFonts w:cs="Times New Roman"/>
                <w:szCs w:val="24"/>
              </w:rPr>
            </w:pPr>
            <w:r w:rsidRPr="00FA38B2">
              <w:rPr>
                <w:rFonts w:cs="Times New Roman"/>
                <w:szCs w:val="24"/>
              </w:rPr>
              <w:t>Strawberry</w:t>
            </w:r>
          </w:p>
        </w:tc>
        <w:tc>
          <w:tcPr>
            <w:tcW w:w="1643" w:type="dxa"/>
          </w:tcPr>
          <w:p w14:paraId="288FF75F" w14:textId="77777777" w:rsidR="009E1933" w:rsidRPr="00FA38B2" w:rsidRDefault="009E1933" w:rsidP="0015321A">
            <w:pPr>
              <w:spacing w:line="240" w:lineRule="auto"/>
              <w:rPr>
                <w:rFonts w:cs="Times New Roman"/>
                <w:szCs w:val="24"/>
              </w:rPr>
            </w:pPr>
            <w:r w:rsidRPr="00FA38B2">
              <w:rPr>
                <w:rFonts w:cs="Times New Roman"/>
                <w:szCs w:val="24"/>
              </w:rPr>
              <w:t xml:space="preserve">Black </w:t>
            </w:r>
          </w:p>
        </w:tc>
        <w:tc>
          <w:tcPr>
            <w:tcW w:w="923" w:type="dxa"/>
          </w:tcPr>
          <w:p w14:paraId="3611C5AA" w14:textId="77777777" w:rsidR="009E1933" w:rsidRPr="00FA38B2" w:rsidRDefault="009E1933" w:rsidP="0015321A">
            <w:pPr>
              <w:spacing w:line="240" w:lineRule="auto"/>
              <w:rPr>
                <w:rFonts w:cs="Times New Roman"/>
                <w:szCs w:val="24"/>
              </w:rPr>
            </w:pPr>
            <w:r w:rsidRPr="00FA38B2">
              <w:rPr>
                <w:rFonts w:cs="Times New Roman"/>
                <w:szCs w:val="24"/>
              </w:rPr>
              <w:t xml:space="preserve">Female </w:t>
            </w:r>
          </w:p>
        </w:tc>
        <w:tc>
          <w:tcPr>
            <w:tcW w:w="616" w:type="dxa"/>
          </w:tcPr>
          <w:p w14:paraId="62D8CF8A" w14:textId="77777777" w:rsidR="009E1933" w:rsidRPr="00FA38B2" w:rsidRDefault="009E1933" w:rsidP="0015321A">
            <w:pPr>
              <w:spacing w:line="240" w:lineRule="auto"/>
              <w:rPr>
                <w:rFonts w:cs="Times New Roman"/>
                <w:szCs w:val="24"/>
              </w:rPr>
            </w:pPr>
            <w:r w:rsidRPr="00FA38B2">
              <w:rPr>
                <w:rFonts w:cs="Times New Roman"/>
                <w:szCs w:val="24"/>
              </w:rPr>
              <w:t>57</w:t>
            </w:r>
          </w:p>
        </w:tc>
        <w:tc>
          <w:tcPr>
            <w:tcW w:w="1996" w:type="dxa"/>
          </w:tcPr>
          <w:p w14:paraId="329ED798" w14:textId="77777777" w:rsidR="009E1933" w:rsidRPr="00FA38B2" w:rsidRDefault="009E1933" w:rsidP="0015321A">
            <w:pPr>
              <w:spacing w:line="240" w:lineRule="auto"/>
              <w:rPr>
                <w:rFonts w:cs="Times New Roman"/>
                <w:szCs w:val="24"/>
              </w:rPr>
            </w:pPr>
            <w:r w:rsidRPr="00FA38B2">
              <w:rPr>
                <w:rFonts w:cs="Times New Roman"/>
                <w:szCs w:val="24"/>
              </w:rPr>
              <w:t>N/A</w:t>
            </w:r>
          </w:p>
        </w:tc>
        <w:tc>
          <w:tcPr>
            <w:tcW w:w="1570" w:type="dxa"/>
          </w:tcPr>
          <w:p w14:paraId="12C1C2BB" w14:textId="77777777" w:rsidR="009E1933" w:rsidRPr="00FA38B2" w:rsidRDefault="009E1933" w:rsidP="0015321A">
            <w:pPr>
              <w:spacing w:line="240" w:lineRule="auto"/>
              <w:rPr>
                <w:rFonts w:cs="Times New Roman"/>
                <w:szCs w:val="24"/>
              </w:rPr>
            </w:pPr>
            <w:r w:rsidRPr="00FA38B2">
              <w:rPr>
                <w:rFonts w:cs="Times New Roman"/>
                <w:szCs w:val="24"/>
              </w:rPr>
              <w:t xml:space="preserve">Yes </w:t>
            </w:r>
          </w:p>
        </w:tc>
        <w:tc>
          <w:tcPr>
            <w:tcW w:w="1275" w:type="dxa"/>
          </w:tcPr>
          <w:p w14:paraId="2E58319D" w14:textId="77777777" w:rsidR="009E1933" w:rsidRPr="00FA38B2" w:rsidRDefault="009E1933" w:rsidP="0015321A">
            <w:pPr>
              <w:spacing w:line="240" w:lineRule="auto"/>
              <w:rPr>
                <w:rFonts w:cs="Times New Roman"/>
                <w:szCs w:val="24"/>
              </w:rPr>
            </w:pPr>
            <w:r w:rsidRPr="00FA38B2">
              <w:rPr>
                <w:rFonts w:cs="Times New Roman"/>
                <w:szCs w:val="24"/>
              </w:rPr>
              <w:t xml:space="preserve">Married </w:t>
            </w:r>
          </w:p>
        </w:tc>
      </w:tr>
      <w:tr w:rsidR="009E1933" w:rsidRPr="00FA38B2" w14:paraId="765D9B88" w14:textId="77777777">
        <w:tc>
          <w:tcPr>
            <w:tcW w:w="1337" w:type="dxa"/>
          </w:tcPr>
          <w:p w14:paraId="68C681F0" w14:textId="77777777" w:rsidR="009E1933" w:rsidRPr="00FA38B2" w:rsidRDefault="009E1933" w:rsidP="0015321A">
            <w:pPr>
              <w:spacing w:line="240" w:lineRule="auto"/>
              <w:rPr>
                <w:rFonts w:cs="Times New Roman"/>
                <w:szCs w:val="24"/>
              </w:rPr>
            </w:pPr>
            <w:r w:rsidRPr="00FA38B2">
              <w:rPr>
                <w:rFonts w:cs="Times New Roman"/>
                <w:szCs w:val="24"/>
              </w:rPr>
              <w:t>Wind</w:t>
            </w:r>
          </w:p>
        </w:tc>
        <w:tc>
          <w:tcPr>
            <w:tcW w:w="1643" w:type="dxa"/>
          </w:tcPr>
          <w:p w14:paraId="2273BFC9" w14:textId="77777777" w:rsidR="009E1933" w:rsidRPr="00FA38B2" w:rsidRDefault="009E1933" w:rsidP="0015321A">
            <w:pPr>
              <w:spacing w:line="240" w:lineRule="auto"/>
              <w:rPr>
                <w:rFonts w:cs="Times New Roman"/>
                <w:szCs w:val="24"/>
              </w:rPr>
            </w:pPr>
            <w:r w:rsidRPr="00FA38B2">
              <w:rPr>
                <w:rFonts w:cs="Times New Roman"/>
                <w:szCs w:val="24"/>
              </w:rPr>
              <w:t>White</w:t>
            </w:r>
          </w:p>
        </w:tc>
        <w:tc>
          <w:tcPr>
            <w:tcW w:w="923" w:type="dxa"/>
          </w:tcPr>
          <w:p w14:paraId="4D915590" w14:textId="77777777" w:rsidR="009E1933" w:rsidRPr="00FA38B2" w:rsidRDefault="009E1933" w:rsidP="0015321A">
            <w:pPr>
              <w:spacing w:line="240" w:lineRule="auto"/>
              <w:rPr>
                <w:rFonts w:cs="Times New Roman"/>
                <w:szCs w:val="24"/>
              </w:rPr>
            </w:pPr>
            <w:r w:rsidRPr="00FA38B2">
              <w:rPr>
                <w:rFonts w:cs="Times New Roman"/>
                <w:szCs w:val="24"/>
              </w:rPr>
              <w:t xml:space="preserve">Female </w:t>
            </w:r>
          </w:p>
        </w:tc>
        <w:tc>
          <w:tcPr>
            <w:tcW w:w="616" w:type="dxa"/>
          </w:tcPr>
          <w:p w14:paraId="5B8C6375" w14:textId="77777777" w:rsidR="009E1933" w:rsidRPr="00FA38B2" w:rsidRDefault="009E1933" w:rsidP="0015321A">
            <w:pPr>
              <w:spacing w:line="240" w:lineRule="auto"/>
              <w:rPr>
                <w:rFonts w:cs="Times New Roman"/>
                <w:szCs w:val="24"/>
              </w:rPr>
            </w:pPr>
            <w:r w:rsidRPr="00FA38B2">
              <w:rPr>
                <w:rFonts w:cs="Times New Roman"/>
                <w:szCs w:val="24"/>
              </w:rPr>
              <w:t>34</w:t>
            </w:r>
          </w:p>
        </w:tc>
        <w:tc>
          <w:tcPr>
            <w:tcW w:w="1996" w:type="dxa"/>
          </w:tcPr>
          <w:p w14:paraId="33D059CB" w14:textId="77777777" w:rsidR="009E1933" w:rsidRPr="00FA38B2" w:rsidRDefault="009E1933" w:rsidP="0015321A">
            <w:pPr>
              <w:spacing w:line="240" w:lineRule="auto"/>
              <w:rPr>
                <w:rFonts w:cs="Times New Roman"/>
                <w:szCs w:val="24"/>
              </w:rPr>
            </w:pPr>
            <w:r w:rsidRPr="00FA38B2">
              <w:rPr>
                <w:rFonts w:cs="Times New Roman"/>
                <w:szCs w:val="24"/>
              </w:rPr>
              <w:t>N/A</w:t>
            </w:r>
          </w:p>
        </w:tc>
        <w:tc>
          <w:tcPr>
            <w:tcW w:w="1570" w:type="dxa"/>
          </w:tcPr>
          <w:p w14:paraId="5B1195DD" w14:textId="77777777" w:rsidR="009E1933" w:rsidRPr="00FA38B2" w:rsidRDefault="009E1933" w:rsidP="0015321A">
            <w:pPr>
              <w:spacing w:line="240" w:lineRule="auto"/>
              <w:rPr>
                <w:rFonts w:cs="Times New Roman"/>
                <w:szCs w:val="24"/>
              </w:rPr>
            </w:pPr>
            <w:r w:rsidRPr="00FA38B2">
              <w:rPr>
                <w:rFonts w:cs="Times New Roman"/>
                <w:szCs w:val="24"/>
              </w:rPr>
              <w:t>No</w:t>
            </w:r>
          </w:p>
        </w:tc>
        <w:tc>
          <w:tcPr>
            <w:tcW w:w="1275" w:type="dxa"/>
          </w:tcPr>
          <w:p w14:paraId="4CAF2650" w14:textId="77777777" w:rsidR="009E1933" w:rsidRPr="00FA38B2" w:rsidRDefault="009E1933" w:rsidP="0015321A">
            <w:pPr>
              <w:spacing w:line="240" w:lineRule="auto"/>
              <w:rPr>
                <w:rFonts w:cs="Times New Roman"/>
                <w:szCs w:val="24"/>
              </w:rPr>
            </w:pPr>
            <w:r w:rsidRPr="00FA38B2">
              <w:rPr>
                <w:rFonts w:cs="Times New Roman"/>
                <w:szCs w:val="24"/>
              </w:rPr>
              <w:t xml:space="preserve">Divorced </w:t>
            </w:r>
          </w:p>
        </w:tc>
      </w:tr>
      <w:tr w:rsidR="009E1933" w:rsidRPr="00FA38B2" w14:paraId="4DAAC3DB" w14:textId="77777777">
        <w:tc>
          <w:tcPr>
            <w:tcW w:w="1337" w:type="dxa"/>
            <w:tcBorders>
              <w:bottom w:val="single" w:sz="4" w:space="0" w:color="000000"/>
            </w:tcBorders>
          </w:tcPr>
          <w:p w14:paraId="0024B3C3" w14:textId="77777777" w:rsidR="009E1933" w:rsidRPr="00FA38B2" w:rsidRDefault="009E1933" w:rsidP="0015321A">
            <w:pPr>
              <w:spacing w:line="240" w:lineRule="auto"/>
              <w:rPr>
                <w:rFonts w:cs="Times New Roman"/>
                <w:szCs w:val="24"/>
              </w:rPr>
            </w:pPr>
            <w:r w:rsidRPr="00FA38B2">
              <w:rPr>
                <w:rFonts w:cs="Times New Roman"/>
                <w:szCs w:val="24"/>
              </w:rPr>
              <w:t xml:space="preserve">Zoe </w:t>
            </w:r>
          </w:p>
          <w:p w14:paraId="1B10DCFD" w14:textId="77777777" w:rsidR="009E1933" w:rsidRPr="00FA38B2" w:rsidRDefault="009E1933" w:rsidP="0015321A">
            <w:pPr>
              <w:spacing w:line="240" w:lineRule="auto"/>
              <w:rPr>
                <w:rFonts w:cs="Times New Roman"/>
                <w:szCs w:val="24"/>
              </w:rPr>
            </w:pPr>
            <w:r w:rsidRPr="00FA38B2">
              <w:rPr>
                <w:rFonts w:cs="Times New Roman"/>
                <w:szCs w:val="24"/>
              </w:rPr>
              <w:t>Deb</w:t>
            </w:r>
          </w:p>
          <w:p w14:paraId="70FAA2A3" w14:textId="77777777" w:rsidR="009E1933" w:rsidRPr="00FA38B2" w:rsidRDefault="009E1933" w:rsidP="0015321A">
            <w:pPr>
              <w:spacing w:line="240" w:lineRule="auto"/>
              <w:rPr>
                <w:rFonts w:cs="Times New Roman"/>
                <w:szCs w:val="24"/>
              </w:rPr>
            </w:pPr>
            <w:r w:rsidRPr="00FA38B2">
              <w:rPr>
                <w:rFonts w:cs="Times New Roman"/>
                <w:szCs w:val="24"/>
              </w:rPr>
              <w:t>Garden</w:t>
            </w:r>
          </w:p>
          <w:p w14:paraId="5A3E2F70" w14:textId="77777777" w:rsidR="009E1933" w:rsidRPr="00FA38B2" w:rsidRDefault="009E1933" w:rsidP="0015321A">
            <w:pPr>
              <w:spacing w:line="240" w:lineRule="auto"/>
              <w:rPr>
                <w:rFonts w:cs="Times New Roman"/>
                <w:szCs w:val="24"/>
              </w:rPr>
            </w:pPr>
            <w:r w:rsidRPr="00FA38B2">
              <w:rPr>
                <w:rFonts w:cs="Times New Roman"/>
                <w:szCs w:val="24"/>
              </w:rPr>
              <w:t>Kris</w:t>
            </w:r>
          </w:p>
        </w:tc>
        <w:tc>
          <w:tcPr>
            <w:tcW w:w="1643" w:type="dxa"/>
            <w:tcBorders>
              <w:bottom w:val="single" w:sz="4" w:space="0" w:color="000000"/>
            </w:tcBorders>
          </w:tcPr>
          <w:p w14:paraId="1EAECF01" w14:textId="77777777" w:rsidR="009E1933" w:rsidRPr="00FA38B2" w:rsidRDefault="009E1933" w:rsidP="0015321A">
            <w:pPr>
              <w:spacing w:line="240" w:lineRule="auto"/>
              <w:rPr>
                <w:rFonts w:cs="Times New Roman"/>
                <w:szCs w:val="24"/>
              </w:rPr>
            </w:pPr>
            <w:r w:rsidRPr="00FA38B2">
              <w:rPr>
                <w:rFonts w:cs="Times New Roman"/>
                <w:szCs w:val="24"/>
              </w:rPr>
              <w:t xml:space="preserve">White </w:t>
            </w:r>
          </w:p>
          <w:p w14:paraId="334821BF" w14:textId="77777777" w:rsidR="009E1933" w:rsidRPr="00FA38B2" w:rsidRDefault="009E1933" w:rsidP="0015321A">
            <w:pPr>
              <w:spacing w:line="240" w:lineRule="auto"/>
              <w:rPr>
                <w:rFonts w:cs="Times New Roman"/>
                <w:szCs w:val="24"/>
              </w:rPr>
            </w:pPr>
            <w:r w:rsidRPr="00FA38B2">
              <w:rPr>
                <w:rFonts w:cs="Times New Roman"/>
                <w:szCs w:val="24"/>
              </w:rPr>
              <w:t>White</w:t>
            </w:r>
          </w:p>
          <w:p w14:paraId="714361B1" w14:textId="77777777" w:rsidR="009E1933" w:rsidRPr="00FA38B2" w:rsidRDefault="009E1933" w:rsidP="0015321A">
            <w:pPr>
              <w:spacing w:line="240" w:lineRule="auto"/>
              <w:rPr>
                <w:rFonts w:cs="Times New Roman"/>
                <w:szCs w:val="24"/>
              </w:rPr>
            </w:pPr>
            <w:r w:rsidRPr="00FA38B2">
              <w:rPr>
                <w:rFonts w:cs="Times New Roman"/>
                <w:szCs w:val="24"/>
              </w:rPr>
              <w:t>White</w:t>
            </w:r>
          </w:p>
          <w:p w14:paraId="4107C42D" w14:textId="77777777" w:rsidR="009E1933" w:rsidRPr="00FA38B2" w:rsidRDefault="009E1933" w:rsidP="0015321A">
            <w:pPr>
              <w:spacing w:line="240" w:lineRule="auto"/>
              <w:rPr>
                <w:rFonts w:cs="Times New Roman"/>
                <w:szCs w:val="24"/>
              </w:rPr>
            </w:pPr>
            <w:r w:rsidRPr="00FA38B2">
              <w:rPr>
                <w:rFonts w:cs="Times New Roman"/>
                <w:szCs w:val="24"/>
              </w:rPr>
              <w:t>White</w:t>
            </w:r>
          </w:p>
        </w:tc>
        <w:tc>
          <w:tcPr>
            <w:tcW w:w="923" w:type="dxa"/>
            <w:tcBorders>
              <w:bottom w:val="single" w:sz="4" w:space="0" w:color="000000"/>
            </w:tcBorders>
          </w:tcPr>
          <w:p w14:paraId="61FDDC5F" w14:textId="77777777" w:rsidR="009E1933" w:rsidRPr="00FA38B2" w:rsidRDefault="009E1933" w:rsidP="0015321A">
            <w:pPr>
              <w:spacing w:line="240" w:lineRule="auto"/>
              <w:rPr>
                <w:rFonts w:cs="Times New Roman"/>
                <w:szCs w:val="24"/>
              </w:rPr>
            </w:pPr>
            <w:r w:rsidRPr="00FA38B2">
              <w:rPr>
                <w:rFonts w:cs="Times New Roman"/>
                <w:szCs w:val="24"/>
              </w:rPr>
              <w:t xml:space="preserve">Female </w:t>
            </w:r>
          </w:p>
          <w:p w14:paraId="62FC032C" w14:textId="77777777" w:rsidR="009E1933" w:rsidRPr="00FA38B2" w:rsidRDefault="009E1933" w:rsidP="0015321A">
            <w:pPr>
              <w:spacing w:line="240" w:lineRule="auto"/>
              <w:rPr>
                <w:rFonts w:cs="Times New Roman"/>
                <w:szCs w:val="24"/>
              </w:rPr>
            </w:pPr>
            <w:r w:rsidRPr="00FA38B2">
              <w:rPr>
                <w:rFonts w:cs="Times New Roman"/>
                <w:szCs w:val="24"/>
              </w:rPr>
              <w:t>Female</w:t>
            </w:r>
          </w:p>
          <w:p w14:paraId="7912A6F1" w14:textId="77777777" w:rsidR="009E1933" w:rsidRPr="00FA38B2" w:rsidRDefault="009E1933" w:rsidP="0015321A">
            <w:pPr>
              <w:spacing w:line="240" w:lineRule="auto"/>
              <w:rPr>
                <w:rFonts w:cs="Times New Roman"/>
                <w:szCs w:val="24"/>
              </w:rPr>
            </w:pPr>
            <w:r w:rsidRPr="00FA38B2">
              <w:rPr>
                <w:rFonts w:cs="Times New Roman"/>
                <w:szCs w:val="24"/>
              </w:rPr>
              <w:t>Female</w:t>
            </w:r>
          </w:p>
          <w:p w14:paraId="5B9B6455" w14:textId="77777777" w:rsidR="009E1933" w:rsidRPr="00FA38B2" w:rsidRDefault="009E1933" w:rsidP="0015321A">
            <w:pPr>
              <w:spacing w:line="240" w:lineRule="auto"/>
              <w:rPr>
                <w:rFonts w:cs="Times New Roman"/>
                <w:szCs w:val="24"/>
              </w:rPr>
            </w:pPr>
            <w:r w:rsidRPr="00FA38B2">
              <w:rPr>
                <w:rFonts w:cs="Times New Roman"/>
                <w:szCs w:val="24"/>
              </w:rPr>
              <w:t>Female</w:t>
            </w:r>
          </w:p>
        </w:tc>
        <w:tc>
          <w:tcPr>
            <w:tcW w:w="616" w:type="dxa"/>
            <w:tcBorders>
              <w:bottom w:val="single" w:sz="4" w:space="0" w:color="000000"/>
            </w:tcBorders>
          </w:tcPr>
          <w:p w14:paraId="73650996" w14:textId="77777777" w:rsidR="009E1933" w:rsidRPr="00FA38B2" w:rsidRDefault="009E1933" w:rsidP="0015321A">
            <w:pPr>
              <w:spacing w:line="240" w:lineRule="auto"/>
              <w:rPr>
                <w:rFonts w:cs="Times New Roman"/>
                <w:szCs w:val="24"/>
              </w:rPr>
            </w:pPr>
            <w:r w:rsidRPr="00FA38B2">
              <w:rPr>
                <w:rFonts w:cs="Times New Roman"/>
                <w:szCs w:val="24"/>
              </w:rPr>
              <w:t>38</w:t>
            </w:r>
          </w:p>
          <w:p w14:paraId="062DB13D" w14:textId="77777777" w:rsidR="009E1933" w:rsidRPr="00FA38B2" w:rsidRDefault="009E1933" w:rsidP="0015321A">
            <w:pPr>
              <w:spacing w:line="240" w:lineRule="auto"/>
              <w:rPr>
                <w:rFonts w:cs="Times New Roman"/>
                <w:szCs w:val="24"/>
              </w:rPr>
            </w:pPr>
            <w:r w:rsidRPr="00FA38B2">
              <w:rPr>
                <w:rFonts w:cs="Times New Roman"/>
                <w:szCs w:val="24"/>
              </w:rPr>
              <w:t>40</w:t>
            </w:r>
          </w:p>
          <w:p w14:paraId="21F51A73" w14:textId="77777777" w:rsidR="009E1933" w:rsidRPr="00FA38B2" w:rsidRDefault="009E1933" w:rsidP="0015321A">
            <w:pPr>
              <w:spacing w:line="240" w:lineRule="auto"/>
              <w:rPr>
                <w:rFonts w:cs="Times New Roman"/>
                <w:szCs w:val="24"/>
              </w:rPr>
            </w:pPr>
            <w:r w:rsidRPr="00FA38B2">
              <w:rPr>
                <w:rFonts w:cs="Times New Roman"/>
                <w:szCs w:val="24"/>
              </w:rPr>
              <w:t>29</w:t>
            </w:r>
          </w:p>
          <w:p w14:paraId="53046479" w14:textId="77777777" w:rsidR="009E1933" w:rsidRPr="00FA38B2" w:rsidRDefault="009E1933" w:rsidP="0015321A">
            <w:pPr>
              <w:spacing w:line="240" w:lineRule="auto"/>
              <w:rPr>
                <w:rFonts w:cs="Times New Roman"/>
                <w:szCs w:val="24"/>
              </w:rPr>
            </w:pPr>
            <w:r w:rsidRPr="00FA38B2">
              <w:rPr>
                <w:rFonts w:cs="Times New Roman"/>
                <w:szCs w:val="24"/>
              </w:rPr>
              <w:t>51</w:t>
            </w:r>
          </w:p>
        </w:tc>
        <w:tc>
          <w:tcPr>
            <w:tcW w:w="1996" w:type="dxa"/>
            <w:tcBorders>
              <w:bottom w:val="single" w:sz="4" w:space="0" w:color="000000"/>
            </w:tcBorders>
          </w:tcPr>
          <w:p w14:paraId="6A8F66B9" w14:textId="77777777" w:rsidR="009E1933" w:rsidRPr="00FA38B2" w:rsidRDefault="009E1933" w:rsidP="0015321A">
            <w:pPr>
              <w:spacing w:line="240" w:lineRule="auto"/>
              <w:rPr>
                <w:rFonts w:cs="Times New Roman"/>
                <w:szCs w:val="24"/>
              </w:rPr>
            </w:pPr>
            <w:r w:rsidRPr="00FA38B2">
              <w:rPr>
                <w:rFonts w:cs="Times New Roman"/>
                <w:szCs w:val="24"/>
              </w:rPr>
              <w:t>10</w:t>
            </w:r>
          </w:p>
          <w:p w14:paraId="1A64AF36" w14:textId="77777777" w:rsidR="009E1933" w:rsidRPr="00FA38B2" w:rsidRDefault="009E1933" w:rsidP="0015321A">
            <w:pPr>
              <w:spacing w:line="240" w:lineRule="auto"/>
              <w:rPr>
                <w:rFonts w:cs="Times New Roman"/>
                <w:szCs w:val="24"/>
              </w:rPr>
            </w:pPr>
            <w:r w:rsidRPr="00FA38B2">
              <w:rPr>
                <w:rFonts w:cs="Times New Roman"/>
                <w:szCs w:val="24"/>
              </w:rPr>
              <w:t>N/A</w:t>
            </w:r>
          </w:p>
          <w:p w14:paraId="23A26297" w14:textId="77777777" w:rsidR="009E1933" w:rsidRPr="00FA38B2" w:rsidRDefault="009E1933" w:rsidP="0015321A">
            <w:pPr>
              <w:spacing w:line="240" w:lineRule="auto"/>
              <w:rPr>
                <w:rFonts w:cs="Times New Roman"/>
                <w:szCs w:val="24"/>
              </w:rPr>
            </w:pPr>
            <w:r w:rsidRPr="00FA38B2">
              <w:rPr>
                <w:rFonts w:cs="Times New Roman"/>
                <w:szCs w:val="24"/>
              </w:rPr>
              <w:t>4</w:t>
            </w:r>
          </w:p>
          <w:p w14:paraId="27AD08A2" w14:textId="77777777" w:rsidR="009E1933" w:rsidRPr="00FA38B2" w:rsidRDefault="009E1933" w:rsidP="0015321A">
            <w:pPr>
              <w:spacing w:line="240" w:lineRule="auto"/>
              <w:rPr>
                <w:rFonts w:cs="Times New Roman"/>
                <w:szCs w:val="24"/>
              </w:rPr>
            </w:pPr>
            <w:r w:rsidRPr="00FA38B2">
              <w:rPr>
                <w:rFonts w:cs="Times New Roman"/>
                <w:szCs w:val="24"/>
              </w:rPr>
              <w:t>32</w:t>
            </w:r>
          </w:p>
        </w:tc>
        <w:tc>
          <w:tcPr>
            <w:tcW w:w="1570" w:type="dxa"/>
            <w:tcBorders>
              <w:bottom w:val="single" w:sz="4" w:space="0" w:color="000000"/>
            </w:tcBorders>
          </w:tcPr>
          <w:p w14:paraId="3430F729" w14:textId="77777777" w:rsidR="009E1933" w:rsidRPr="00FA38B2" w:rsidRDefault="009E1933" w:rsidP="0015321A">
            <w:pPr>
              <w:spacing w:line="240" w:lineRule="auto"/>
              <w:rPr>
                <w:rFonts w:cs="Times New Roman"/>
                <w:szCs w:val="24"/>
              </w:rPr>
            </w:pPr>
            <w:r w:rsidRPr="00FA38B2">
              <w:rPr>
                <w:rFonts w:cs="Times New Roman"/>
                <w:szCs w:val="24"/>
              </w:rPr>
              <w:t>No</w:t>
            </w:r>
          </w:p>
          <w:p w14:paraId="55869E3C" w14:textId="77777777" w:rsidR="009E1933" w:rsidRPr="00FA38B2" w:rsidRDefault="009E1933" w:rsidP="0015321A">
            <w:pPr>
              <w:spacing w:line="240" w:lineRule="auto"/>
              <w:rPr>
                <w:rFonts w:cs="Times New Roman"/>
                <w:szCs w:val="24"/>
              </w:rPr>
            </w:pPr>
            <w:r w:rsidRPr="00FA38B2">
              <w:rPr>
                <w:rFonts w:cs="Times New Roman"/>
                <w:szCs w:val="24"/>
              </w:rPr>
              <w:t>Yes</w:t>
            </w:r>
          </w:p>
          <w:p w14:paraId="2871426F" w14:textId="77777777" w:rsidR="009E1933" w:rsidRPr="00FA38B2" w:rsidRDefault="009E1933" w:rsidP="0015321A">
            <w:pPr>
              <w:spacing w:line="240" w:lineRule="auto"/>
              <w:rPr>
                <w:rFonts w:cs="Times New Roman"/>
                <w:szCs w:val="24"/>
              </w:rPr>
            </w:pPr>
            <w:r w:rsidRPr="00FA38B2">
              <w:rPr>
                <w:rFonts w:cs="Times New Roman"/>
                <w:szCs w:val="24"/>
              </w:rPr>
              <w:t>No</w:t>
            </w:r>
          </w:p>
          <w:p w14:paraId="1C0E5F9D" w14:textId="77777777" w:rsidR="009E1933" w:rsidRPr="00FA38B2" w:rsidRDefault="009E1933" w:rsidP="0015321A">
            <w:pPr>
              <w:spacing w:line="240" w:lineRule="auto"/>
              <w:rPr>
                <w:rFonts w:cs="Times New Roman"/>
                <w:szCs w:val="24"/>
              </w:rPr>
            </w:pPr>
            <w:r w:rsidRPr="00FA38B2">
              <w:rPr>
                <w:rFonts w:cs="Times New Roman"/>
                <w:szCs w:val="24"/>
              </w:rPr>
              <w:t>Yes</w:t>
            </w:r>
          </w:p>
        </w:tc>
        <w:tc>
          <w:tcPr>
            <w:tcW w:w="1275" w:type="dxa"/>
            <w:tcBorders>
              <w:bottom w:val="single" w:sz="4" w:space="0" w:color="000000"/>
            </w:tcBorders>
          </w:tcPr>
          <w:p w14:paraId="6E76C1DB" w14:textId="77777777" w:rsidR="009E1933" w:rsidRPr="00FA38B2" w:rsidRDefault="009E1933" w:rsidP="0015321A">
            <w:pPr>
              <w:spacing w:line="240" w:lineRule="auto"/>
              <w:rPr>
                <w:rFonts w:cs="Times New Roman"/>
                <w:szCs w:val="24"/>
              </w:rPr>
            </w:pPr>
            <w:r w:rsidRPr="00FA38B2">
              <w:rPr>
                <w:rFonts w:cs="Times New Roman"/>
                <w:szCs w:val="24"/>
              </w:rPr>
              <w:t xml:space="preserve">Married </w:t>
            </w:r>
          </w:p>
          <w:p w14:paraId="5CF7D4C2" w14:textId="77777777" w:rsidR="009E1933" w:rsidRPr="00FA38B2" w:rsidRDefault="009E1933" w:rsidP="0015321A">
            <w:pPr>
              <w:spacing w:line="240" w:lineRule="auto"/>
              <w:rPr>
                <w:rFonts w:cs="Times New Roman"/>
                <w:szCs w:val="24"/>
              </w:rPr>
            </w:pPr>
            <w:r w:rsidRPr="00FA38B2">
              <w:rPr>
                <w:rFonts w:cs="Times New Roman"/>
                <w:szCs w:val="24"/>
              </w:rPr>
              <w:t>Married</w:t>
            </w:r>
          </w:p>
          <w:p w14:paraId="2AAA0D64" w14:textId="77777777" w:rsidR="009E1933" w:rsidRPr="00FA38B2" w:rsidRDefault="009E1933" w:rsidP="0015321A">
            <w:pPr>
              <w:spacing w:line="240" w:lineRule="auto"/>
              <w:rPr>
                <w:rFonts w:cs="Times New Roman"/>
                <w:szCs w:val="24"/>
              </w:rPr>
            </w:pPr>
            <w:r w:rsidRPr="00FA38B2">
              <w:rPr>
                <w:rFonts w:cs="Times New Roman"/>
                <w:szCs w:val="24"/>
              </w:rPr>
              <w:t>Single</w:t>
            </w:r>
          </w:p>
          <w:p w14:paraId="4FD5870C" w14:textId="3764955F" w:rsidR="009E1933" w:rsidRPr="00FA38B2" w:rsidRDefault="009E1933" w:rsidP="0015321A">
            <w:pPr>
              <w:spacing w:line="240" w:lineRule="auto"/>
              <w:rPr>
                <w:rFonts w:cs="Times New Roman"/>
                <w:szCs w:val="24"/>
              </w:rPr>
            </w:pPr>
            <w:r w:rsidRPr="00FA38B2">
              <w:rPr>
                <w:rFonts w:cs="Times New Roman"/>
                <w:szCs w:val="24"/>
              </w:rPr>
              <w:t>Mar</w:t>
            </w:r>
            <w:r w:rsidR="004D41DD" w:rsidRPr="00FA38B2">
              <w:rPr>
                <w:rFonts w:cs="Times New Roman"/>
                <w:szCs w:val="24"/>
              </w:rPr>
              <w:t>ried</w:t>
            </w:r>
          </w:p>
        </w:tc>
      </w:tr>
    </w:tbl>
    <w:p w14:paraId="4549D378" w14:textId="0F36ED8E" w:rsidR="00F242E6" w:rsidRPr="00FA38B2" w:rsidRDefault="00212DB3" w:rsidP="0015321A">
      <w:pPr>
        <w:rPr>
          <w:rFonts w:cs="Times New Roman"/>
          <w:szCs w:val="24"/>
        </w:rPr>
      </w:pPr>
      <w:r w:rsidRPr="00FA38B2">
        <w:rPr>
          <w:rFonts w:cs="Times New Roman"/>
          <w:szCs w:val="24"/>
        </w:rPr>
        <w:br w:type="page"/>
      </w:r>
    </w:p>
    <w:p w14:paraId="77BEDBD2" w14:textId="4057B899" w:rsidR="00F921C6" w:rsidRPr="00FA38B2" w:rsidRDefault="002011C1" w:rsidP="0015321A">
      <w:pPr>
        <w:pStyle w:val="Heading1"/>
        <w:rPr>
          <w:rFonts w:cs="Times New Roman"/>
          <w:szCs w:val="24"/>
        </w:rPr>
      </w:pPr>
      <w:bookmarkStart w:id="19" w:name="_Toc70181490"/>
      <w:r w:rsidRPr="00FA38B2">
        <w:rPr>
          <w:rStyle w:val="Heading1Char"/>
          <w:rFonts w:cs="Times New Roman"/>
          <w:b/>
          <w:szCs w:val="24"/>
        </w:rPr>
        <w:lastRenderedPageBreak/>
        <w:t>Chapter 3</w:t>
      </w:r>
      <w:r w:rsidR="00B85D41" w:rsidRPr="00FA38B2">
        <w:rPr>
          <w:rStyle w:val="Heading1Char"/>
          <w:rFonts w:cs="Times New Roman"/>
          <w:b/>
          <w:szCs w:val="24"/>
        </w:rPr>
        <w:t>:</w:t>
      </w:r>
      <w:r w:rsidR="00DF27A9" w:rsidRPr="00FA38B2">
        <w:rPr>
          <w:rStyle w:val="Heading1Char"/>
          <w:rFonts w:cs="Times New Roman"/>
          <w:szCs w:val="24"/>
        </w:rPr>
        <w:t xml:space="preserve"> </w:t>
      </w:r>
      <w:r w:rsidR="00F921C6" w:rsidRPr="00FA38B2">
        <w:rPr>
          <w:rFonts w:cs="Times New Roman"/>
          <w:szCs w:val="24"/>
        </w:rPr>
        <w:t>A Quasi-Experimental Investigation of Adult Student Enrollment Responses to the Tennessee Reconnect Grant</w:t>
      </w:r>
      <w:bookmarkEnd w:id="19"/>
      <w:r w:rsidR="00F921C6" w:rsidRPr="00FA38B2">
        <w:rPr>
          <w:rFonts w:cs="Times New Roman"/>
          <w:szCs w:val="24"/>
        </w:rPr>
        <w:t xml:space="preserve"> </w:t>
      </w:r>
    </w:p>
    <w:p w14:paraId="531CAE93" w14:textId="199EAF7C" w:rsidR="003B73F1" w:rsidRPr="00FA38B2" w:rsidRDefault="003B73F1" w:rsidP="0015321A">
      <w:pPr>
        <w:pStyle w:val="Heading1"/>
        <w:rPr>
          <w:rFonts w:cs="Times New Roman"/>
          <w:szCs w:val="24"/>
        </w:rPr>
      </w:pPr>
    </w:p>
    <w:p w14:paraId="42FDF00A" w14:textId="77777777" w:rsidR="00F242E6" w:rsidRPr="00FA38B2" w:rsidRDefault="00F242E6" w:rsidP="0015321A">
      <w:pPr>
        <w:ind w:firstLine="720"/>
        <w:rPr>
          <w:rFonts w:cs="Times New Roman"/>
          <w:szCs w:val="24"/>
        </w:rPr>
      </w:pPr>
    </w:p>
    <w:p w14:paraId="267F296E" w14:textId="77777777" w:rsidR="0015321A" w:rsidRPr="00FA38B2" w:rsidRDefault="0015321A" w:rsidP="0015321A">
      <w:pPr>
        <w:jc w:val="center"/>
        <w:rPr>
          <w:rFonts w:cs="Times New Roman"/>
          <w:szCs w:val="24"/>
        </w:rPr>
      </w:pPr>
    </w:p>
    <w:p w14:paraId="4FBFFDE3" w14:textId="77777777" w:rsidR="0015321A" w:rsidRPr="00FA38B2" w:rsidRDefault="0015321A" w:rsidP="0015321A">
      <w:pPr>
        <w:jc w:val="center"/>
        <w:rPr>
          <w:rFonts w:cs="Times New Roman"/>
          <w:szCs w:val="24"/>
        </w:rPr>
      </w:pPr>
    </w:p>
    <w:p w14:paraId="52EEA4B0" w14:textId="77777777" w:rsidR="0015321A" w:rsidRPr="00FA38B2" w:rsidRDefault="0015321A" w:rsidP="0015321A">
      <w:pPr>
        <w:jc w:val="center"/>
        <w:rPr>
          <w:rFonts w:cs="Times New Roman"/>
          <w:szCs w:val="24"/>
        </w:rPr>
      </w:pPr>
    </w:p>
    <w:p w14:paraId="25F142C8" w14:textId="166E9B64" w:rsidR="00F921C6" w:rsidRPr="00FA38B2" w:rsidRDefault="00F921C6" w:rsidP="0015321A">
      <w:pPr>
        <w:jc w:val="center"/>
        <w:rPr>
          <w:rFonts w:cs="Times New Roman"/>
          <w:szCs w:val="24"/>
        </w:rPr>
      </w:pPr>
      <w:r w:rsidRPr="00FA38B2">
        <w:rPr>
          <w:rFonts w:cs="Times New Roman"/>
          <w:szCs w:val="24"/>
        </w:rPr>
        <w:t>Gresham D. Collom</w:t>
      </w:r>
    </w:p>
    <w:p w14:paraId="7B06E69C" w14:textId="77777777" w:rsidR="00F921C6" w:rsidRPr="00FA38B2" w:rsidRDefault="00F921C6" w:rsidP="0015321A">
      <w:pPr>
        <w:rPr>
          <w:rFonts w:cs="Times New Roman"/>
          <w:szCs w:val="24"/>
        </w:rPr>
      </w:pPr>
      <w:r w:rsidRPr="00FA38B2">
        <w:rPr>
          <w:rFonts w:cs="Times New Roman"/>
          <w:szCs w:val="24"/>
        </w:rPr>
        <w:br w:type="page"/>
      </w:r>
    </w:p>
    <w:p w14:paraId="27DDD920" w14:textId="77777777" w:rsidR="00F921C6" w:rsidRPr="00FA38B2" w:rsidRDefault="00F921C6" w:rsidP="0015321A">
      <w:pPr>
        <w:pStyle w:val="Heading2"/>
        <w:jc w:val="center"/>
        <w:rPr>
          <w:rFonts w:cs="Times New Roman"/>
          <w:szCs w:val="24"/>
        </w:rPr>
      </w:pPr>
      <w:bookmarkStart w:id="20" w:name="_Toc70181491"/>
      <w:r w:rsidRPr="00FA38B2">
        <w:rPr>
          <w:rFonts w:cs="Times New Roman"/>
          <w:szCs w:val="24"/>
        </w:rPr>
        <w:lastRenderedPageBreak/>
        <w:t>Abstract</w:t>
      </w:r>
      <w:bookmarkEnd w:id="20"/>
    </w:p>
    <w:p w14:paraId="04DF5AA0" w14:textId="449D7A02" w:rsidR="00F921C6" w:rsidRPr="00FA38B2" w:rsidRDefault="00F921C6" w:rsidP="0015321A">
      <w:pPr>
        <w:spacing w:after="120"/>
        <w:rPr>
          <w:rFonts w:cs="Times New Roman"/>
          <w:szCs w:val="24"/>
        </w:rPr>
      </w:pPr>
      <w:r w:rsidRPr="00FA38B2">
        <w:rPr>
          <w:rFonts w:cs="Times New Roman"/>
          <w:szCs w:val="24"/>
        </w:rPr>
        <w:t xml:space="preserve">In this study I deployed quasi-experimental methods to explore enrollment responses to a unique statewide college promise program for adult students attending college within the two-year public postsecondary education sector in Tennessee. State policymakers implemented Tennessee Reconnect in 2018 to encourage adult students without a college degree to enroll in college and pursue a postsecondary credential or degree. There is little research quantitatively exploring how promise programs affect adult student enrollment in contrast with nationwide trends. For this study, I employ differences-in-differences to determine the effect of Tennessee Reconnect on total, part-time, full-time, male, and female adult student enrollment at public two-year postsecondary institutions in the first two years of the program. Findings revealed a significant increase in enrollment in response to the policy across all adult student categories in the first year. While overall adult student enrollment increased in the second year of the program, only part-time students and male students saw significant increases compared to the nationwide sample. Findings are encouraging regarding adult student responses to a free college program and how states can leverage policy to increase enrollment among individuals who may not have otherwise pursued postsecondary education, such as adult students. </w:t>
      </w:r>
    </w:p>
    <w:p w14:paraId="07A44FDF" w14:textId="77777777" w:rsidR="00F921C6" w:rsidRPr="00FA38B2" w:rsidRDefault="00F921C6" w:rsidP="0015321A">
      <w:pPr>
        <w:spacing w:after="120"/>
        <w:ind w:left="720"/>
        <w:rPr>
          <w:rFonts w:cs="Times New Roman"/>
          <w:szCs w:val="24"/>
        </w:rPr>
      </w:pPr>
      <w:r w:rsidRPr="00FA38B2">
        <w:rPr>
          <w:rFonts w:cs="Times New Roman"/>
          <w:szCs w:val="24"/>
        </w:rPr>
        <w:t xml:space="preserve">Keywords: free college; promise program; Tennessee Reconnect; financial aid </w:t>
      </w:r>
    </w:p>
    <w:p w14:paraId="4598C3C7" w14:textId="77777777" w:rsidR="00F921C6" w:rsidRPr="00FA38B2" w:rsidRDefault="00F921C6" w:rsidP="0015321A">
      <w:pPr>
        <w:rPr>
          <w:rFonts w:cs="Times New Roman"/>
          <w:b/>
          <w:szCs w:val="24"/>
        </w:rPr>
      </w:pPr>
      <w:r w:rsidRPr="00FA38B2">
        <w:rPr>
          <w:rFonts w:cs="Times New Roman"/>
          <w:b/>
          <w:szCs w:val="24"/>
        </w:rPr>
        <w:br w:type="page"/>
      </w:r>
    </w:p>
    <w:p w14:paraId="22F5DAA3" w14:textId="77777777" w:rsidR="00B30AB6" w:rsidRPr="00FA38B2" w:rsidRDefault="00B30AB6" w:rsidP="0015321A">
      <w:pPr>
        <w:spacing w:after="120"/>
        <w:jc w:val="center"/>
        <w:rPr>
          <w:rFonts w:cs="Times New Roman"/>
          <w:b/>
          <w:szCs w:val="24"/>
        </w:rPr>
      </w:pPr>
      <w:r w:rsidRPr="00FA38B2">
        <w:rPr>
          <w:rFonts w:cs="Times New Roman"/>
          <w:b/>
          <w:szCs w:val="24"/>
        </w:rPr>
        <w:lastRenderedPageBreak/>
        <w:t>A Quasi-Experimental Investigation of Adult Student Enrollment Responses Following the Implementation of Tennessee Reconnect Grant</w:t>
      </w:r>
    </w:p>
    <w:p w14:paraId="36679F07" w14:textId="1CADD605" w:rsidR="00F921C6" w:rsidRPr="00FA38B2" w:rsidRDefault="00F921C6" w:rsidP="0015321A">
      <w:pPr>
        <w:spacing w:after="120"/>
        <w:ind w:firstLine="720"/>
        <w:rPr>
          <w:rFonts w:cs="Times New Roman"/>
          <w:szCs w:val="24"/>
        </w:rPr>
      </w:pPr>
      <w:r w:rsidRPr="00FA38B2">
        <w:rPr>
          <w:rFonts w:cs="Times New Roman"/>
          <w:szCs w:val="24"/>
        </w:rPr>
        <w:t>Statewide promise programs, or free college programs, are increasing in popularity in the United States. The growing student debt crisis paired with increasing tuition and fee</w:t>
      </w:r>
      <w:r w:rsidR="00E66C88">
        <w:rPr>
          <w:rFonts w:cs="Times New Roman"/>
          <w:szCs w:val="24"/>
        </w:rPr>
        <w:t xml:space="preserve">s at public institutions is </w:t>
      </w:r>
      <w:r w:rsidRPr="00FA38B2">
        <w:rPr>
          <w:rFonts w:cs="Times New Roman"/>
          <w:szCs w:val="24"/>
        </w:rPr>
        <w:t>driving the student financing reform conversation. The cost to attend college, specifically tuition expenses, increased at a historic pace during the last 30 years (</w:t>
      </w:r>
      <w:proofErr w:type="spellStart"/>
      <w:r w:rsidRPr="00FA38B2">
        <w:rPr>
          <w:rFonts w:cs="Times New Roman"/>
          <w:szCs w:val="24"/>
        </w:rPr>
        <w:t>Perna</w:t>
      </w:r>
      <w:proofErr w:type="spellEnd"/>
      <w:r w:rsidRPr="00FA38B2">
        <w:rPr>
          <w:rFonts w:cs="Times New Roman"/>
          <w:szCs w:val="24"/>
        </w:rPr>
        <w:t xml:space="preserve"> et al., 2017). The burgeoning costs of college paired with a widening economic gap between the upper- and lower-income brackets in the United States created a system where low- and middle-income students were forced to borrow thousands of dollars to obtain a college education (</w:t>
      </w:r>
      <w:proofErr w:type="spellStart"/>
      <w:r w:rsidRPr="00FA38B2">
        <w:rPr>
          <w:rFonts w:cs="Times New Roman"/>
          <w:szCs w:val="24"/>
        </w:rPr>
        <w:t>Perna</w:t>
      </w:r>
      <w:proofErr w:type="spellEnd"/>
      <w:r w:rsidRPr="00FA38B2">
        <w:rPr>
          <w:rFonts w:cs="Times New Roman"/>
          <w:szCs w:val="24"/>
        </w:rPr>
        <w:t xml:space="preserve"> et al., 2017). Promise programs, although often varied in their design, are gaining popularity in part because of their simple and marketable message of free college for all (Bell, 2020). Policymakers and advocates for promise programs also point to the potential to increase enrollment and attainment among groups who would not have otherwise pursued postsecondary education (Bell, 2020). While the individual cost saving utility of last dollar promise scholarships is uncertain, especially among low-income or </w:t>
      </w:r>
      <w:proofErr w:type="spellStart"/>
      <w:r w:rsidRPr="00FA38B2">
        <w:rPr>
          <w:rFonts w:cs="Times New Roman"/>
          <w:szCs w:val="24"/>
        </w:rPr>
        <w:t>minoritized</w:t>
      </w:r>
      <w:proofErr w:type="spellEnd"/>
      <w:r w:rsidRPr="00FA38B2">
        <w:rPr>
          <w:rFonts w:cs="Times New Roman"/>
          <w:szCs w:val="24"/>
        </w:rPr>
        <w:t xml:space="preserve"> students (Collom et al., forthcoming; Davidson et al., 2020), research on existing statewide promise programs shows causal increases in college enrollment among all student groups (Nguyen, 2019; Nguyen, 2020). </w:t>
      </w:r>
    </w:p>
    <w:p w14:paraId="404CA5F0" w14:textId="77777777" w:rsidR="00F921C6" w:rsidRPr="00FA38B2" w:rsidRDefault="00F921C6" w:rsidP="0015321A">
      <w:pPr>
        <w:spacing w:after="120"/>
        <w:rPr>
          <w:rFonts w:cs="Times New Roman"/>
          <w:szCs w:val="24"/>
        </w:rPr>
      </w:pPr>
      <w:r w:rsidRPr="00FA38B2">
        <w:rPr>
          <w:rFonts w:cs="Times New Roman"/>
          <w:szCs w:val="24"/>
        </w:rPr>
        <w:tab/>
        <w:t xml:space="preserve">The Tennessee Reconnect grant was implemented in 2018 specifically to increase postsecondary credential and degree attainment among adult students and individuals with some-college-no-degree (SCND) in the state. Currently, it is not known whether enrollment responses to the Tennessee Reconnect reflected those observed in other statewide promise programs. As more states consider the structure of their own promise programs, it is essential to explore how policy structures affect student outcomes in currently existing statewide programs. Further, if TN </w:t>
      </w:r>
      <w:r w:rsidRPr="00FA38B2">
        <w:rPr>
          <w:rFonts w:cs="Times New Roman"/>
          <w:szCs w:val="24"/>
        </w:rPr>
        <w:lastRenderedPageBreak/>
        <w:t xml:space="preserve">Reconnect is effective for encouraging SCND students and other non-traditional adult students to enroll in college, other policymakers considering potential statewide or federal legislation must consider whether their own promise program should include age restrictions. Thus, the purpose of this study was to explore adult student enrollment responses to the implementation of the Tennessee Reconnect in 2018.  </w:t>
      </w:r>
    </w:p>
    <w:p w14:paraId="5786AC39" w14:textId="24AC604D" w:rsidR="00F921C6" w:rsidRPr="00FA38B2" w:rsidRDefault="00F921C6" w:rsidP="0015321A">
      <w:pPr>
        <w:spacing w:after="120"/>
        <w:ind w:firstLine="720"/>
        <w:rPr>
          <w:rFonts w:cs="Times New Roman"/>
          <w:szCs w:val="24"/>
        </w:rPr>
      </w:pPr>
      <w:r w:rsidRPr="00FA38B2">
        <w:rPr>
          <w:rFonts w:cs="Times New Roman"/>
          <w:szCs w:val="24"/>
        </w:rPr>
        <w:t xml:space="preserve">Data for this study include total, part-time, full-time, male, and female adult student enrollment at public two-year technical and associate degree grant institutions between 2011 and 2019. Further, I controlled for state economic conditions by including data from the 2011 to 2019 nationwide censuses. Data were gathered from the Integrated Postsecondary Education Data Systems (IPEDS) and from the U.S. Census Bureau. A differences-in-differences estimation was used to observe the enrollment responses among adult students following the implementation of the Tennessee Reconnect. The guiding research questions for this study were: </w:t>
      </w:r>
    </w:p>
    <w:p w14:paraId="6489DDD9" w14:textId="77777777" w:rsidR="00F921C6" w:rsidRPr="00FA38B2" w:rsidRDefault="00F921C6" w:rsidP="0015321A">
      <w:pPr>
        <w:numPr>
          <w:ilvl w:val="0"/>
          <w:numId w:val="12"/>
        </w:numPr>
        <w:spacing w:after="120"/>
        <w:rPr>
          <w:rFonts w:cs="Times New Roman"/>
          <w:szCs w:val="24"/>
        </w:rPr>
      </w:pPr>
      <w:r w:rsidRPr="00FA38B2">
        <w:rPr>
          <w:rFonts w:cs="Times New Roman"/>
          <w:szCs w:val="24"/>
        </w:rPr>
        <w:t xml:space="preserve">What were the adult student enrollment responses to the implementation of the Tennessee Reconnect grant policy? </w:t>
      </w:r>
    </w:p>
    <w:p w14:paraId="1810B131" w14:textId="77777777" w:rsidR="00F921C6" w:rsidRPr="00FA38B2" w:rsidRDefault="00F921C6" w:rsidP="0015321A">
      <w:pPr>
        <w:numPr>
          <w:ilvl w:val="0"/>
          <w:numId w:val="12"/>
        </w:numPr>
        <w:spacing w:after="120"/>
        <w:rPr>
          <w:rFonts w:cs="Times New Roman"/>
          <w:szCs w:val="24"/>
        </w:rPr>
      </w:pPr>
      <w:r w:rsidRPr="00FA38B2">
        <w:rPr>
          <w:rFonts w:cs="Times New Roman"/>
          <w:szCs w:val="24"/>
        </w:rPr>
        <w:t xml:space="preserve">To what extent do enrollment responses vary according to gender and part/full-time enrollment status? </w:t>
      </w:r>
    </w:p>
    <w:p w14:paraId="536A52BB" w14:textId="77777777" w:rsidR="00F921C6" w:rsidRPr="00FA38B2" w:rsidRDefault="00F921C6" w:rsidP="0015321A">
      <w:pPr>
        <w:pStyle w:val="Heading2"/>
        <w:jc w:val="center"/>
        <w:rPr>
          <w:rFonts w:cs="Times New Roman"/>
          <w:szCs w:val="24"/>
        </w:rPr>
      </w:pPr>
      <w:bookmarkStart w:id="21" w:name="_Toc70181492"/>
      <w:r w:rsidRPr="00FA38B2">
        <w:rPr>
          <w:rFonts w:cs="Times New Roman"/>
          <w:szCs w:val="24"/>
        </w:rPr>
        <w:t>Research on Statewide Promise Programs</w:t>
      </w:r>
      <w:bookmarkEnd w:id="21"/>
    </w:p>
    <w:p w14:paraId="30F4B709" w14:textId="77777777" w:rsidR="00F921C6" w:rsidRPr="00FA38B2" w:rsidRDefault="00F921C6" w:rsidP="0015321A">
      <w:pPr>
        <w:spacing w:after="120"/>
        <w:ind w:firstLine="720"/>
        <w:rPr>
          <w:rFonts w:cs="Times New Roman"/>
          <w:szCs w:val="24"/>
        </w:rPr>
      </w:pPr>
      <w:r w:rsidRPr="00FA38B2">
        <w:rPr>
          <w:rFonts w:cs="Times New Roman"/>
          <w:szCs w:val="24"/>
        </w:rPr>
        <w:t xml:space="preserve">There is a large body of research regarding institutional and local promise programs (see </w:t>
      </w:r>
      <w:proofErr w:type="spellStart"/>
      <w:r w:rsidRPr="00FA38B2">
        <w:rPr>
          <w:rFonts w:cs="Times New Roman"/>
          <w:szCs w:val="24"/>
        </w:rPr>
        <w:t>Perna</w:t>
      </w:r>
      <w:proofErr w:type="spellEnd"/>
      <w:r w:rsidRPr="00FA38B2">
        <w:rPr>
          <w:rFonts w:cs="Times New Roman"/>
          <w:szCs w:val="24"/>
        </w:rPr>
        <w:t xml:space="preserve"> &amp; Leigh, 2018; Swanson et al., 2017). While institutional and local promise programs were popularized with the 2005 Kalamazoo Promise, statewide promise programs are a more recent development (Davidson et al., 2020). Thus, there is limited body of research exploring statewide college promise programs (</w:t>
      </w:r>
      <w:proofErr w:type="spellStart"/>
      <w:r w:rsidRPr="00FA38B2">
        <w:rPr>
          <w:rFonts w:cs="Times New Roman"/>
          <w:szCs w:val="24"/>
        </w:rPr>
        <w:t>Perna</w:t>
      </w:r>
      <w:proofErr w:type="spellEnd"/>
      <w:r w:rsidRPr="00FA38B2">
        <w:rPr>
          <w:rFonts w:cs="Times New Roman"/>
          <w:szCs w:val="24"/>
        </w:rPr>
        <w:t xml:space="preserve"> &amp; Smith, 2020). In the following section, I provided </w:t>
      </w:r>
      <w:r w:rsidRPr="00FA38B2">
        <w:rPr>
          <w:rFonts w:cs="Times New Roman"/>
          <w:szCs w:val="24"/>
        </w:rPr>
        <w:lastRenderedPageBreak/>
        <w:t xml:space="preserve">a brief review of current research exploring statewide promise programs and identified the need for this study.  </w:t>
      </w:r>
    </w:p>
    <w:p w14:paraId="371EABB6" w14:textId="384617FD" w:rsidR="00F921C6" w:rsidRPr="00FA38B2" w:rsidRDefault="00F921C6" w:rsidP="0015321A">
      <w:pPr>
        <w:spacing w:after="120"/>
        <w:rPr>
          <w:rFonts w:cs="Times New Roman"/>
          <w:szCs w:val="24"/>
        </w:rPr>
      </w:pPr>
      <w:r w:rsidRPr="00FA38B2">
        <w:rPr>
          <w:rFonts w:cs="Times New Roman"/>
          <w:szCs w:val="24"/>
        </w:rPr>
        <w:tab/>
        <w:t xml:space="preserve">Several scholars have attempted to classify statewide programs systematically (Davidson et al., 2020; </w:t>
      </w:r>
      <w:proofErr w:type="spellStart"/>
      <w:r w:rsidRPr="00FA38B2">
        <w:rPr>
          <w:rFonts w:cs="Times New Roman"/>
          <w:szCs w:val="24"/>
        </w:rPr>
        <w:t>Perna</w:t>
      </w:r>
      <w:proofErr w:type="spellEnd"/>
      <w:r w:rsidRPr="00FA38B2">
        <w:rPr>
          <w:rFonts w:cs="Times New Roman"/>
          <w:szCs w:val="24"/>
        </w:rPr>
        <w:t xml:space="preserve"> &amp; Leigh, 2018). In their recent systematic review of statewide promise programs, Davidson et al. (2020) limited their sample to programs available throughout the entire state and programs which do not have high merit-based requirements. </w:t>
      </w:r>
      <w:bookmarkStart w:id="22" w:name="_Hlk67929717"/>
      <w:r w:rsidRPr="00FA38B2">
        <w:rPr>
          <w:rFonts w:cs="Times New Roman"/>
          <w:szCs w:val="24"/>
        </w:rPr>
        <w:t xml:space="preserve">In their analysis, the authors identified 13 statewide programs which shared five common traits, including: </w:t>
      </w:r>
      <w:r w:rsidR="003016C3" w:rsidRPr="00FA38B2">
        <w:rPr>
          <w:rFonts w:cs="Times New Roman"/>
          <w:szCs w:val="24"/>
        </w:rPr>
        <w:t>(a</w:t>
      </w:r>
      <w:r w:rsidRPr="00FA38B2">
        <w:rPr>
          <w:rFonts w:cs="Times New Roman"/>
          <w:szCs w:val="24"/>
        </w:rPr>
        <w:t xml:space="preserve">) the program required a high school diploma or GED, </w:t>
      </w:r>
      <w:r w:rsidR="003016C3" w:rsidRPr="00FA38B2">
        <w:rPr>
          <w:rFonts w:cs="Times New Roman"/>
          <w:szCs w:val="24"/>
        </w:rPr>
        <w:t>(b</w:t>
      </w:r>
      <w:r w:rsidRPr="00FA38B2">
        <w:rPr>
          <w:rFonts w:cs="Times New Roman"/>
          <w:szCs w:val="24"/>
        </w:rPr>
        <w:t xml:space="preserve">) the program required a FAFSA application, </w:t>
      </w:r>
      <w:r w:rsidR="003016C3" w:rsidRPr="00FA38B2">
        <w:rPr>
          <w:rFonts w:cs="Times New Roman"/>
          <w:szCs w:val="24"/>
        </w:rPr>
        <w:t>(c</w:t>
      </w:r>
      <w:r w:rsidRPr="00FA38B2">
        <w:rPr>
          <w:rFonts w:cs="Times New Roman"/>
          <w:szCs w:val="24"/>
        </w:rPr>
        <w:t xml:space="preserve">) the program was a last-dollar program, </w:t>
      </w:r>
      <w:r w:rsidR="003016C3" w:rsidRPr="00FA38B2">
        <w:rPr>
          <w:rFonts w:cs="Times New Roman"/>
          <w:szCs w:val="24"/>
        </w:rPr>
        <w:t>(d</w:t>
      </w:r>
      <w:r w:rsidRPr="00FA38B2">
        <w:rPr>
          <w:rFonts w:cs="Times New Roman"/>
          <w:szCs w:val="24"/>
        </w:rPr>
        <w:t xml:space="preserve">) the program used state appropriations and funds, and </w:t>
      </w:r>
      <w:r w:rsidR="003016C3" w:rsidRPr="00FA38B2">
        <w:rPr>
          <w:rFonts w:cs="Times New Roman"/>
          <w:szCs w:val="24"/>
        </w:rPr>
        <w:t>(e</w:t>
      </w:r>
      <w:r w:rsidRPr="00FA38B2">
        <w:rPr>
          <w:rFonts w:cs="Times New Roman"/>
          <w:szCs w:val="24"/>
        </w:rPr>
        <w:t xml:space="preserve">) the program required satisfactory academic progress (Davidson et al., 2020). </w:t>
      </w:r>
      <w:bookmarkEnd w:id="22"/>
      <w:r w:rsidRPr="00FA38B2">
        <w:rPr>
          <w:rFonts w:cs="Times New Roman"/>
          <w:szCs w:val="24"/>
        </w:rPr>
        <w:t xml:space="preserve">The authors concluded that statewide promise programs may increase postsecondary access and participation, although the last-dollar structure limited the financial benefit to low-income students (Davidson et al., 2020). Further, the authors called for research on individual statewide programs to determine how variability in program traits impacts student outcomes (Davidson et al., 2020). </w:t>
      </w:r>
    </w:p>
    <w:p w14:paraId="2EAE3DFC" w14:textId="77777777" w:rsidR="00F921C6" w:rsidRPr="00FA38B2" w:rsidRDefault="00F921C6" w:rsidP="0015321A">
      <w:pPr>
        <w:spacing w:after="120"/>
        <w:rPr>
          <w:rFonts w:cs="Times New Roman"/>
          <w:szCs w:val="24"/>
        </w:rPr>
      </w:pPr>
      <w:r w:rsidRPr="00FA38B2">
        <w:rPr>
          <w:rFonts w:cs="Times New Roman"/>
          <w:szCs w:val="24"/>
        </w:rPr>
        <w:tab/>
        <w:t>While still limited, the research exploring individual statewide programs reveals mixed results regarding student outcomes. In his 2019 analysis of the New York Excelsior program, Nguyen found that the positive effects of the promise program may be mitigated by its strict requirements. The author stated that:</w:t>
      </w:r>
    </w:p>
    <w:p w14:paraId="6D8CB05B" w14:textId="77777777" w:rsidR="00F921C6" w:rsidRPr="00FA38B2" w:rsidRDefault="00F921C6" w:rsidP="0015321A">
      <w:pPr>
        <w:spacing w:after="120"/>
        <w:ind w:left="720"/>
        <w:rPr>
          <w:rFonts w:cs="Times New Roman"/>
          <w:szCs w:val="24"/>
        </w:rPr>
      </w:pPr>
      <w:r w:rsidRPr="00FA38B2">
        <w:rPr>
          <w:rFonts w:cs="Times New Roman"/>
          <w:szCs w:val="24"/>
        </w:rPr>
        <w:t>While Excelsior provides New Yorkers with a highly cost-effective option for pursuing postsecondary education, the program involves an intricate set of binding academic and institutional requirements, the existence of which is likely to deter at least a portion of students who could have enjoyed the benefits of such a large-scale tuition reduction program. (Nguyen, 2019, p. 584)</w:t>
      </w:r>
    </w:p>
    <w:p w14:paraId="49567BA9" w14:textId="73A14758" w:rsidR="00F921C6" w:rsidRPr="00FA38B2" w:rsidRDefault="00F921C6" w:rsidP="0015321A">
      <w:pPr>
        <w:spacing w:after="120"/>
        <w:rPr>
          <w:rFonts w:cs="Times New Roman"/>
          <w:szCs w:val="24"/>
        </w:rPr>
      </w:pPr>
      <w:r w:rsidRPr="00FA38B2">
        <w:rPr>
          <w:rFonts w:cs="Times New Roman"/>
          <w:szCs w:val="24"/>
        </w:rPr>
        <w:lastRenderedPageBreak/>
        <w:t xml:space="preserve">The Excelsior program began in 2017 and provides a last-dollar scholarship to all public State University of New York and City University of New York institutions </w:t>
      </w:r>
      <w:r w:rsidR="00A26AE7" w:rsidRPr="00FA38B2">
        <w:rPr>
          <w:rFonts w:cs="Times New Roman"/>
          <w:szCs w:val="24"/>
        </w:rPr>
        <w:t>for</w:t>
      </w:r>
      <w:r w:rsidRPr="00FA38B2">
        <w:rPr>
          <w:rFonts w:cs="Times New Roman"/>
          <w:szCs w:val="24"/>
        </w:rPr>
        <w:t xml:space="preserve"> students who have a household income under $125,000 and are residents of the state. However, the program requires that students finish their education (associate or bachelor’s degrees) in two to four years, and that students stay in New York to work for the same number of years they used the scholarship. If they fail to meet this requirement, their scholarships are converted to loans (Quinlan, 2017). The program has been criticized for limiting career prospects of students in the military, students pursuing graduate or professional school, and those with better career prospects outside of the state (Billings, 2018). </w:t>
      </w:r>
    </w:p>
    <w:p w14:paraId="15D2CBC1" w14:textId="77777777" w:rsidR="00F921C6" w:rsidRPr="00FA38B2" w:rsidRDefault="00F921C6" w:rsidP="0015321A">
      <w:pPr>
        <w:spacing w:after="120"/>
        <w:rPr>
          <w:rFonts w:cs="Times New Roman"/>
          <w:szCs w:val="24"/>
        </w:rPr>
      </w:pPr>
      <w:r w:rsidRPr="00FA38B2">
        <w:rPr>
          <w:rFonts w:cs="Times New Roman"/>
          <w:szCs w:val="24"/>
        </w:rPr>
        <w:tab/>
        <w:t>Washington State’s College Bound Scholarship program places less strict stipulations on its promise program for low-income students and only required that participants not be convicted of a felony in high school (</w:t>
      </w:r>
      <w:proofErr w:type="spellStart"/>
      <w:r w:rsidRPr="00FA38B2">
        <w:rPr>
          <w:rFonts w:cs="Times New Roman"/>
          <w:szCs w:val="24"/>
        </w:rPr>
        <w:t>Goldhaber</w:t>
      </w:r>
      <w:proofErr w:type="spellEnd"/>
      <w:r w:rsidRPr="00FA38B2">
        <w:rPr>
          <w:rFonts w:cs="Times New Roman"/>
          <w:szCs w:val="24"/>
        </w:rPr>
        <w:t xml:space="preserve"> et al., 2019). Yet, in their 2019 study, </w:t>
      </w:r>
      <w:proofErr w:type="spellStart"/>
      <w:r w:rsidRPr="00FA38B2">
        <w:rPr>
          <w:rFonts w:cs="Times New Roman"/>
          <w:szCs w:val="24"/>
        </w:rPr>
        <w:t>Goldhaber</w:t>
      </w:r>
      <w:proofErr w:type="spellEnd"/>
      <w:r w:rsidRPr="00FA38B2">
        <w:rPr>
          <w:rFonts w:cs="Times New Roman"/>
          <w:szCs w:val="24"/>
        </w:rPr>
        <w:t xml:space="preserve"> et al. found insignificant evidence that the scholarship program had a positive effect on low-income student enrollment and persistence. The authors observed that students were often confused about eligibility requirements of the program, if the program covered costs beyond the Pell Grant, and the sustainability of the program (</w:t>
      </w:r>
      <w:proofErr w:type="spellStart"/>
      <w:r w:rsidRPr="00FA38B2">
        <w:rPr>
          <w:rFonts w:cs="Times New Roman"/>
          <w:szCs w:val="24"/>
        </w:rPr>
        <w:t>Goldhaber</w:t>
      </w:r>
      <w:proofErr w:type="spellEnd"/>
      <w:r w:rsidRPr="00FA38B2">
        <w:rPr>
          <w:rFonts w:cs="Times New Roman"/>
          <w:szCs w:val="24"/>
        </w:rPr>
        <w:t xml:space="preserve"> et al., 2019). </w:t>
      </w:r>
    </w:p>
    <w:p w14:paraId="52DF57EB" w14:textId="621511D5" w:rsidR="00F921C6" w:rsidRPr="00FA38B2" w:rsidRDefault="00F921C6" w:rsidP="0015321A">
      <w:pPr>
        <w:spacing w:after="120"/>
        <w:rPr>
          <w:rFonts w:cs="Times New Roman"/>
          <w:szCs w:val="24"/>
        </w:rPr>
      </w:pPr>
      <w:r w:rsidRPr="00FA38B2">
        <w:rPr>
          <w:rFonts w:cs="Times New Roman"/>
          <w:szCs w:val="24"/>
        </w:rPr>
        <w:tab/>
        <w:t>A promise program which has yielded encouraging results i</w:t>
      </w:r>
      <w:r w:rsidR="00A26AE7" w:rsidRPr="00FA38B2">
        <w:rPr>
          <w:rFonts w:cs="Times New Roman"/>
          <w:szCs w:val="24"/>
        </w:rPr>
        <w:t>s</w:t>
      </w:r>
      <w:r w:rsidRPr="00FA38B2">
        <w:rPr>
          <w:rFonts w:cs="Times New Roman"/>
          <w:szCs w:val="24"/>
        </w:rPr>
        <w:t xml:space="preserve"> the Tennessee Promise. In their analysis of Knox Achieves, the precursor program to the Tennessee Promise, Carruthers and Fox</w:t>
      </w:r>
      <w:r w:rsidR="00E66C88">
        <w:rPr>
          <w:rFonts w:cs="Times New Roman"/>
          <w:szCs w:val="24"/>
        </w:rPr>
        <w:t xml:space="preserve"> (2016)</w:t>
      </w:r>
      <w:r w:rsidRPr="00FA38B2">
        <w:rPr>
          <w:rFonts w:cs="Times New Roman"/>
          <w:szCs w:val="24"/>
        </w:rPr>
        <w:t xml:space="preserve"> found that participating in the program was strongly associated with increased high school graduation rates and college enrollment. The success of the Knox Achieves promise program resulted in a statewide expansion of the Tennessee Promise in 2015. Nguyen (2020) deployed a differences-in-differences estimation to analyze the Tennessee Promise and its impact on enrollment in the state. The study found that while implementation of the Tennessee Promise </w:t>
      </w:r>
      <w:r w:rsidRPr="00FA38B2">
        <w:rPr>
          <w:rFonts w:cs="Times New Roman"/>
          <w:szCs w:val="24"/>
        </w:rPr>
        <w:lastRenderedPageBreak/>
        <w:t xml:space="preserve">was associated with a 2% enrollment decrease in the state’s public four-year institutions, there was a corresponding enrollment increase of 40% of full-time first-time undergraduates at the state’s community colleges and a positive enrollment response among both Black and Hispanic students (Nguyen, 2020).  </w:t>
      </w:r>
    </w:p>
    <w:p w14:paraId="5D3CC409" w14:textId="77777777" w:rsidR="00F921C6" w:rsidRPr="00FA38B2" w:rsidRDefault="00F921C6" w:rsidP="0015321A">
      <w:pPr>
        <w:spacing w:after="120"/>
        <w:rPr>
          <w:rFonts w:cs="Times New Roman"/>
          <w:b/>
          <w:szCs w:val="24"/>
        </w:rPr>
      </w:pPr>
      <w:r w:rsidRPr="00FA38B2">
        <w:rPr>
          <w:rFonts w:cs="Times New Roman"/>
          <w:b/>
          <w:szCs w:val="24"/>
        </w:rPr>
        <w:t xml:space="preserve">Tennessee Reconnect </w:t>
      </w:r>
    </w:p>
    <w:p w14:paraId="6857DEF4" w14:textId="3F4FA414" w:rsidR="00F921C6" w:rsidRPr="00FA38B2" w:rsidRDefault="00F921C6" w:rsidP="0015321A">
      <w:pPr>
        <w:spacing w:after="120"/>
        <w:ind w:firstLine="720"/>
        <w:rPr>
          <w:rFonts w:cs="Times New Roman"/>
          <w:szCs w:val="24"/>
        </w:rPr>
      </w:pPr>
      <w:bookmarkStart w:id="23" w:name="_Hlk67930297"/>
      <w:r w:rsidRPr="00FA38B2">
        <w:rPr>
          <w:rFonts w:cs="Times New Roman"/>
          <w:szCs w:val="24"/>
        </w:rPr>
        <w:t>In 2018, free college funding in Tennessee was made available to adult students through Tennessee Reconnect. Tennessee Reconnect is one of the two active statewide promise program available to adult students in the United States</w:t>
      </w:r>
      <w:r w:rsidRPr="00FA38B2">
        <w:rPr>
          <w:rStyle w:val="FootnoteReference"/>
          <w:rFonts w:cs="Times New Roman"/>
          <w:szCs w:val="24"/>
        </w:rPr>
        <w:footnoteReference w:id="1"/>
      </w:r>
      <w:r w:rsidR="00440D28">
        <w:rPr>
          <w:rFonts w:cs="Times New Roman"/>
          <w:szCs w:val="24"/>
        </w:rPr>
        <w:t xml:space="preserve"> (Davidson et al., 2020</w:t>
      </w:r>
      <w:r w:rsidRPr="00FA38B2">
        <w:rPr>
          <w:rFonts w:cs="Times New Roman"/>
          <w:szCs w:val="24"/>
        </w:rPr>
        <w:t xml:space="preserve">). Tennessee Reconnect is a last-dollar grant that pays the remaining balance of tuition and mandatory fees after other state and federal financial aid have been applied. Tennessee Reconnect is an extension of Tennessee Promise and the Drive to 55 Initiative, which challenged the state to get 55% of Tennesseans to earn an associate degree or technical certificate by 2025. The grant may be applied toward the pursuit of an associate degree, technical degree, or technical diploma at a Tennessee community college or technical college. </w:t>
      </w:r>
    </w:p>
    <w:bookmarkEnd w:id="23"/>
    <w:p w14:paraId="0E1135CD" w14:textId="77777777" w:rsidR="00F921C6" w:rsidRPr="00FA38B2" w:rsidRDefault="00F921C6" w:rsidP="0015321A">
      <w:pPr>
        <w:spacing w:after="120"/>
        <w:ind w:firstLine="720"/>
        <w:rPr>
          <w:rFonts w:cs="Times New Roman"/>
          <w:szCs w:val="24"/>
        </w:rPr>
      </w:pPr>
      <w:r w:rsidRPr="00FA38B2">
        <w:rPr>
          <w:rFonts w:cs="Times New Roman"/>
          <w:szCs w:val="24"/>
        </w:rPr>
        <w:t xml:space="preserve">There is minimal research on adult student promise programs or specifically studying Tennessee Reconnect. Collom et al. (forthcoming) conducted longitudinal interviews with 23 students who received Tennessee Reconnect funding. The authors of this study found that participants were incentivized to return to college because of a change of context, specifically because of the decreased financial burden presented through the grant (Collom et al., forthcoming). Yet, it was unclear whether there were adequate supports or services provided through Tennessee Reconnect for adult students who returned to college after prolonged time </w:t>
      </w:r>
      <w:r w:rsidRPr="00FA38B2">
        <w:rPr>
          <w:rFonts w:cs="Times New Roman"/>
          <w:szCs w:val="24"/>
        </w:rPr>
        <w:lastRenderedPageBreak/>
        <w:t xml:space="preserve">away from formal education. Several students in the study lost their initial drive and motivation prior to completing their degree. Participants in the study often indicated they did not have the family, communal, or institutional support they felt they needed to succeed in college a non-traditional age adult student (Collom et al., forthcoming). The authors of this study called for further research investigating outcomes of the program, including the initial statewide enrollment responses among adult students and whether enthusiasm for the program persisted following its first year. This quantitative study answers their call and expands on their qualitative work. </w:t>
      </w:r>
    </w:p>
    <w:p w14:paraId="4549A6F4" w14:textId="77777777" w:rsidR="00F921C6" w:rsidRPr="00FA38B2" w:rsidRDefault="00F921C6" w:rsidP="0015321A">
      <w:pPr>
        <w:pStyle w:val="Heading2"/>
        <w:jc w:val="center"/>
        <w:rPr>
          <w:rFonts w:cs="Times New Roman"/>
          <w:szCs w:val="24"/>
        </w:rPr>
      </w:pPr>
      <w:bookmarkStart w:id="24" w:name="_Toc70181493"/>
      <w:r w:rsidRPr="00FA38B2">
        <w:rPr>
          <w:rFonts w:cs="Times New Roman"/>
          <w:szCs w:val="24"/>
        </w:rPr>
        <w:t>Theoretical Framework</w:t>
      </w:r>
      <w:bookmarkEnd w:id="24"/>
    </w:p>
    <w:p w14:paraId="3596C24C" w14:textId="77777777" w:rsidR="00F921C6" w:rsidRPr="00FA38B2" w:rsidRDefault="00F921C6" w:rsidP="0015321A">
      <w:pPr>
        <w:spacing w:after="120"/>
        <w:ind w:firstLine="720"/>
        <w:rPr>
          <w:rFonts w:cs="Times New Roman"/>
          <w:szCs w:val="24"/>
        </w:rPr>
      </w:pPr>
      <w:proofErr w:type="spellStart"/>
      <w:r w:rsidRPr="00FA38B2">
        <w:rPr>
          <w:rFonts w:cs="Times New Roman"/>
          <w:szCs w:val="24"/>
        </w:rPr>
        <w:t>Perna’s</w:t>
      </w:r>
      <w:proofErr w:type="spellEnd"/>
      <w:r w:rsidRPr="00FA38B2">
        <w:rPr>
          <w:rFonts w:cs="Times New Roman"/>
          <w:szCs w:val="24"/>
        </w:rPr>
        <w:t xml:space="preserve"> (2006) conceptual model for college choice is the theoretical framework for this study. Her model proposed that college choices are shaped by four layers. Layer one represents habitus, or the belief in what one can achieve based on their socioeconomic and demographic characteristics, and other factors such as institutionalized racism and oppression (Bourdieu, 1984; </w:t>
      </w:r>
      <w:proofErr w:type="spellStart"/>
      <w:r w:rsidRPr="00FA38B2">
        <w:rPr>
          <w:rFonts w:cs="Times New Roman"/>
          <w:szCs w:val="24"/>
        </w:rPr>
        <w:t>Luedke</w:t>
      </w:r>
      <w:proofErr w:type="spellEnd"/>
      <w:r w:rsidRPr="00FA38B2">
        <w:rPr>
          <w:rFonts w:cs="Times New Roman"/>
          <w:szCs w:val="24"/>
        </w:rPr>
        <w:t xml:space="preserve"> et al., 2019). Layer two is the school and community context. This layer reflects “the ways in which social structures and resources facilitate or impede college choice” (</w:t>
      </w:r>
      <w:proofErr w:type="spellStart"/>
      <w:r w:rsidRPr="00FA38B2">
        <w:rPr>
          <w:rFonts w:cs="Times New Roman"/>
          <w:szCs w:val="24"/>
        </w:rPr>
        <w:t>Perna</w:t>
      </w:r>
      <w:proofErr w:type="spellEnd"/>
      <w:r w:rsidRPr="00FA38B2">
        <w:rPr>
          <w:rFonts w:cs="Times New Roman"/>
          <w:szCs w:val="24"/>
        </w:rPr>
        <w:t xml:space="preserve">, 2006, p.177). Layer three is the higher education context and reflects the role postsecondary education institutions have in college choice through marketing and admission practices. Lastly, layer four reflects the macro-level effects on college choice due to social forces, economic conditions, and public policies. This study specifically explores how Tennessee Reconnect interacted with macro-level effects to affect enrollment responses of adult students. </w:t>
      </w:r>
    </w:p>
    <w:p w14:paraId="73A8A769" w14:textId="77777777" w:rsidR="00F921C6" w:rsidRPr="00FA38B2" w:rsidRDefault="00F921C6" w:rsidP="0015321A">
      <w:pPr>
        <w:spacing w:after="120"/>
        <w:ind w:firstLine="720"/>
        <w:rPr>
          <w:rFonts w:cs="Times New Roman"/>
          <w:szCs w:val="24"/>
        </w:rPr>
      </w:pPr>
      <w:r w:rsidRPr="00FA38B2">
        <w:rPr>
          <w:rFonts w:cs="Times New Roman"/>
          <w:szCs w:val="24"/>
        </w:rPr>
        <w:t xml:space="preserve">The precursor to Tennessee Reconnect, Tennessee Promise, included unique components such as mandatory mentoring (10-15 hours/academic year) and community service (Carruthers &amp; Fox, 2016). While previous research points to the positive effects of mentoring on habitus (layer one; </w:t>
      </w:r>
      <w:proofErr w:type="spellStart"/>
      <w:r w:rsidRPr="00FA38B2">
        <w:rPr>
          <w:rFonts w:cs="Times New Roman"/>
          <w:szCs w:val="24"/>
        </w:rPr>
        <w:t>Luedke</w:t>
      </w:r>
      <w:proofErr w:type="spellEnd"/>
      <w:r w:rsidRPr="00FA38B2">
        <w:rPr>
          <w:rFonts w:cs="Times New Roman"/>
          <w:szCs w:val="24"/>
        </w:rPr>
        <w:t xml:space="preserve">, et al., 2019) and of community service on schools and communities (layer two; </w:t>
      </w:r>
      <w:proofErr w:type="spellStart"/>
      <w:r w:rsidRPr="00FA38B2">
        <w:rPr>
          <w:rFonts w:cs="Times New Roman"/>
          <w:szCs w:val="24"/>
        </w:rPr>
        <w:lastRenderedPageBreak/>
        <w:t>Chesbrough</w:t>
      </w:r>
      <w:proofErr w:type="spellEnd"/>
      <w:r w:rsidRPr="00FA38B2">
        <w:rPr>
          <w:rFonts w:cs="Times New Roman"/>
          <w:szCs w:val="24"/>
        </w:rPr>
        <w:t>, 2011), it is unclear what effect, if any, they had on enrollment and persistence among Tennessee Promise students (Nguyen, 2020). Tennessee Reconnect did not have the components which made Tennessee Promise unique, such as mandatory mentoring and community service requirements. While external advising for Tennessee Reconnect was offered through the Reconnect Navigator</w:t>
      </w:r>
      <w:r w:rsidRPr="00FA38B2">
        <w:rPr>
          <w:rStyle w:val="FootnoteReference"/>
          <w:rFonts w:cs="Times New Roman"/>
          <w:szCs w:val="24"/>
        </w:rPr>
        <w:footnoteReference w:id="2"/>
      </w:r>
      <w:r w:rsidRPr="00FA38B2">
        <w:rPr>
          <w:rFonts w:cs="Times New Roman"/>
          <w:szCs w:val="24"/>
        </w:rPr>
        <w:t xml:space="preserve"> program, this program was not mandatory nor widely marketed to adult students (Collom et al., forthcoming). Further, Tennessee Reconnect may have benefitted from the nationwide enthusiasm regarding Tennessee Promise and its strong statewide marketing. However, evaluating the impact of marketing and statewide enthusiasm for Tennessee’s promise programs was beyond the scope of this study. </w:t>
      </w:r>
    </w:p>
    <w:p w14:paraId="282B6420" w14:textId="77777777" w:rsidR="00F921C6" w:rsidRPr="00FA38B2" w:rsidRDefault="00F921C6" w:rsidP="0015321A">
      <w:pPr>
        <w:spacing w:after="120"/>
        <w:ind w:firstLine="720"/>
        <w:rPr>
          <w:rFonts w:cs="Times New Roman"/>
          <w:szCs w:val="24"/>
        </w:rPr>
      </w:pPr>
      <w:r w:rsidRPr="00FA38B2">
        <w:rPr>
          <w:rFonts w:cs="Times New Roman"/>
          <w:szCs w:val="24"/>
        </w:rPr>
        <w:t xml:space="preserve">Thus, the primary macro-level forces defined by </w:t>
      </w:r>
      <w:proofErr w:type="spellStart"/>
      <w:r w:rsidRPr="00FA38B2">
        <w:rPr>
          <w:rFonts w:cs="Times New Roman"/>
          <w:szCs w:val="24"/>
        </w:rPr>
        <w:t>Perna</w:t>
      </w:r>
      <w:proofErr w:type="spellEnd"/>
      <w:r w:rsidRPr="00FA38B2">
        <w:rPr>
          <w:rFonts w:cs="Times New Roman"/>
          <w:szCs w:val="24"/>
        </w:rPr>
        <w:t xml:space="preserve"> (2006) which may affect adult student enrollment in Tennessee that were explored in this analysis are:</w:t>
      </w:r>
    </w:p>
    <w:p w14:paraId="23ACF891" w14:textId="77777777" w:rsidR="00F921C6" w:rsidRPr="00FA38B2" w:rsidRDefault="00F921C6" w:rsidP="0015321A">
      <w:pPr>
        <w:numPr>
          <w:ilvl w:val="0"/>
          <w:numId w:val="11"/>
        </w:numPr>
        <w:spacing w:after="120"/>
        <w:rPr>
          <w:rFonts w:cs="Times New Roman"/>
          <w:szCs w:val="24"/>
        </w:rPr>
      </w:pPr>
      <w:r w:rsidRPr="00FA38B2">
        <w:rPr>
          <w:rFonts w:cs="Times New Roman"/>
          <w:b/>
          <w:szCs w:val="24"/>
        </w:rPr>
        <w:t>Economic conditions</w:t>
      </w:r>
      <w:r w:rsidRPr="00FA38B2">
        <w:rPr>
          <w:rFonts w:cs="Times New Roman"/>
          <w:szCs w:val="24"/>
        </w:rPr>
        <w:t xml:space="preserve">: the increase in jobs which require a postsecondary credential or degree (Lumina, 2018).  </w:t>
      </w:r>
    </w:p>
    <w:p w14:paraId="3DC89D74" w14:textId="77777777" w:rsidR="00F921C6" w:rsidRPr="00FA38B2" w:rsidRDefault="00F921C6" w:rsidP="0015321A">
      <w:pPr>
        <w:numPr>
          <w:ilvl w:val="0"/>
          <w:numId w:val="11"/>
        </w:numPr>
        <w:spacing w:after="120"/>
        <w:rPr>
          <w:rFonts w:cs="Times New Roman"/>
          <w:szCs w:val="24"/>
        </w:rPr>
      </w:pPr>
      <w:r w:rsidRPr="00FA38B2">
        <w:rPr>
          <w:rFonts w:cs="Times New Roman"/>
          <w:b/>
          <w:szCs w:val="24"/>
        </w:rPr>
        <w:t>Public policy</w:t>
      </w:r>
      <w:r w:rsidRPr="00FA38B2">
        <w:rPr>
          <w:rFonts w:cs="Times New Roman"/>
          <w:szCs w:val="24"/>
        </w:rPr>
        <w:t xml:space="preserve">: the implementation of Tennessee Reconnect and the statewide availability of free college to adult residents. </w:t>
      </w:r>
    </w:p>
    <w:p w14:paraId="544D4F9E" w14:textId="6798BA07" w:rsidR="00F921C6" w:rsidRPr="00FA38B2" w:rsidRDefault="00B30AB6" w:rsidP="0015321A">
      <w:pPr>
        <w:pStyle w:val="Heading2"/>
        <w:jc w:val="center"/>
        <w:rPr>
          <w:rFonts w:cs="Times New Roman"/>
          <w:szCs w:val="24"/>
        </w:rPr>
      </w:pPr>
      <w:bookmarkStart w:id="25" w:name="_Toc70181494"/>
      <w:r w:rsidRPr="00FA38B2">
        <w:rPr>
          <w:rFonts w:cs="Times New Roman"/>
          <w:szCs w:val="24"/>
        </w:rPr>
        <w:t>Methods</w:t>
      </w:r>
      <w:bookmarkEnd w:id="25"/>
    </w:p>
    <w:p w14:paraId="75C7715C" w14:textId="398CBE40" w:rsidR="00B30AB6" w:rsidRPr="00FA38B2" w:rsidRDefault="00B30AB6" w:rsidP="0015321A">
      <w:pPr>
        <w:spacing w:after="120"/>
        <w:rPr>
          <w:rFonts w:cs="Times New Roman"/>
          <w:b/>
          <w:szCs w:val="24"/>
        </w:rPr>
      </w:pPr>
      <w:r w:rsidRPr="00FA38B2">
        <w:rPr>
          <w:rFonts w:cs="Times New Roman"/>
          <w:b/>
          <w:szCs w:val="24"/>
        </w:rPr>
        <w:t>Sample</w:t>
      </w:r>
    </w:p>
    <w:p w14:paraId="34F4507E" w14:textId="4CEAD463" w:rsidR="00F921C6" w:rsidRPr="00FA38B2" w:rsidRDefault="00F921C6" w:rsidP="0015321A">
      <w:pPr>
        <w:spacing w:after="120"/>
        <w:ind w:firstLine="720"/>
        <w:rPr>
          <w:rFonts w:cs="Times New Roman"/>
          <w:szCs w:val="24"/>
        </w:rPr>
      </w:pPr>
      <w:r w:rsidRPr="00FA38B2">
        <w:rPr>
          <w:rFonts w:cs="Times New Roman"/>
          <w:szCs w:val="24"/>
        </w:rPr>
        <w:t xml:space="preserve">For this analysis institutional level annual panel data (cross sectional and time series) were collected from the Integrated Postsecondary Education Data System (IPEDS) and from the United States Census Bureau. Adult student enrollment data from 2011 to 2019 were used. Cases with any missing data were deleted (i.e. </w:t>
      </w:r>
      <w:proofErr w:type="spellStart"/>
      <w:r w:rsidRPr="00FA38B2">
        <w:rPr>
          <w:rFonts w:cs="Times New Roman"/>
          <w:szCs w:val="24"/>
        </w:rPr>
        <w:t>listwise</w:t>
      </w:r>
      <w:proofErr w:type="spellEnd"/>
      <w:r w:rsidRPr="00FA38B2">
        <w:rPr>
          <w:rFonts w:cs="Times New Roman"/>
          <w:szCs w:val="24"/>
        </w:rPr>
        <w:t xml:space="preserve"> deletion). The final analytic sample included </w:t>
      </w:r>
      <w:r w:rsidRPr="00FA38B2">
        <w:rPr>
          <w:rFonts w:cs="Times New Roman"/>
          <w:szCs w:val="24"/>
        </w:rPr>
        <w:lastRenderedPageBreak/>
        <w:t xml:space="preserve">494 institutions over a nine-year period, for a total of 4,446 cases (institution-year). This analysis measured the causal effects of Tennessee Reconnect on total, part-time, full-time, male, and female adult student enrollment at public two-year postsecondary institutions in 2018 and 2019, the first and second year of the program (see </w:t>
      </w:r>
      <w:r w:rsidR="004D41DD" w:rsidRPr="00FA38B2">
        <w:rPr>
          <w:rFonts w:cs="Times New Roman"/>
          <w:szCs w:val="24"/>
        </w:rPr>
        <w:t xml:space="preserve">Tables </w:t>
      </w:r>
      <w:r w:rsidR="006A66FA" w:rsidRPr="00FA38B2">
        <w:rPr>
          <w:rFonts w:cs="Times New Roman"/>
          <w:szCs w:val="24"/>
        </w:rPr>
        <w:t>A4 and A5</w:t>
      </w:r>
      <w:r w:rsidRPr="00FA38B2">
        <w:rPr>
          <w:rFonts w:cs="Times New Roman"/>
          <w:szCs w:val="24"/>
        </w:rPr>
        <w:t xml:space="preserve"> for summary statistics). Lastly, United States Census Bureau data from 2011 to 2019 on state median income were included as a control. </w:t>
      </w:r>
    </w:p>
    <w:p w14:paraId="1BC0C16D" w14:textId="610B925E" w:rsidR="00F921C6" w:rsidRPr="00FA38B2" w:rsidRDefault="00E36046" w:rsidP="0015321A">
      <w:pPr>
        <w:spacing w:after="120"/>
        <w:rPr>
          <w:rFonts w:cs="Times New Roman"/>
          <w:b/>
          <w:szCs w:val="24"/>
        </w:rPr>
      </w:pPr>
      <w:r w:rsidRPr="00FA38B2">
        <w:rPr>
          <w:rFonts w:cs="Times New Roman"/>
          <w:b/>
          <w:szCs w:val="24"/>
        </w:rPr>
        <w:t>Analytic Design</w:t>
      </w:r>
    </w:p>
    <w:p w14:paraId="4CC9294B" w14:textId="49F674BC" w:rsidR="00F921C6" w:rsidRPr="00FA38B2" w:rsidRDefault="00F921C6" w:rsidP="0015321A">
      <w:pPr>
        <w:spacing w:after="120"/>
        <w:ind w:firstLine="720"/>
        <w:rPr>
          <w:rFonts w:cs="Times New Roman"/>
          <w:szCs w:val="24"/>
        </w:rPr>
      </w:pPr>
      <w:r w:rsidRPr="00FA38B2">
        <w:rPr>
          <w:rFonts w:cs="Times New Roman"/>
          <w:szCs w:val="24"/>
        </w:rPr>
        <w:t xml:space="preserve">I analyzed the effect of Tennessee Reconnect by deploying a </w:t>
      </w:r>
      <w:r w:rsidR="00E75435">
        <w:rPr>
          <w:rFonts w:cs="Times New Roman"/>
          <w:szCs w:val="24"/>
        </w:rPr>
        <w:t>standard fixed-effects</w:t>
      </w:r>
      <w:r w:rsidRPr="00FA38B2">
        <w:rPr>
          <w:rFonts w:cs="Times New Roman"/>
          <w:szCs w:val="24"/>
        </w:rPr>
        <w:t xml:space="preserve"> differences-in-differences (</w:t>
      </w:r>
      <w:proofErr w:type="spellStart"/>
      <w:r w:rsidRPr="00FA38B2">
        <w:rPr>
          <w:rFonts w:cs="Times New Roman"/>
          <w:szCs w:val="24"/>
        </w:rPr>
        <w:t>DiD</w:t>
      </w:r>
      <w:proofErr w:type="spellEnd"/>
      <w:r w:rsidRPr="00FA38B2">
        <w:rPr>
          <w:rFonts w:cs="Times New Roman"/>
          <w:szCs w:val="24"/>
        </w:rPr>
        <w:t>) design (</w:t>
      </w:r>
      <w:r w:rsidR="00E75435" w:rsidRPr="00E75435">
        <w:rPr>
          <w:rFonts w:cs="Times New Roman"/>
          <w:szCs w:val="24"/>
        </w:rPr>
        <w:t>Nguyen, 2020</w:t>
      </w:r>
      <w:r w:rsidRPr="00FA38B2">
        <w:rPr>
          <w:rFonts w:cs="Times New Roman"/>
          <w:szCs w:val="24"/>
        </w:rPr>
        <w:t xml:space="preserve">). DiD is a widely used method in social science research to measure the causal effect of a policy or other treatment in non-experimental settings (Cunningham, 2021). The method is often used in policy analyses such as this study which rely on panel data (Donald &amp; Lang, 2007). Recently, the method is often used to explore higher education policies such as performance based funding (Hillman et al., 2015) and promise programs (Nguyen, 2019; Nguyen, 2020). </w:t>
      </w:r>
    </w:p>
    <w:p w14:paraId="5C421303" w14:textId="77777777" w:rsidR="00F921C6" w:rsidRPr="00FA38B2" w:rsidRDefault="00F921C6" w:rsidP="0015321A">
      <w:pPr>
        <w:spacing w:after="120"/>
        <w:rPr>
          <w:rFonts w:cs="Times New Roman"/>
          <w:szCs w:val="24"/>
        </w:rPr>
      </w:pPr>
      <w:r w:rsidRPr="00FA38B2">
        <w:rPr>
          <w:rFonts w:cs="Times New Roman"/>
          <w:szCs w:val="24"/>
        </w:rPr>
        <w:tab/>
        <w:t xml:space="preserve">While establishing the causal effect of a policy or practice is preferably researched through experimental methods, quasi-experimental methods such as DiD have been shown to effectively establish causation when the data and sample size are appropriate (Kim &amp; Steiner, 2016). For this study, the effect was measured at both the institutional (15 </w:t>
      </w:r>
      <w:proofErr w:type="gramStart"/>
      <w:r w:rsidRPr="00FA38B2">
        <w:rPr>
          <w:rFonts w:cs="Times New Roman"/>
          <w:szCs w:val="24"/>
        </w:rPr>
        <w:t>treatment</w:t>
      </w:r>
      <w:proofErr w:type="gramEnd"/>
      <w:r w:rsidRPr="00FA38B2">
        <w:rPr>
          <w:rFonts w:cs="Times New Roman"/>
          <w:szCs w:val="24"/>
        </w:rPr>
        <w:t xml:space="preserve"> and 479 non-treatment) and state (one treatment and 49 non-treatment) levels. </w:t>
      </w:r>
    </w:p>
    <w:p w14:paraId="6DE04216" w14:textId="77777777" w:rsidR="00F921C6" w:rsidRPr="00FA38B2" w:rsidRDefault="00F921C6" w:rsidP="0015321A">
      <w:pPr>
        <w:spacing w:after="120"/>
        <w:ind w:firstLine="720"/>
        <w:rPr>
          <w:rFonts w:cs="Times New Roman"/>
          <w:szCs w:val="24"/>
        </w:rPr>
      </w:pPr>
      <w:r w:rsidRPr="00FA38B2">
        <w:rPr>
          <w:rFonts w:cs="Times New Roman"/>
          <w:szCs w:val="24"/>
        </w:rPr>
        <w:t xml:space="preserve">In this study I sought to measure the effect (δ) of Tennessee Reconnect (TNR) on adult student enrollment (AE). </w:t>
      </w:r>
    </w:p>
    <w:p w14:paraId="4F544AB1" w14:textId="77777777" w:rsidR="00F921C6" w:rsidRPr="00FA38B2" w:rsidRDefault="00F921C6" w:rsidP="0015321A">
      <w:pPr>
        <w:spacing w:after="120"/>
        <w:ind w:firstLine="720"/>
        <w:rPr>
          <w:rFonts w:cs="Times New Roman"/>
          <w:szCs w:val="24"/>
        </w:rPr>
      </w:pPr>
      <w:r w:rsidRPr="00FA38B2">
        <w:rPr>
          <w:rFonts w:cs="Times New Roman"/>
          <w:szCs w:val="24"/>
        </w:rPr>
        <w:t xml:space="preserve">E[δ] = E [AE¹ - AEº]  </w:t>
      </w:r>
    </w:p>
    <w:p w14:paraId="6FC23626" w14:textId="77777777" w:rsidR="00F921C6" w:rsidRPr="00FA38B2" w:rsidRDefault="00F921C6" w:rsidP="0015321A">
      <w:pPr>
        <w:spacing w:after="120"/>
        <w:rPr>
          <w:rFonts w:cs="Times New Roman"/>
          <w:szCs w:val="24"/>
        </w:rPr>
      </w:pPr>
      <w:r w:rsidRPr="00FA38B2">
        <w:rPr>
          <w:rFonts w:cs="Times New Roman"/>
          <w:szCs w:val="24"/>
        </w:rPr>
        <w:lastRenderedPageBreak/>
        <w:t xml:space="preserve">However, causal effect could not be determined by means testing because AE¹ (enrollment when TNR exists) and AEº (enrollment when TNR does not exist) do not exist at the same time and are therefore counterfactuals (Cunningham, 2021). Thus, DiD provided a more accurate estimate of the effect by comparing the differences in the treated group (Tennessee) with differences in the non-treated group (non-Tennessee; see Figure 1 &amp; 2). </w:t>
      </w:r>
    </w:p>
    <w:p w14:paraId="08A44572" w14:textId="77777777" w:rsidR="00F921C6" w:rsidRPr="00FA38B2" w:rsidRDefault="00F921C6" w:rsidP="0015321A">
      <w:pPr>
        <w:spacing w:after="120"/>
        <w:ind w:firstLine="720"/>
        <w:rPr>
          <w:rFonts w:cs="Times New Roman"/>
          <w:szCs w:val="24"/>
        </w:rPr>
      </w:pPr>
      <w:r w:rsidRPr="00FA38B2">
        <w:rPr>
          <w:rFonts w:cs="Times New Roman"/>
          <w:szCs w:val="24"/>
        </w:rPr>
        <w:t xml:space="preserve">The representative regression equation for this study is: </w:t>
      </w:r>
    </w:p>
    <w:p w14:paraId="2108E0C9" w14:textId="77777777" w:rsidR="00F921C6" w:rsidRPr="00FA38B2" w:rsidRDefault="00F921C6" w:rsidP="0015321A">
      <w:pPr>
        <w:tabs>
          <w:tab w:val="left" w:pos="1567"/>
        </w:tabs>
        <w:spacing w:after="120"/>
        <w:ind w:left="720"/>
        <w:rPr>
          <w:rFonts w:cs="Times New Roman"/>
          <w:szCs w:val="24"/>
        </w:rPr>
      </w:pPr>
      <w:r w:rsidRPr="00FA38B2">
        <w:rPr>
          <w:rFonts w:ascii="Cambria Math" w:hAnsi="Cambria Math" w:cs="Cambria Math"/>
          <w:szCs w:val="24"/>
        </w:rPr>
        <w:t>𝑌</w:t>
      </w:r>
      <w:r w:rsidRPr="00FA38B2">
        <w:rPr>
          <w:rFonts w:cs="Times New Roman"/>
          <w:szCs w:val="24"/>
        </w:rPr>
        <w:t xml:space="preserve">ᵢₛₜ = </w:t>
      </w:r>
      <w:r w:rsidRPr="00FA38B2">
        <w:rPr>
          <w:rFonts w:ascii="Cambria Math" w:hAnsi="Cambria Math" w:cs="Cambria Math"/>
          <w:szCs w:val="24"/>
        </w:rPr>
        <w:t>𝜋</w:t>
      </w:r>
      <w:r w:rsidRPr="00FA38B2">
        <w:rPr>
          <w:rFonts w:cs="Times New Roman"/>
          <w:szCs w:val="24"/>
        </w:rPr>
        <w:t xml:space="preserve">ᵢ + </w:t>
      </w:r>
      <w:r w:rsidRPr="00FA38B2">
        <w:rPr>
          <w:rFonts w:ascii="Cambria Math" w:hAnsi="Cambria Math" w:cs="Cambria Math"/>
          <w:szCs w:val="24"/>
        </w:rPr>
        <w:t>𝑌𝑒𝑎𝑟</w:t>
      </w:r>
      <w:r w:rsidRPr="00FA38B2">
        <w:rPr>
          <w:rFonts w:cs="Times New Roman"/>
          <w:szCs w:val="24"/>
        </w:rPr>
        <w:t xml:space="preserve">ₜ + </w:t>
      </w:r>
      <w:r w:rsidRPr="00FA38B2">
        <w:rPr>
          <w:rFonts w:ascii="Cambria Math" w:hAnsi="Cambria Math" w:cs="Cambria Math"/>
          <w:szCs w:val="24"/>
        </w:rPr>
        <w:t>𝛾𝑇𝑁</w:t>
      </w:r>
      <w:r w:rsidRPr="00FA38B2">
        <w:rPr>
          <w:rFonts w:cs="Times New Roman"/>
          <w:szCs w:val="24"/>
        </w:rPr>
        <w:t xml:space="preserve">ᵢₛ + </w:t>
      </w:r>
      <w:r w:rsidRPr="00FA38B2">
        <w:rPr>
          <w:rFonts w:ascii="Cambria Math" w:hAnsi="Cambria Math" w:cs="Cambria Math"/>
          <w:szCs w:val="24"/>
        </w:rPr>
        <w:t>𝜆</w:t>
      </w:r>
      <w:r w:rsidRPr="00FA38B2">
        <w:rPr>
          <w:rFonts w:cs="Times New Roman"/>
          <w:szCs w:val="24"/>
        </w:rPr>
        <w:t xml:space="preserve">TREATₜ + </w:t>
      </w:r>
      <w:r w:rsidRPr="00FA38B2">
        <w:rPr>
          <w:rFonts w:ascii="Cambria Math" w:hAnsi="Cambria Math" w:cs="Cambria Math"/>
          <w:szCs w:val="24"/>
        </w:rPr>
        <w:t>𝛿</w:t>
      </w:r>
      <w:r w:rsidRPr="00FA38B2">
        <w:rPr>
          <w:rFonts w:cs="Times New Roman"/>
          <w:szCs w:val="24"/>
        </w:rPr>
        <w:t xml:space="preserve"> (</w:t>
      </w:r>
      <w:r w:rsidRPr="00FA38B2">
        <w:rPr>
          <w:rFonts w:ascii="Cambria Math" w:hAnsi="Cambria Math" w:cs="Cambria Math"/>
          <w:szCs w:val="24"/>
        </w:rPr>
        <w:t>𝑇𝑁</w:t>
      </w:r>
      <w:r w:rsidRPr="00FA38B2">
        <w:rPr>
          <w:rFonts w:cs="Times New Roman"/>
          <w:szCs w:val="24"/>
        </w:rPr>
        <w:t xml:space="preserve">ᵢₛ </w:t>
      </w:r>
      <w:r w:rsidRPr="00FA38B2">
        <w:rPr>
          <w:rFonts w:ascii="Cambria Math" w:hAnsi="Cambria Math" w:cs="Cambria Math"/>
          <w:szCs w:val="24"/>
        </w:rPr>
        <w:t>∗</w:t>
      </w:r>
      <w:r w:rsidRPr="00FA38B2">
        <w:rPr>
          <w:rFonts w:cs="Times New Roman"/>
          <w:szCs w:val="24"/>
        </w:rPr>
        <w:t xml:space="preserve"> TREATₜ) + </w:t>
      </w:r>
      <w:r w:rsidRPr="00FA38B2">
        <w:rPr>
          <w:rFonts w:ascii="Cambria Math" w:hAnsi="Cambria Math" w:cs="Cambria Math"/>
          <w:szCs w:val="24"/>
        </w:rPr>
        <w:t>𝒙</w:t>
      </w:r>
      <w:r w:rsidRPr="00FA38B2">
        <w:rPr>
          <w:rFonts w:cs="Times New Roman"/>
          <w:szCs w:val="24"/>
        </w:rPr>
        <w:t xml:space="preserve">′ᵢₛₜ </w:t>
      </w:r>
      <w:r w:rsidRPr="00FA38B2">
        <w:rPr>
          <w:rFonts w:ascii="Cambria Math" w:hAnsi="Cambria Math" w:cs="Cambria Math"/>
          <w:szCs w:val="24"/>
        </w:rPr>
        <w:t>𝜷</w:t>
      </w:r>
      <w:r w:rsidRPr="00FA38B2">
        <w:rPr>
          <w:rFonts w:cs="Times New Roman"/>
          <w:szCs w:val="24"/>
        </w:rPr>
        <w:t xml:space="preserve"> + </w:t>
      </w:r>
      <w:r w:rsidRPr="00FA38B2">
        <w:rPr>
          <w:rFonts w:ascii="Cambria Math" w:hAnsi="Cambria Math" w:cs="Cambria Math"/>
          <w:szCs w:val="24"/>
        </w:rPr>
        <w:t>𝜖</w:t>
      </w:r>
      <w:r w:rsidRPr="00FA38B2">
        <w:rPr>
          <w:rFonts w:cs="Times New Roman"/>
          <w:szCs w:val="24"/>
        </w:rPr>
        <w:t xml:space="preserve"> ᵢₛₜ</w:t>
      </w:r>
    </w:p>
    <w:p w14:paraId="6CA44599" w14:textId="77777777" w:rsidR="00F921C6" w:rsidRPr="00FA38B2" w:rsidRDefault="00F921C6" w:rsidP="0015321A">
      <w:pPr>
        <w:tabs>
          <w:tab w:val="left" w:pos="1567"/>
        </w:tabs>
        <w:spacing w:after="120"/>
        <w:rPr>
          <w:rFonts w:cs="Times New Roman"/>
          <w:szCs w:val="24"/>
        </w:rPr>
      </w:pPr>
      <w:r w:rsidRPr="00FA38B2">
        <w:rPr>
          <w:rFonts w:cs="Times New Roman"/>
          <w:szCs w:val="24"/>
        </w:rPr>
        <w:t xml:space="preserve">Where </w:t>
      </w:r>
      <w:r w:rsidRPr="00FA38B2">
        <w:rPr>
          <w:rFonts w:ascii="Cambria Math" w:hAnsi="Cambria Math" w:cs="Cambria Math"/>
          <w:szCs w:val="24"/>
        </w:rPr>
        <w:t>𝑌</w:t>
      </w:r>
      <w:r w:rsidRPr="00FA38B2">
        <w:rPr>
          <w:rFonts w:cs="Times New Roman"/>
          <w:szCs w:val="24"/>
        </w:rPr>
        <w:t>ᵢₛₜ is enrollment for college (</w:t>
      </w:r>
      <w:proofErr w:type="spellStart"/>
      <w:r w:rsidRPr="00FA38B2">
        <w:rPr>
          <w:rFonts w:cs="Times New Roman"/>
          <w:szCs w:val="24"/>
        </w:rPr>
        <w:t>i</w:t>
      </w:r>
      <w:proofErr w:type="spellEnd"/>
      <w:r w:rsidRPr="00FA38B2">
        <w:rPr>
          <w:rFonts w:cs="Times New Roman"/>
          <w:szCs w:val="24"/>
        </w:rPr>
        <w:t xml:space="preserve">) in state (s) in year (t). TN is the variable dummy coded to 1=TN and non-TN=0. TREATₜ is the dummy variable which marks the start of Tennessee Reconnect in 2018 and continued availability in 2019. </w:t>
      </w:r>
      <w:r w:rsidRPr="00FA38B2">
        <w:rPr>
          <w:rFonts w:ascii="Cambria Math" w:hAnsi="Cambria Math" w:cs="Cambria Math"/>
          <w:szCs w:val="24"/>
        </w:rPr>
        <w:t>𝜋</w:t>
      </w:r>
      <w:r w:rsidRPr="00FA38B2">
        <w:rPr>
          <w:rFonts w:cs="Times New Roman"/>
          <w:szCs w:val="24"/>
        </w:rPr>
        <w:t xml:space="preserve">ᵢ equals the college fixed effects and </w:t>
      </w:r>
      <w:r w:rsidRPr="00FA38B2">
        <w:rPr>
          <w:rFonts w:ascii="Cambria Math" w:hAnsi="Cambria Math" w:cs="Cambria Math"/>
          <w:szCs w:val="24"/>
        </w:rPr>
        <w:t>𝑌𝑒𝑎𝑟</w:t>
      </w:r>
      <w:r w:rsidRPr="00FA38B2">
        <w:rPr>
          <w:rFonts w:cs="Times New Roman"/>
          <w:szCs w:val="24"/>
        </w:rPr>
        <w:t xml:space="preserve">ₜ is the year fixed effects. </w:t>
      </w:r>
      <w:r w:rsidRPr="00FA38B2">
        <w:rPr>
          <w:rFonts w:ascii="Cambria Math" w:hAnsi="Cambria Math" w:cs="Cambria Math"/>
          <w:szCs w:val="24"/>
        </w:rPr>
        <w:t>𝒙</w:t>
      </w:r>
      <w:r w:rsidRPr="00FA38B2">
        <w:rPr>
          <w:rFonts w:cs="Times New Roman"/>
          <w:szCs w:val="24"/>
        </w:rPr>
        <w:t xml:space="preserve">′ᵢₛₜ equals the vector of observed time-varying covariates. Lastly, </w:t>
      </w:r>
      <w:r w:rsidRPr="00FA38B2">
        <w:rPr>
          <w:rFonts w:ascii="Cambria Math" w:hAnsi="Cambria Math" w:cs="Cambria Math"/>
          <w:szCs w:val="24"/>
        </w:rPr>
        <w:t>𝛿</w:t>
      </w:r>
      <w:r w:rsidRPr="00FA38B2">
        <w:rPr>
          <w:rFonts w:cs="Times New Roman"/>
          <w:szCs w:val="24"/>
        </w:rPr>
        <w:t xml:space="preserve"> is the average enrollment effect of the Tennessee Reconnect on public two-year postsecondary institutions in the state. Following Nguyen’s (2020) analytic method, I also conducted the analysis with the natural logarithm of the dependent variable enrollment (</w:t>
      </w:r>
      <w:r w:rsidRPr="00FA38B2">
        <w:rPr>
          <w:rFonts w:ascii="Cambria Math" w:hAnsi="Cambria Math" w:cs="Cambria Math"/>
          <w:szCs w:val="24"/>
        </w:rPr>
        <w:t>𝑌</w:t>
      </w:r>
      <w:r w:rsidRPr="00FA38B2">
        <w:rPr>
          <w:rFonts w:cs="Times New Roman"/>
          <w:szCs w:val="24"/>
        </w:rPr>
        <w:t>ᵢₛₜ); the estimated treatment effect was then calculated as 100 x (</w:t>
      </w:r>
      <w:r w:rsidRPr="00FA38B2">
        <w:rPr>
          <w:rFonts w:ascii="Cambria Math" w:hAnsi="Cambria Math" w:cs="Cambria Math"/>
          <w:szCs w:val="24"/>
        </w:rPr>
        <w:t>𝑒</w:t>
      </w:r>
      <w:r w:rsidRPr="00FA38B2">
        <w:rPr>
          <w:rFonts w:cs="Times New Roman"/>
          <w:szCs w:val="24"/>
        </w:rPr>
        <w:t xml:space="preserve">ᵟ– 1) or </w:t>
      </w:r>
      <w:r w:rsidRPr="00FA38B2">
        <w:rPr>
          <w:rFonts w:ascii="Cambria Math" w:hAnsi="Cambria Math" w:cs="Cambria Math"/>
          <w:szCs w:val="24"/>
        </w:rPr>
        <w:t>𝛿</w:t>
      </w:r>
      <w:r w:rsidRPr="00FA38B2">
        <w:rPr>
          <w:rFonts w:cs="Times New Roman"/>
          <w:szCs w:val="24"/>
        </w:rPr>
        <w:t xml:space="preserve">x100 percent. </w:t>
      </w:r>
    </w:p>
    <w:p w14:paraId="750F02D4" w14:textId="77777777" w:rsidR="00F921C6" w:rsidRPr="00FA38B2" w:rsidRDefault="00F921C6" w:rsidP="0015321A">
      <w:pPr>
        <w:spacing w:after="120"/>
        <w:rPr>
          <w:rFonts w:cs="Times New Roman"/>
          <w:b/>
          <w:szCs w:val="24"/>
        </w:rPr>
      </w:pPr>
      <w:r w:rsidRPr="00FA38B2">
        <w:rPr>
          <w:rFonts w:cs="Times New Roman"/>
          <w:b/>
          <w:szCs w:val="24"/>
        </w:rPr>
        <w:t>Limitations</w:t>
      </w:r>
    </w:p>
    <w:p w14:paraId="5BEC6FC8" w14:textId="77777777" w:rsidR="00F921C6" w:rsidRPr="00FA38B2" w:rsidRDefault="00F921C6" w:rsidP="0015321A">
      <w:pPr>
        <w:spacing w:after="120"/>
        <w:ind w:firstLine="720"/>
        <w:rPr>
          <w:rFonts w:cs="Times New Roman"/>
          <w:szCs w:val="24"/>
        </w:rPr>
      </w:pPr>
      <w:r w:rsidRPr="00FA38B2">
        <w:rPr>
          <w:rFonts w:cs="Times New Roman"/>
          <w:szCs w:val="24"/>
        </w:rPr>
        <w:t xml:space="preserve">It is ideal to include at least three years of pre-treatment data and three years of post-treatment data to establish a causal relationship in studies using DiD (Hu &amp; Hoover, 2018). However, this analysis was limited by the publicly available data in IPEDS, and therefore I was only able to observe the effects of Tennessee Reconnect in its first two years (2018 and 2019). Further analysis should be completed upon the release of annual IPEDS adult student enrollment </w:t>
      </w:r>
      <w:r w:rsidRPr="00FA38B2">
        <w:rPr>
          <w:rFonts w:cs="Times New Roman"/>
          <w:szCs w:val="24"/>
        </w:rPr>
        <w:lastRenderedPageBreak/>
        <w:t xml:space="preserve">data, primarily considering the potential negative effects on adult enrollment following the COVID-19 pandemic and its economic fallout. </w:t>
      </w:r>
    </w:p>
    <w:p w14:paraId="188933BC" w14:textId="5E3EDEF5" w:rsidR="00F921C6" w:rsidRPr="00FA38B2" w:rsidRDefault="00F921C6" w:rsidP="00E82E3F">
      <w:pPr>
        <w:spacing w:after="120"/>
        <w:contextualSpacing/>
        <w:rPr>
          <w:rFonts w:cs="Times New Roman"/>
          <w:szCs w:val="24"/>
        </w:rPr>
      </w:pPr>
      <w:r w:rsidRPr="00FA38B2">
        <w:rPr>
          <w:rFonts w:cs="Times New Roman"/>
          <w:szCs w:val="24"/>
        </w:rPr>
        <w:tab/>
        <w:t xml:space="preserve">Furthermore, IPEDS did not include variables measuring the ethnicity of adult students in the 2011 to 2019 data. Therefore, this analysis is unable to address how Tennessee Reconnect affected adult student enrollment among students from marginalized backgrounds and was unable to address whether Tennessee Reconnect had the same positive effects among </w:t>
      </w:r>
      <w:r w:rsidR="00B34FEF" w:rsidRPr="00FA38B2">
        <w:rPr>
          <w:rFonts w:cs="Times New Roman"/>
          <w:szCs w:val="24"/>
        </w:rPr>
        <w:t>varying racial categories</w:t>
      </w:r>
      <w:r w:rsidRPr="00FA38B2">
        <w:rPr>
          <w:rFonts w:cs="Times New Roman"/>
          <w:szCs w:val="24"/>
        </w:rPr>
        <w:t xml:space="preserve"> previously observed in Tennessee Promise (Nguyen, 2020). Lastly, this analysis was limited by the institutional level panel data available in IPEDS and the United States Census Bureau data, and therefore could not account for individual level factors (e.g. socioeconomic background, location, high school factors, GPA) which may have affected adult student enrollment decisions. </w:t>
      </w:r>
    </w:p>
    <w:p w14:paraId="6292723C" w14:textId="5E9A0108" w:rsidR="00F921C6" w:rsidRPr="00FA38B2" w:rsidRDefault="00F921C6" w:rsidP="00E82E3F">
      <w:pPr>
        <w:spacing w:after="120"/>
        <w:contextualSpacing/>
        <w:rPr>
          <w:rFonts w:cs="Times New Roman"/>
          <w:b/>
          <w:szCs w:val="24"/>
        </w:rPr>
      </w:pPr>
      <w:r w:rsidRPr="00FA38B2">
        <w:rPr>
          <w:rFonts w:cs="Times New Roman"/>
          <w:b/>
          <w:szCs w:val="24"/>
        </w:rPr>
        <w:t xml:space="preserve">Common Trends </w:t>
      </w:r>
    </w:p>
    <w:p w14:paraId="3BDFD2B4" w14:textId="7F2B7D67" w:rsidR="00361A1E" w:rsidRPr="00FA38B2" w:rsidRDefault="00F921C6" w:rsidP="00E82E3F">
      <w:pPr>
        <w:spacing w:after="120"/>
        <w:ind w:firstLine="720"/>
        <w:contextualSpacing/>
        <w:rPr>
          <w:rFonts w:cs="Times New Roman"/>
          <w:noProof/>
          <w:szCs w:val="24"/>
        </w:rPr>
      </w:pPr>
      <w:r w:rsidRPr="00FA38B2">
        <w:rPr>
          <w:rFonts w:cs="Times New Roman"/>
          <w:szCs w:val="24"/>
        </w:rPr>
        <w:t xml:space="preserve">The most important and often violated assumption of DiD is the common trends assumption (Cunningham, 2021). The common trends assumption requires that the treated group and non-treated group follow similar trends prior to the treatment (Angrist &amp; </w:t>
      </w:r>
      <w:proofErr w:type="spellStart"/>
      <w:r w:rsidRPr="00FA38B2">
        <w:rPr>
          <w:rFonts w:cs="Times New Roman"/>
          <w:szCs w:val="24"/>
        </w:rPr>
        <w:t>Pischke</w:t>
      </w:r>
      <w:proofErr w:type="spellEnd"/>
      <w:r w:rsidRPr="00FA38B2">
        <w:rPr>
          <w:rFonts w:cs="Times New Roman"/>
          <w:szCs w:val="24"/>
        </w:rPr>
        <w:t>, 2009; Cunningham, 2021). Prior to running the DiD analysis, I visually compared trends in total, part-time, full-time, male, and female adult student enrollment at public two-year postsecondary institutions between 2011 and 2019 for both Tennessee and non-Tennessee institutions to ensure this a</w:t>
      </w:r>
      <w:r w:rsidR="006A66FA" w:rsidRPr="00FA38B2">
        <w:rPr>
          <w:rFonts w:cs="Times New Roman"/>
          <w:szCs w:val="24"/>
        </w:rPr>
        <w:t>ssumption was met (</w:t>
      </w:r>
      <w:r w:rsidR="00E66C88" w:rsidRPr="00E66C88">
        <w:rPr>
          <w:rFonts w:cs="Times New Roman"/>
          <w:szCs w:val="24"/>
        </w:rPr>
        <w:t xml:space="preserve">Angrist &amp; </w:t>
      </w:r>
      <w:proofErr w:type="spellStart"/>
      <w:r w:rsidR="00E66C88" w:rsidRPr="00E66C88">
        <w:rPr>
          <w:rFonts w:cs="Times New Roman"/>
          <w:szCs w:val="24"/>
        </w:rPr>
        <w:t>Pischke</w:t>
      </w:r>
      <w:proofErr w:type="spellEnd"/>
      <w:r w:rsidR="00E66C88" w:rsidRPr="00E66C88">
        <w:rPr>
          <w:rFonts w:cs="Times New Roman"/>
          <w:szCs w:val="24"/>
        </w:rPr>
        <w:t>, 2009</w:t>
      </w:r>
      <w:r w:rsidR="00E66C88">
        <w:rPr>
          <w:rFonts w:cs="Times New Roman"/>
          <w:szCs w:val="24"/>
        </w:rPr>
        <w:t xml:space="preserve">; Cunningham, 2021; </w:t>
      </w:r>
      <w:r w:rsidR="006A66FA" w:rsidRPr="00FA38B2">
        <w:rPr>
          <w:rFonts w:cs="Times New Roman"/>
          <w:szCs w:val="24"/>
        </w:rPr>
        <w:t>see Figures 1 to 5</w:t>
      </w:r>
      <w:r w:rsidRPr="00FA38B2">
        <w:rPr>
          <w:rFonts w:cs="Times New Roman"/>
          <w:szCs w:val="24"/>
        </w:rPr>
        <w:t>).</w:t>
      </w:r>
      <w:r w:rsidR="00E36046" w:rsidRPr="00FA38B2">
        <w:rPr>
          <w:rFonts w:cs="Times New Roman"/>
          <w:noProof/>
          <w:szCs w:val="24"/>
        </w:rPr>
        <w:t xml:space="preserve"> </w:t>
      </w:r>
    </w:p>
    <w:p w14:paraId="6EBF5FA2" w14:textId="3D814554" w:rsidR="00361A1E" w:rsidRPr="00FA38B2" w:rsidRDefault="00F921C6" w:rsidP="00E82E3F">
      <w:pPr>
        <w:ind w:firstLine="720"/>
        <w:contextualSpacing/>
        <w:rPr>
          <w:rFonts w:cs="Times New Roman"/>
          <w:szCs w:val="24"/>
        </w:rPr>
      </w:pPr>
      <w:r w:rsidRPr="00FA38B2">
        <w:rPr>
          <w:rFonts w:cs="Times New Roman"/>
          <w:szCs w:val="24"/>
        </w:rPr>
        <w:t xml:space="preserve">Tennessee and the national sample followed similar downward trends in two-year public college enrollment between 2011 and 2017 in all categories. However, Tennessee did experience an unexpected increase in female adult students and part-time adult students in 2017. This unexpected increase may be due to several institutions providing a </w:t>
      </w:r>
      <w:r w:rsidRPr="00FA38B2">
        <w:rPr>
          <w:rFonts w:cs="Times New Roman"/>
          <w:i/>
          <w:iCs/>
          <w:szCs w:val="24"/>
        </w:rPr>
        <w:t>soft-opening</w:t>
      </w:r>
      <w:r w:rsidRPr="00FA38B2">
        <w:rPr>
          <w:rFonts w:cs="Times New Roman"/>
          <w:szCs w:val="24"/>
        </w:rPr>
        <w:t xml:space="preserve"> of the Tennessee </w:t>
      </w:r>
      <w:r w:rsidRPr="00FA38B2">
        <w:rPr>
          <w:rFonts w:cs="Times New Roman"/>
          <w:szCs w:val="24"/>
        </w:rPr>
        <w:lastRenderedPageBreak/>
        <w:t>Reconnect prior to the statewide launch in response to statewide enthusiasm for the program that preceded the official start of the program; however, there is no documentation of which institutions widely promoted early adoption (</w:t>
      </w:r>
      <w:proofErr w:type="spellStart"/>
      <w:r w:rsidRPr="00FA38B2">
        <w:rPr>
          <w:rFonts w:cs="Times New Roman"/>
          <w:szCs w:val="24"/>
        </w:rPr>
        <w:t>Siner</w:t>
      </w:r>
      <w:proofErr w:type="spellEnd"/>
      <w:r w:rsidRPr="00FA38B2">
        <w:rPr>
          <w:rFonts w:cs="Times New Roman"/>
          <w:szCs w:val="24"/>
        </w:rPr>
        <w:t xml:space="preserve">, 2017). Tennessee experienced a sharp increase in all adult student enrollment categories in 2018, the first year of Tennessee Reconnect, while the nationwide sample continued the downward trend in enrollment for all categories. As observed in previous studies on promise programs (Nguyen, 2020), adult student enrollment appeared to taper off in all categories after the initial enrollment surge following the first year of the policy.  </w:t>
      </w:r>
    </w:p>
    <w:p w14:paraId="38FA2A48" w14:textId="0C6DC735" w:rsidR="0041045C" w:rsidRDefault="0041045C">
      <w:pPr>
        <w:rPr>
          <w:rFonts w:cs="Times New Roman"/>
          <w:b/>
          <w:szCs w:val="24"/>
        </w:rPr>
      </w:pPr>
      <w:r>
        <w:rPr>
          <w:rFonts w:cs="Times New Roman"/>
          <w:b/>
          <w:szCs w:val="24"/>
        </w:rPr>
        <w:br w:type="page"/>
      </w:r>
    </w:p>
    <w:p w14:paraId="6E05EA68" w14:textId="74294AD8" w:rsidR="0041045C" w:rsidRDefault="00C425C1" w:rsidP="0041045C">
      <w:pPr>
        <w:rPr>
          <w:rFonts w:cs="Times New Roman"/>
          <w:b/>
          <w:szCs w:val="24"/>
        </w:rPr>
      </w:pPr>
      <w:bookmarkStart w:id="26" w:name="_Toc70181174"/>
      <w:r w:rsidRPr="00FA38B2">
        <w:rPr>
          <w:rFonts w:cs="Times New Roman"/>
          <w:noProof/>
          <w:szCs w:val="24"/>
        </w:rPr>
        <w:lastRenderedPageBreak/>
        <w:drawing>
          <wp:anchor distT="0" distB="0" distL="114300" distR="114300" simplePos="0" relativeHeight="251679744" behindDoc="0" locked="0" layoutInCell="1" allowOverlap="1" wp14:anchorId="39021C08" wp14:editId="3BA8B36A">
            <wp:simplePos x="0" y="0"/>
            <wp:positionH relativeFrom="column">
              <wp:posOffset>0</wp:posOffset>
            </wp:positionH>
            <wp:positionV relativeFrom="paragraph">
              <wp:posOffset>72847</wp:posOffset>
            </wp:positionV>
            <wp:extent cx="2512690" cy="1828800"/>
            <wp:effectExtent l="0" t="0" r="2540" b="0"/>
            <wp:wrapTopAndBottom/>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512690" cy="1828800"/>
                    </a:xfrm>
                    <a:prstGeom prst="rect">
                      <a:avLst/>
                    </a:prstGeom>
                    <a:noFill/>
                    <a:ln>
                      <a:noFill/>
                    </a:ln>
                  </pic:spPr>
                </pic:pic>
              </a:graphicData>
            </a:graphic>
          </wp:anchor>
        </w:drawing>
      </w:r>
      <w:r w:rsidR="0041045C">
        <w:t xml:space="preserve">Figure </w:t>
      </w:r>
      <w:fldSimple w:instr=" SEQ Figure \* ARABIC ">
        <w:r w:rsidR="00E33EF5">
          <w:rPr>
            <w:noProof/>
          </w:rPr>
          <w:t>1</w:t>
        </w:r>
      </w:fldSimple>
      <w:r w:rsidR="0041045C">
        <w:t>: Common Trends Adult Student Enrollment</w:t>
      </w:r>
      <w:bookmarkEnd w:id="26"/>
    </w:p>
    <w:p w14:paraId="48DF011E" w14:textId="77777777" w:rsidR="0041045C" w:rsidRDefault="0041045C" w:rsidP="00E82E3F">
      <w:pPr>
        <w:spacing w:line="360" w:lineRule="auto"/>
        <w:contextualSpacing/>
        <w:rPr>
          <w:rFonts w:cs="Times New Roman"/>
          <w:b/>
          <w:szCs w:val="24"/>
        </w:rPr>
      </w:pPr>
    </w:p>
    <w:p w14:paraId="2D5547AC" w14:textId="162EE377" w:rsidR="00E9325D" w:rsidRPr="00FA38B2" w:rsidRDefault="00E9325D" w:rsidP="00E82E3F">
      <w:pPr>
        <w:spacing w:line="360" w:lineRule="auto"/>
        <w:contextualSpacing/>
        <w:rPr>
          <w:rFonts w:cs="Times New Roman"/>
          <w:szCs w:val="24"/>
        </w:rPr>
      </w:pPr>
      <w:r w:rsidRPr="00FA38B2">
        <w:rPr>
          <w:rFonts w:cs="Times New Roman"/>
          <w:noProof/>
          <w:szCs w:val="24"/>
        </w:rPr>
        <w:drawing>
          <wp:anchor distT="0" distB="0" distL="114300" distR="114300" simplePos="0" relativeHeight="251673600" behindDoc="0" locked="0" layoutInCell="1" allowOverlap="1" wp14:anchorId="64C9B547" wp14:editId="2CC9A3B3">
            <wp:simplePos x="0" y="0"/>
            <wp:positionH relativeFrom="column">
              <wp:posOffset>0</wp:posOffset>
            </wp:positionH>
            <wp:positionV relativeFrom="paragraph">
              <wp:posOffset>359562</wp:posOffset>
            </wp:positionV>
            <wp:extent cx="2512060" cy="1828800"/>
            <wp:effectExtent l="0" t="0" r="2540" b="0"/>
            <wp:wrapTopAndBottom/>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512060" cy="1828800"/>
                    </a:xfrm>
                    <a:prstGeom prst="rect">
                      <a:avLst/>
                    </a:prstGeom>
                    <a:noFill/>
                    <a:ln>
                      <a:noFill/>
                    </a:ln>
                  </pic:spPr>
                </pic:pic>
              </a:graphicData>
            </a:graphic>
          </wp:anchor>
        </w:drawing>
      </w:r>
    </w:p>
    <w:p w14:paraId="246A73F4" w14:textId="0336F823" w:rsidR="0041045C" w:rsidRDefault="0041045C" w:rsidP="0041045C">
      <w:pPr>
        <w:pStyle w:val="Caption"/>
        <w:rPr>
          <w:rFonts w:cs="Times New Roman"/>
          <w:b/>
          <w:szCs w:val="24"/>
        </w:rPr>
      </w:pPr>
      <w:bookmarkStart w:id="27" w:name="_Toc70181175"/>
      <w:r>
        <w:t xml:space="preserve">Figure </w:t>
      </w:r>
      <w:fldSimple w:instr=" SEQ Figure \* ARABIC ">
        <w:r w:rsidR="00E33EF5">
          <w:rPr>
            <w:noProof/>
          </w:rPr>
          <w:t>2</w:t>
        </w:r>
      </w:fldSimple>
      <w:r>
        <w:t>: Common Trends Full-Time Adult Student Enrollment</w:t>
      </w:r>
      <w:bookmarkEnd w:id="27"/>
    </w:p>
    <w:p w14:paraId="666E9D37" w14:textId="628C4077" w:rsidR="00E82E3F" w:rsidRPr="00FA38B2" w:rsidRDefault="00E82E3F" w:rsidP="00E82E3F">
      <w:pPr>
        <w:spacing w:after="160"/>
        <w:rPr>
          <w:rFonts w:cs="Times New Roman"/>
          <w:b/>
          <w:szCs w:val="24"/>
        </w:rPr>
      </w:pPr>
      <w:r w:rsidRPr="00FA38B2">
        <w:rPr>
          <w:rFonts w:cs="Times New Roman"/>
          <w:b/>
          <w:szCs w:val="24"/>
        </w:rPr>
        <w:br w:type="page"/>
      </w:r>
    </w:p>
    <w:p w14:paraId="366EA02E" w14:textId="2B77E14F" w:rsidR="00E9325D" w:rsidRDefault="00C425C1" w:rsidP="00E9325D">
      <w:bookmarkStart w:id="28" w:name="_Toc70181176"/>
      <w:r w:rsidRPr="00FA38B2">
        <w:rPr>
          <w:rFonts w:cs="Times New Roman"/>
          <w:noProof/>
          <w:szCs w:val="24"/>
        </w:rPr>
        <w:lastRenderedPageBreak/>
        <w:drawing>
          <wp:anchor distT="0" distB="0" distL="114300" distR="114300" simplePos="0" relativeHeight="251682816" behindDoc="0" locked="0" layoutInCell="1" allowOverlap="1" wp14:anchorId="37C9A851" wp14:editId="1D5658A5">
            <wp:simplePos x="0" y="0"/>
            <wp:positionH relativeFrom="column">
              <wp:posOffset>-36576</wp:posOffset>
            </wp:positionH>
            <wp:positionV relativeFrom="paragraph">
              <wp:posOffset>432</wp:posOffset>
            </wp:positionV>
            <wp:extent cx="2512060" cy="1828800"/>
            <wp:effectExtent l="0" t="0" r="2540" b="0"/>
            <wp:wrapTopAndBottom/>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512060" cy="1828800"/>
                    </a:xfrm>
                    <a:prstGeom prst="rect">
                      <a:avLst/>
                    </a:prstGeom>
                    <a:noFill/>
                    <a:ln>
                      <a:noFill/>
                    </a:ln>
                  </pic:spPr>
                </pic:pic>
              </a:graphicData>
            </a:graphic>
          </wp:anchor>
        </w:drawing>
      </w:r>
      <w:r w:rsidR="00E9325D">
        <w:t xml:space="preserve">Figure </w:t>
      </w:r>
      <w:fldSimple w:instr=" SEQ Figure \* ARABIC ">
        <w:r w:rsidR="00E33EF5">
          <w:rPr>
            <w:noProof/>
          </w:rPr>
          <w:t>3</w:t>
        </w:r>
      </w:fldSimple>
      <w:r w:rsidR="00E9325D">
        <w:t xml:space="preserve">: </w:t>
      </w:r>
      <w:r w:rsidR="00505A76">
        <w:t xml:space="preserve">Common Trends </w:t>
      </w:r>
      <w:r w:rsidR="00E9325D">
        <w:t>Part-Time Adult Student Enrollment</w:t>
      </w:r>
      <w:bookmarkEnd w:id="28"/>
    </w:p>
    <w:p w14:paraId="61EF73AB" w14:textId="77777777" w:rsidR="00E9325D" w:rsidRDefault="00E9325D" w:rsidP="00E9325D">
      <w:pPr>
        <w:rPr>
          <w:rFonts w:cs="Times New Roman"/>
          <w:szCs w:val="24"/>
        </w:rPr>
      </w:pPr>
    </w:p>
    <w:p w14:paraId="72321402" w14:textId="635C2B21" w:rsidR="00E9325D" w:rsidRPr="00E9325D" w:rsidRDefault="00E9325D" w:rsidP="00E9325D">
      <w:pPr>
        <w:rPr>
          <w:rFonts w:cs="Times New Roman"/>
          <w:szCs w:val="24"/>
        </w:rPr>
      </w:pPr>
      <w:r w:rsidRPr="00FA38B2">
        <w:rPr>
          <w:rFonts w:cs="Times New Roman"/>
          <w:noProof/>
          <w:szCs w:val="24"/>
        </w:rPr>
        <w:drawing>
          <wp:anchor distT="0" distB="0" distL="114300" distR="114300" simplePos="0" relativeHeight="251680768" behindDoc="0" locked="0" layoutInCell="1" allowOverlap="1" wp14:anchorId="2C18EE02" wp14:editId="6618D714">
            <wp:simplePos x="0" y="0"/>
            <wp:positionH relativeFrom="column">
              <wp:posOffset>0</wp:posOffset>
            </wp:positionH>
            <wp:positionV relativeFrom="paragraph">
              <wp:posOffset>341909</wp:posOffset>
            </wp:positionV>
            <wp:extent cx="2512690" cy="1828800"/>
            <wp:effectExtent l="0" t="0" r="2540" b="0"/>
            <wp:wrapTopAndBottom/>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512690" cy="1828800"/>
                    </a:xfrm>
                    <a:prstGeom prst="rect">
                      <a:avLst/>
                    </a:prstGeom>
                    <a:noFill/>
                    <a:ln>
                      <a:noFill/>
                    </a:ln>
                  </pic:spPr>
                </pic:pic>
              </a:graphicData>
            </a:graphic>
          </wp:anchor>
        </w:drawing>
      </w:r>
    </w:p>
    <w:p w14:paraId="43B6AAB3" w14:textId="19C952D6" w:rsidR="00E9325D" w:rsidRDefault="00E9325D" w:rsidP="00E9325D">
      <w:pPr>
        <w:pStyle w:val="Caption"/>
        <w:rPr>
          <w:rFonts w:cs="Times New Roman"/>
          <w:b/>
          <w:szCs w:val="24"/>
        </w:rPr>
      </w:pPr>
      <w:bookmarkStart w:id="29" w:name="_Toc70181177"/>
      <w:r>
        <w:t xml:space="preserve">Figure </w:t>
      </w:r>
      <w:fldSimple w:instr=" SEQ Figure \* ARABIC ">
        <w:r w:rsidR="00E33EF5">
          <w:rPr>
            <w:noProof/>
          </w:rPr>
          <w:t>4</w:t>
        </w:r>
      </w:fldSimple>
      <w:r>
        <w:t xml:space="preserve">: </w:t>
      </w:r>
      <w:r w:rsidR="00505A76">
        <w:t xml:space="preserve">Common Trends </w:t>
      </w:r>
      <w:r>
        <w:t>Female Adult Student Enrollment</w:t>
      </w:r>
      <w:bookmarkEnd w:id="29"/>
    </w:p>
    <w:p w14:paraId="2378E1DE" w14:textId="77777777" w:rsidR="00E9325D" w:rsidRDefault="00E9325D" w:rsidP="00E9325D">
      <w:pPr>
        <w:rPr>
          <w:rFonts w:cs="Times New Roman"/>
          <w:szCs w:val="24"/>
        </w:rPr>
      </w:pPr>
    </w:p>
    <w:p w14:paraId="51B88316" w14:textId="2E26D9A9" w:rsidR="00E9325D" w:rsidRPr="00E9325D" w:rsidRDefault="00E9325D" w:rsidP="00E9325D">
      <w:pPr>
        <w:rPr>
          <w:rFonts w:cs="Times New Roman"/>
          <w:szCs w:val="24"/>
        </w:rPr>
      </w:pPr>
      <w:r w:rsidRPr="00FA38B2">
        <w:rPr>
          <w:rFonts w:cs="Times New Roman"/>
          <w:noProof/>
          <w:szCs w:val="24"/>
        </w:rPr>
        <w:drawing>
          <wp:anchor distT="0" distB="0" distL="114300" distR="114300" simplePos="0" relativeHeight="251681792" behindDoc="0" locked="0" layoutInCell="1" allowOverlap="1" wp14:anchorId="5EF816EB" wp14:editId="35D73653">
            <wp:simplePos x="0" y="0"/>
            <wp:positionH relativeFrom="column">
              <wp:posOffset>0</wp:posOffset>
            </wp:positionH>
            <wp:positionV relativeFrom="paragraph">
              <wp:posOffset>487883</wp:posOffset>
            </wp:positionV>
            <wp:extent cx="2512690" cy="1828800"/>
            <wp:effectExtent l="0" t="0" r="2540" b="0"/>
            <wp:wrapTopAndBottom/>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512690" cy="1828800"/>
                    </a:xfrm>
                    <a:prstGeom prst="rect">
                      <a:avLst/>
                    </a:prstGeom>
                    <a:noFill/>
                    <a:ln>
                      <a:noFill/>
                    </a:ln>
                  </pic:spPr>
                </pic:pic>
              </a:graphicData>
            </a:graphic>
          </wp:anchor>
        </w:drawing>
      </w:r>
    </w:p>
    <w:p w14:paraId="46BF5849" w14:textId="11C1BACB" w:rsidR="00E9325D" w:rsidRPr="00FA38B2" w:rsidRDefault="00E9325D" w:rsidP="00E9325D">
      <w:pPr>
        <w:pStyle w:val="Caption"/>
        <w:rPr>
          <w:rFonts w:cs="Times New Roman"/>
          <w:szCs w:val="24"/>
        </w:rPr>
      </w:pPr>
      <w:bookmarkStart w:id="30" w:name="_Toc70181178"/>
      <w:r>
        <w:t xml:space="preserve">Figure </w:t>
      </w:r>
      <w:fldSimple w:instr=" SEQ Figure \* ARABIC ">
        <w:r w:rsidR="00E33EF5">
          <w:rPr>
            <w:noProof/>
          </w:rPr>
          <w:t>5</w:t>
        </w:r>
      </w:fldSimple>
      <w:r>
        <w:t xml:space="preserve">: </w:t>
      </w:r>
      <w:r w:rsidR="00505A76">
        <w:t xml:space="preserve">Common Trends </w:t>
      </w:r>
      <w:r>
        <w:t>Male Adult Student Enrollment</w:t>
      </w:r>
      <w:bookmarkEnd w:id="30"/>
    </w:p>
    <w:p w14:paraId="76414DC1" w14:textId="7D30B5C8" w:rsidR="00C425C1" w:rsidRPr="00FA38B2" w:rsidRDefault="00022D3E" w:rsidP="0015321A">
      <w:pPr>
        <w:rPr>
          <w:rFonts w:cs="Times New Roman"/>
          <w:szCs w:val="24"/>
        </w:rPr>
      </w:pPr>
      <w:r w:rsidRPr="00FA38B2">
        <w:rPr>
          <w:rFonts w:cs="Times New Roman"/>
          <w:szCs w:val="24"/>
        </w:rPr>
        <w:br w:type="page"/>
      </w:r>
    </w:p>
    <w:p w14:paraId="1921DC7E" w14:textId="5109599B" w:rsidR="00F921C6" w:rsidRPr="00FA38B2" w:rsidRDefault="00F921C6" w:rsidP="0015321A">
      <w:pPr>
        <w:pStyle w:val="Heading2"/>
        <w:rPr>
          <w:rFonts w:cs="Times New Roman"/>
          <w:szCs w:val="24"/>
        </w:rPr>
      </w:pPr>
      <w:bookmarkStart w:id="31" w:name="_Toc70181495"/>
      <w:r w:rsidRPr="00FA38B2">
        <w:rPr>
          <w:rFonts w:cs="Times New Roman"/>
          <w:szCs w:val="24"/>
        </w:rPr>
        <w:lastRenderedPageBreak/>
        <w:t>Differences-in-Differences Results</w:t>
      </w:r>
      <w:bookmarkEnd w:id="31"/>
      <w:r w:rsidRPr="00FA38B2">
        <w:rPr>
          <w:rFonts w:cs="Times New Roman"/>
          <w:szCs w:val="24"/>
        </w:rPr>
        <w:t xml:space="preserve"> </w:t>
      </w:r>
    </w:p>
    <w:p w14:paraId="431497CD" w14:textId="1F13BB18" w:rsidR="00F921C6" w:rsidRPr="00FA38B2" w:rsidRDefault="00F921C6" w:rsidP="0015321A">
      <w:pPr>
        <w:spacing w:after="120"/>
        <w:ind w:firstLine="720"/>
        <w:rPr>
          <w:rFonts w:cs="Times New Roman"/>
          <w:szCs w:val="24"/>
        </w:rPr>
      </w:pPr>
      <w:r w:rsidRPr="00FA38B2">
        <w:rPr>
          <w:rFonts w:cs="Times New Roman"/>
          <w:szCs w:val="24"/>
        </w:rPr>
        <w:t>Summary results from the DiD an</w:t>
      </w:r>
      <w:r w:rsidR="0044277E" w:rsidRPr="00FA38B2">
        <w:rPr>
          <w:rFonts w:cs="Times New Roman"/>
          <w:szCs w:val="24"/>
        </w:rPr>
        <w:t>alyses are presented in tables 1 and 2</w:t>
      </w:r>
      <w:r w:rsidRPr="00FA38B2">
        <w:rPr>
          <w:rFonts w:cs="Times New Roman"/>
          <w:szCs w:val="24"/>
        </w:rPr>
        <w:t xml:space="preserve">. Results are displayed for </w:t>
      </w:r>
      <w:r w:rsidR="00730B15" w:rsidRPr="00FA38B2">
        <w:rPr>
          <w:rFonts w:cs="Times New Roman"/>
          <w:szCs w:val="24"/>
        </w:rPr>
        <w:t>analysis</w:t>
      </w:r>
      <w:r w:rsidRPr="00FA38B2">
        <w:rPr>
          <w:rFonts w:cs="Times New Roman"/>
          <w:szCs w:val="24"/>
        </w:rPr>
        <w:t xml:space="preserve"> when clustered by state and college. The interacti</w:t>
      </w:r>
      <w:r w:rsidR="00522C8C">
        <w:rPr>
          <w:rFonts w:cs="Times New Roman"/>
          <w:szCs w:val="24"/>
        </w:rPr>
        <w:t>on effects (TN*TREAT) in table 1</w:t>
      </w:r>
      <w:r w:rsidRPr="00FA38B2">
        <w:rPr>
          <w:rFonts w:cs="Times New Roman"/>
          <w:szCs w:val="24"/>
        </w:rPr>
        <w:t xml:space="preserve"> show a </w:t>
      </w:r>
      <w:r w:rsidR="00913B6B" w:rsidRPr="00FA38B2">
        <w:rPr>
          <w:rFonts w:cs="Times New Roman"/>
          <w:szCs w:val="24"/>
        </w:rPr>
        <w:t>consistent significant positive effect</w:t>
      </w:r>
      <w:r w:rsidRPr="00FA38B2">
        <w:rPr>
          <w:rFonts w:cs="Times New Roman"/>
          <w:szCs w:val="24"/>
        </w:rPr>
        <w:t xml:space="preserve"> when clustered by both state and college for total, full-time, part-time, male, and female a</w:t>
      </w:r>
      <w:r w:rsidR="00022D3E" w:rsidRPr="00FA38B2">
        <w:rPr>
          <w:rFonts w:cs="Times New Roman"/>
          <w:szCs w:val="24"/>
        </w:rPr>
        <w:t>dult stu</w:t>
      </w:r>
      <w:r w:rsidR="0044277E" w:rsidRPr="00FA38B2">
        <w:rPr>
          <w:rFonts w:cs="Times New Roman"/>
          <w:szCs w:val="24"/>
        </w:rPr>
        <w:t>dent enrollment. Table 2</w:t>
      </w:r>
      <w:r w:rsidRPr="00FA38B2">
        <w:rPr>
          <w:rFonts w:cs="Times New Roman"/>
          <w:szCs w:val="24"/>
        </w:rPr>
        <w:t xml:space="preserve"> displays the results after a log transformation of the dependent variable, both when </w:t>
      </w:r>
      <w:r w:rsidR="00E66C88">
        <w:rPr>
          <w:rFonts w:cs="Times New Roman"/>
          <w:szCs w:val="24"/>
        </w:rPr>
        <w:t xml:space="preserve">standard errors were </w:t>
      </w:r>
      <w:r w:rsidRPr="00FA38B2">
        <w:rPr>
          <w:rFonts w:cs="Times New Roman"/>
          <w:szCs w:val="24"/>
        </w:rPr>
        <w:t>clustered by state and by college. The estimated effect on enrollment due to TN Reconnect was calculated as 100 x (</w:t>
      </w:r>
      <w:r w:rsidRPr="00FA38B2">
        <w:rPr>
          <w:rFonts w:ascii="Cambria Math" w:hAnsi="Cambria Math" w:cs="Cambria Math"/>
          <w:szCs w:val="24"/>
        </w:rPr>
        <w:t>𝑒</w:t>
      </w:r>
      <w:r w:rsidRPr="00FA38B2">
        <w:rPr>
          <w:rFonts w:cs="Times New Roman"/>
          <w:szCs w:val="24"/>
        </w:rPr>
        <w:t xml:space="preserve">ᵟ– 1) or </w:t>
      </w:r>
      <w:r w:rsidRPr="00FA38B2">
        <w:rPr>
          <w:rFonts w:ascii="Cambria Math" w:hAnsi="Cambria Math" w:cs="Cambria Math"/>
          <w:szCs w:val="24"/>
        </w:rPr>
        <w:t>𝛿</w:t>
      </w:r>
      <w:r w:rsidRPr="00FA38B2">
        <w:rPr>
          <w:rFonts w:cs="Times New Roman"/>
          <w:szCs w:val="24"/>
        </w:rPr>
        <w:t xml:space="preserve">x100 percent on both the lower and upper 95% confidence interval coefficient. </w:t>
      </w:r>
    </w:p>
    <w:p w14:paraId="08107F00" w14:textId="24E21C36" w:rsidR="00013EEA" w:rsidRPr="00FA38B2" w:rsidRDefault="00F921C6" w:rsidP="0015321A">
      <w:pPr>
        <w:spacing w:after="120"/>
        <w:ind w:firstLine="720"/>
        <w:rPr>
          <w:rFonts w:cs="Times New Roman"/>
          <w:szCs w:val="24"/>
        </w:rPr>
      </w:pPr>
      <w:r w:rsidRPr="00FA38B2">
        <w:rPr>
          <w:rFonts w:cs="Times New Roman"/>
          <w:szCs w:val="24"/>
        </w:rPr>
        <w:t>After log transformation</w:t>
      </w:r>
      <w:r w:rsidR="00DE1292" w:rsidRPr="00FA38B2">
        <w:rPr>
          <w:rFonts w:cs="Times New Roman"/>
          <w:szCs w:val="24"/>
        </w:rPr>
        <w:t xml:space="preserve">, </w:t>
      </w:r>
      <w:r w:rsidRPr="00FA38B2">
        <w:rPr>
          <w:rFonts w:cs="Times New Roman"/>
          <w:szCs w:val="24"/>
        </w:rPr>
        <w:t xml:space="preserve">DiD </w:t>
      </w:r>
      <w:r w:rsidR="00DE1292" w:rsidRPr="00FA38B2">
        <w:rPr>
          <w:rFonts w:cs="Times New Roman"/>
          <w:szCs w:val="24"/>
        </w:rPr>
        <w:t xml:space="preserve">results </w:t>
      </w:r>
      <w:r w:rsidRPr="00FA38B2">
        <w:rPr>
          <w:rFonts w:cs="Times New Roman"/>
          <w:szCs w:val="24"/>
        </w:rPr>
        <w:t xml:space="preserve">indicate that from 2018 to 2019 the Tennessee Reconnect increased adult student enrollment by an estimated 19% to 28% </w:t>
      </w:r>
      <w:r w:rsidR="00DE1292" w:rsidRPr="00FA38B2">
        <w:rPr>
          <w:rFonts w:cs="Times New Roman"/>
          <w:szCs w:val="24"/>
        </w:rPr>
        <w:t xml:space="preserve">in </w:t>
      </w:r>
      <w:r w:rsidRPr="00FA38B2">
        <w:rPr>
          <w:rFonts w:cs="Times New Roman"/>
          <w:szCs w:val="24"/>
        </w:rPr>
        <w:t xml:space="preserve">Tennessee when compared to others states, and an estimated 15% to 32% in Tennessee institutions when compared to the national sample of colleges. Full-time adult student enrollment increased by an estimated 26% to 36% by state, and by an estimated 20% to 42% by college. Part-time adult student enrollment increased by an estimated 24% to 34% by state, and by an estimated 13% to 45% by college. Male adult student enrollment increased by an estimated 20% to 30% by state, and by an estimated 16% to 31% by college. Lastly, female student enrollment increased by an estimated 19% to 29% by state, and by an estimated 15% to 33% by college.  </w:t>
      </w:r>
    </w:p>
    <w:p w14:paraId="324BAB5E" w14:textId="605346B3" w:rsidR="00013EEA" w:rsidRPr="00FA38B2" w:rsidRDefault="00013EEA" w:rsidP="0015321A">
      <w:pPr>
        <w:rPr>
          <w:rFonts w:cs="Times New Roman"/>
          <w:szCs w:val="24"/>
        </w:rPr>
      </w:pPr>
    </w:p>
    <w:p w14:paraId="3422C1AA" w14:textId="77777777" w:rsidR="00013EEA" w:rsidRPr="00FA38B2" w:rsidRDefault="00013EEA" w:rsidP="00013EEA">
      <w:pPr>
        <w:contextualSpacing/>
        <w:rPr>
          <w:rFonts w:cs="Times New Roman"/>
          <w:b/>
          <w:szCs w:val="24"/>
        </w:rPr>
        <w:sectPr w:rsidR="00013EEA" w:rsidRPr="00FA38B2" w:rsidSect="005F5B83">
          <w:pgSz w:w="12240" w:h="15840"/>
          <w:pgMar w:top="1440" w:right="1440" w:bottom="1440" w:left="1440" w:header="720" w:footer="720" w:gutter="0"/>
          <w:pgNumType w:start="1"/>
          <w:cols w:space="720"/>
          <w:docGrid w:linePitch="360"/>
        </w:sectPr>
      </w:pPr>
    </w:p>
    <w:p w14:paraId="00FE51E4" w14:textId="1AD20113" w:rsidR="00013EEA" w:rsidRPr="00FA38B2" w:rsidRDefault="00E9325D" w:rsidP="00E9325D">
      <w:pPr>
        <w:pStyle w:val="Caption"/>
        <w:rPr>
          <w:rFonts w:cs="Times New Roman"/>
          <w:i/>
          <w:szCs w:val="24"/>
        </w:rPr>
      </w:pPr>
      <w:bookmarkStart w:id="32" w:name="_Toc70181516"/>
      <w:r>
        <w:lastRenderedPageBreak/>
        <w:t xml:space="preserve">Table </w:t>
      </w:r>
      <w:fldSimple w:instr=" SEQ Table \* ARABIC ">
        <w:r w:rsidR="00E33EF5">
          <w:rPr>
            <w:noProof/>
          </w:rPr>
          <w:t>1</w:t>
        </w:r>
      </w:fldSimple>
      <w:r>
        <w:t xml:space="preserve">: Main </w:t>
      </w:r>
      <w:proofErr w:type="spellStart"/>
      <w:r>
        <w:t>DiD</w:t>
      </w:r>
      <w:proofErr w:type="spellEnd"/>
      <w:r>
        <w:t xml:space="preserve"> Estimation Results</w:t>
      </w:r>
      <w:r w:rsidR="00013EEA" w:rsidRPr="00FA38B2">
        <w:rPr>
          <w:rFonts w:cs="Times New Roman"/>
          <w:noProof/>
          <w:szCs w:val="24"/>
        </w:rPr>
        <w:drawing>
          <wp:anchor distT="0" distB="0" distL="114300" distR="114300" simplePos="0" relativeHeight="251675648" behindDoc="1" locked="0" layoutInCell="1" allowOverlap="1" wp14:anchorId="32A20E52" wp14:editId="06788593">
            <wp:simplePos x="0" y="0"/>
            <wp:positionH relativeFrom="column">
              <wp:posOffset>-127000</wp:posOffset>
            </wp:positionH>
            <wp:positionV relativeFrom="paragraph">
              <wp:posOffset>267970</wp:posOffset>
            </wp:positionV>
            <wp:extent cx="8114030" cy="1633855"/>
            <wp:effectExtent l="0" t="0" r="1270" b="4445"/>
            <wp:wrapTopAndBottom/>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extLst>
                        <a:ext uri="{28A0092B-C50C-407E-A947-70E740481C1C}">
                          <a14:useLocalDpi xmlns:a14="http://schemas.microsoft.com/office/drawing/2010/main" val="0"/>
                        </a:ext>
                      </a:extLst>
                    </a:blip>
                    <a:stretch>
                      <a:fillRect/>
                    </a:stretch>
                  </pic:blipFill>
                  <pic:spPr>
                    <a:xfrm>
                      <a:off x="0" y="0"/>
                      <a:ext cx="8114030" cy="1633855"/>
                    </a:xfrm>
                    <a:prstGeom prst="rect">
                      <a:avLst/>
                    </a:prstGeom>
                  </pic:spPr>
                </pic:pic>
              </a:graphicData>
            </a:graphic>
            <wp14:sizeRelH relativeFrom="margin">
              <wp14:pctWidth>0</wp14:pctWidth>
            </wp14:sizeRelH>
            <wp14:sizeRelV relativeFrom="margin">
              <wp14:pctHeight>0</wp14:pctHeight>
            </wp14:sizeRelV>
          </wp:anchor>
        </w:drawing>
      </w:r>
      <w:bookmarkEnd w:id="32"/>
    </w:p>
    <w:p w14:paraId="497EFC9A" w14:textId="59EFFA83" w:rsidR="00013EEA" w:rsidRPr="00FA38B2" w:rsidRDefault="00013EEA" w:rsidP="00013EEA">
      <w:pPr>
        <w:contextualSpacing/>
        <w:rPr>
          <w:rFonts w:cs="Times New Roman"/>
          <w:i/>
          <w:szCs w:val="24"/>
        </w:rPr>
      </w:pPr>
    </w:p>
    <w:p w14:paraId="053F1C09" w14:textId="1A079F79" w:rsidR="006A66FA" w:rsidRPr="00FA38B2" w:rsidRDefault="00E9325D" w:rsidP="00E9325D">
      <w:pPr>
        <w:pStyle w:val="Caption"/>
        <w:rPr>
          <w:rFonts w:cs="Times New Roman"/>
          <w:i/>
          <w:szCs w:val="24"/>
        </w:rPr>
      </w:pPr>
      <w:bookmarkStart w:id="33" w:name="_Toc70181517"/>
      <w:r>
        <w:t xml:space="preserve">Table </w:t>
      </w:r>
      <w:fldSimple w:instr=" SEQ Table \* ARABIC ">
        <w:r w:rsidR="00E33EF5">
          <w:rPr>
            <w:noProof/>
          </w:rPr>
          <w:t>2</w:t>
        </w:r>
      </w:fldSimple>
      <w:r>
        <w:t xml:space="preserve">: Main </w:t>
      </w:r>
      <w:proofErr w:type="spellStart"/>
      <w:r>
        <w:t>DiD</w:t>
      </w:r>
      <w:proofErr w:type="spellEnd"/>
      <w:r>
        <w:t xml:space="preserve"> Estimation Results with Log Transformation of Dependent Variabl</w:t>
      </w:r>
      <w:r w:rsidR="006A66FA" w:rsidRPr="00FA38B2">
        <w:rPr>
          <w:rFonts w:cs="Times New Roman"/>
          <w:noProof/>
          <w:szCs w:val="24"/>
        </w:rPr>
        <w:drawing>
          <wp:anchor distT="0" distB="0" distL="114300" distR="114300" simplePos="0" relativeHeight="251674624" behindDoc="1" locked="0" layoutInCell="1" allowOverlap="1" wp14:anchorId="52BB9B1A" wp14:editId="3506BA7F">
            <wp:simplePos x="0" y="0"/>
            <wp:positionH relativeFrom="column">
              <wp:posOffset>-93235</wp:posOffset>
            </wp:positionH>
            <wp:positionV relativeFrom="paragraph">
              <wp:posOffset>341630</wp:posOffset>
            </wp:positionV>
            <wp:extent cx="8079740" cy="1669415"/>
            <wp:effectExtent l="0" t="0" r="0" b="6985"/>
            <wp:wrapTopAndBottom/>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extLst>
                        <a:ext uri="{28A0092B-C50C-407E-A947-70E740481C1C}">
                          <a14:useLocalDpi xmlns:a14="http://schemas.microsoft.com/office/drawing/2010/main" val="0"/>
                        </a:ext>
                      </a:extLst>
                    </a:blip>
                    <a:stretch>
                      <a:fillRect/>
                    </a:stretch>
                  </pic:blipFill>
                  <pic:spPr>
                    <a:xfrm>
                      <a:off x="0" y="0"/>
                      <a:ext cx="8079740" cy="1669415"/>
                    </a:xfrm>
                    <a:prstGeom prst="rect">
                      <a:avLst/>
                    </a:prstGeom>
                  </pic:spPr>
                </pic:pic>
              </a:graphicData>
            </a:graphic>
            <wp14:sizeRelH relativeFrom="margin">
              <wp14:pctWidth>0</wp14:pctWidth>
            </wp14:sizeRelH>
            <wp14:sizeRelV relativeFrom="margin">
              <wp14:pctHeight>0</wp14:pctHeight>
            </wp14:sizeRelV>
          </wp:anchor>
        </w:drawing>
      </w:r>
      <w:r>
        <w:t>e</w:t>
      </w:r>
      <w:bookmarkEnd w:id="33"/>
    </w:p>
    <w:p w14:paraId="3D6AE34D" w14:textId="53762720" w:rsidR="00013EEA" w:rsidRPr="00FA38B2" w:rsidRDefault="00013EEA" w:rsidP="0015321A">
      <w:pPr>
        <w:rPr>
          <w:rFonts w:cs="Times New Roman"/>
          <w:b/>
          <w:szCs w:val="24"/>
        </w:rPr>
      </w:pPr>
    </w:p>
    <w:p w14:paraId="216B883F" w14:textId="49436640" w:rsidR="006A66FA" w:rsidRPr="00FA38B2" w:rsidRDefault="006A66FA" w:rsidP="0015321A">
      <w:pPr>
        <w:rPr>
          <w:rFonts w:cs="Times New Roman"/>
          <w:b/>
          <w:szCs w:val="24"/>
        </w:rPr>
        <w:sectPr w:rsidR="006A66FA" w:rsidRPr="00FA38B2" w:rsidSect="006A66FA">
          <w:pgSz w:w="15840" w:h="12240" w:orient="landscape" w:code="1"/>
          <w:pgMar w:top="1440" w:right="1440" w:bottom="1440" w:left="1440" w:header="720" w:footer="720" w:gutter="0"/>
          <w:cols w:space="720"/>
          <w:docGrid w:linePitch="360"/>
        </w:sectPr>
      </w:pPr>
    </w:p>
    <w:p w14:paraId="7BE4C936" w14:textId="06848550" w:rsidR="00F921C6" w:rsidRPr="00FA38B2" w:rsidRDefault="00F921C6" w:rsidP="0015321A">
      <w:pPr>
        <w:pStyle w:val="Heading2"/>
        <w:jc w:val="center"/>
        <w:rPr>
          <w:rFonts w:cs="Times New Roman"/>
          <w:szCs w:val="24"/>
        </w:rPr>
      </w:pPr>
      <w:bookmarkStart w:id="34" w:name="_Toc70181496"/>
      <w:r w:rsidRPr="00FA38B2">
        <w:rPr>
          <w:rFonts w:cs="Times New Roman"/>
          <w:szCs w:val="24"/>
        </w:rPr>
        <w:lastRenderedPageBreak/>
        <w:t>Discussion</w:t>
      </w:r>
      <w:bookmarkEnd w:id="34"/>
    </w:p>
    <w:p w14:paraId="13080EE3" w14:textId="77777777" w:rsidR="00F921C6" w:rsidRPr="00FA38B2" w:rsidRDefault="00F921C6" w:rsidP="0015321A">
      <w:pPr>
        <w:spacing w:after="120"/>
        <w:ind w:firstLine="720"/>
        <w:rPr>
          <w:rFonts w:cs="Times New Roman"/>
          <w:szCs w:val="24"/>
        </w:rPr>
      </w:pPr>
      <w:r w:rsidRPr="00FA38B2">
        <w:rPr>
          <w:rFonts w:cs="Times New Roman"/>
          <w:szCs w:val="24"/>
        </w:rPr>
        <w:t xml:space="preserve">Many states adopted grant aid polices, such as statewide promise programs or merit-based aid, to address the growing need for a college-educated workforce in the United States (Lumina, 2018; </w:t>
      </w:r>
      <w:proofErr w:type="spellStart"/>
      <w:r w:rsidRPr="00FA38B2">
        <w:rPr>
          <w:rFonts w:cs="Times New Roman"/>
          <w:szCs w:val="24"/>
        </w:rPr>
        <w:t>Perna</w:t>
      </w:r>
      <w:proofErr w:type="spellEnd"/>
      <w:r w:rsidRPr="00FA38B2">
        <w:rPr>
          <w:rFonts w:cs="Times New Roman"/>
          <w:szCs w:val="24"/>
        </w:rPr>
        <w:t xml:space="preserve"> &amp; Miller-Adams, 2017). Yet, current projections show a continued decrease in postsecondary enrollment among traditional-age students due to a multitude of factors, such as decreasing population (Hussar &amp; Bailey, 2019), and the rising cost of postsecondary education and pending student loan debt crisis in the United States (</w:t>
      </w:r>
      <w:proofErr w:type="spellStart"/>
      <w:r w:rsidRPr="00FA38B2">
        <w:rPr>
          <w:rFonts w:cs="Times New Roman"/>
          <w:szCs w:val="24"/>
        </w:rPr>
        <w:t>Perna</w:t>
      </w:r>
      <w:proofErr w:type="spellEnd"/>
      <w:r w:rsidRPr="00FA38B2">
        <w:rPr>
          <w:rFonts w:cs="Times New Roman"/>
          <w:szCs w:val="24"/>
        </w:rPr>
        <w:t xml:space="preserve"> et al., 2017). Initial projections in Tennessee, for example, indicate the state will fall well short of its stated goal of 55% of its population holding a postsecondary degree or credential by 2025 (THEC &amp; TSAC, 2021). </w:t>
      </w:r>
    </w:p>
    <w:p w14:paraId="372FCE17" w14:textId="77777777" w:rsidR="00F921C6" w:rsidRPr="00FA38B2" w:rsidRDefault="00F921C6" w:rsidP="0015321A">
      <w:pPr>
        <w:spacing w:after="120"/>
        <w:rPr>
          <w:rFonts w:cs="Times New Roman"/>
          <w:szCs w:val="24"/>
        </w:rPr>
      </w:pPr>
      <w:r w:rsidRPr="00FA38B2">
        <w:rPr>
          <w:rFonts w:cs="Times New Roman"/>
          <w:szCs w:val="24"/>
        </w:rPr>
        <w:tab/>
        <w:t xml:space="preserve">Tennessee Reconnect was created to counter the shortfalls of the age restrictions included in Tennessee Promise and other state grant aid programs; it was also created to incentivize students who are traditionally left out of postsecondary education to either return to college or enroll for the first time (Collom et al., forthcoming). The results from this study highlight the initial increases in adult student enrollment across all categories in Tennessee in the first two years Tennessee Reconnect funding was available statewide, despite the continued downward trend in enrollment observed nationwide. While follow up research is warranted to determine if increases in enrollment are sustained, this study establishes a significant causal relationship between the policy and initial enrollment responses among adult students in Tennessee’s public two-year institutions. Results from this study are encouraging for statewide promise programs moving forward, primarily promise programs which are made available to non-traditional adult students such as the recently announced Michigan Reconnect. Further, if tuition-free community college is adopted at the federal level - an explicit goal of the 2021-2024 presidential </w:t>
      </w:r>
      <w:r w:rsidRPr="00FA38B2">
        <w:rPr>
          <w:rFonts w:cs="Times New Roman"/>
          <w:szCs w:val="24"/>
        </w:rPr>
        <w:lastRenderedPageBreak/>
        <w:t xml:space="preserve">administration - the results from this study highlight the potential benefits of avoiding any policy eligibility restrictions based on age or time passed after receiving a high school diploma or GED. </w:t>
      </w:r>
    </w:p>
    <w:p w14:paraId="400227F7" w14:textId="77777777" w:rsidR="00F921C6" w:rsidRPr="00FA38B2" w:rsidRDefault="00F921C6" w:rsidP="0015321A">
      <w:pPr>
        <w:pStyle w:val="Heading2"/>
        <w:rPr>
          <w:rFonts w:cs="Times New Roman"/>
          <w:szCs w:val="24"/>
        </w:rPr>
      </w:pPr>
      <w:bookmarkStart w:id="35" w:name="_Toc70181497"/>
      <w:r w:rsidRPr="00FA38B2">
        <w:rPr>
          <w:rFonts w:cs="Times New Roman"/>
          <w:szCs w:val="24"/>
        </w:rPr>
        <w:t>Future Research</w:t>
      </w:r>
      <w:bookmarkEnd w:id="35"/>
    </w:p>
    <w:p w14:paraId="2DC3FFE1" w14:textId="7C4511AA" w:rsidR="00F921C6" w:rsidRPr="00FA38B2" w:rsidRDefault="00F921C6" w:rsidP="0015321A">
      <w:pPr>
        <w:spacing w:after="120"/>
        <w:ind w:firstLine="720"/>
        <w:rPr>
          <w:rFonts w:cs="Times New Roman"/>
          <w:szCs w:val="24"/>
        </w:rPr>
      </w:pPr>
      <w:r w:rsidRPr="00FA38B2">
        <w:rPr>
          <w:rFonts w:cs="Times New Roman"/>
          <w:szCs w:val="24"/>
        </w:rPr>
        <w:t xml:space="preserve">While there is a growing body of research regarding statewide promise programs, substantial future investigations must be conducted. Researchers must determine how variations in statewide policies impact student outcomes. For example, a longitudinal qualitative investigation replicating Collom et al.’s (forthcoming) work on Tennessee Reconnect should be conducted to explore the recently implemented Michigan Reconnect. Such analysis may investigate whether there are state or regional differences in the experiences of adult students in similarly structured statewide policies. Further, longitudinal analyses of enrollment responses, such as the DiD analyses conducted in this study, are needed to determine whether Michigan Reconnect will see similar increases in adult student enrollment. Researchers must also explore whether initial enrollment responses to the Tennessee Reconnect were </w:t>
      </w:r>
      <w:r w:rsidR="00F506D3" w:rsidRPr="00FA38B2">
        <w:rPr>
          <w:rFonts w:cs="Times New Roman"/>
          <w:szCs w:val="24"/>
        </w:rPr>
        <w:t>affected</w:t>
      </w:r>
      <w:r w:rsidRPr="00FA38B2">
        <w:rPr>
          <w:rFonts w:cs="Times New Roman"/>
          <w:szCs w:val="24"/>
        </w:rPr>
        <w:t xml:space="preserve"> by factors unaccounted for in this analysis, such as the established marketing and nationwide acclaim of Tennessee Promise or the individual marketing and admission practices within colleges. </w:t>
      </w:r>
    </w:p>
    <w:p w14:paraId="533C29B6" w14:textId="77777777" w:rsidR="00F921C6" w:rsidRPr="00FA38B2" w:rsidRDefault="00F921C6" w:rsidP="0015321A">
      <w:pPr>
        <w:spacing w:after="120"/>
        <w:rPr>
          <w:rFonts w:cs="Times New Roman"/>
          <w:szCs w:val="24"/>
        </w:rPr>
      </w:pPr>
      <w:r w:rsidRPr="00FA38B2">
        <w:rPr>
          <w:rFonts w:cs="Times New Roman"/>
          <w:szCs w:val="24"/>
        </w:rPr>
        <w:tab/>
        <w:t xml:space="preserve">The downward trend in postsecondary education enrollment in the United States may be exacerbated due to the COVID-19 pandemic and the potential long-term economic and social consequences of the crisis. While four-year enrollment in the United States were initially relatively unaffected by the pandemic, reports of fall 2020 enrollment in community and technical colleges indicated a sharp decrease nationwide, primarily among adult students (National Student Clearinghouse, 2020). Continued investigation of enrollment responses and in Tennessee is warranted to observe whether the availability of Tennessee Reconnect funding </w:t>
      </w:r>
      <w:r w:rsidRPr="00FA38B2">
        <w:rPr>
          <w:rFonts w:cs="Times New Roman"/>
          <w:szCs w:val="24"/>
        </w:rPr>
        <w:lastRenderedPageBreak/>
        <w:t xml:space="preserve">decreased the negative effect of the COVID-19 pandemic on adult student enrollment in the state. </w:t>
      </w:r>
    </w:p>
    <w:p w14:paraId="46191631" w14:textId="77777777" w:rsidR="00F921C6" w:rsidRPr="00FA38B2" w:rsidRDefault="00F921C6" w:rsidP="0015321A">
      <w:pPr>
        <w:spacing w:after="120"/>
        <w:rPr>
          <w:rFonts w:cs="Times New Roman"/>
          <w:szCs w:val="24"/>
        </w:rPr>
      </w:pPr>
      <w:r w:rsidRPr="00FA38B2">
        <w:rPr>
          <w:rFonts w:cs="Times New Roman"/>
          <w:szCs w:val="24"/>
        </w:rPr>
        <w:tab/>
        <w:t xml:space="preserve">Further, qualitative and/or mixed-methods investigations are needed to determine how the broader economic and social conditions described by </w:t>
      </w:r>
      <w:proofErr w:type="spellStart"/>
      <w:r w:rsidRPr="00FA38B2">
        <w:rPr>
          <w:rFonts w:cs="Times New Roman"/>
          <w:szCs w:val="24"/>
        </w:rPr>
        <w:t>Perna</w:t>
      </w:r>
      <w:proofErr w:type="spellEnd"/>
      <w:r w:rsidRPr="00FA38B2">
        <w:rPr>
          <w:rFonts w:cs="Times New Roman"/>
          <w:szCs w:val="24"/>
        </w:rPr>
        <w:t xml:space="preserve"> (2006), such as the nationwide economic (i.e. increased unemployment) and social (i.e. at-home virtual K-12 education) consequences of COVID-19, impact the efficacy of promise programs such as Tennessee Promise and Tennessee Reconnect. Future studies on statewide adult promise programs must investigate whether practices included in other statewide promise programs - such as academic coaching, mentoring, and learning communities - are potentially effective practices to increase enrollment, retention, and persistence of adult students participating in a promise program (Collom et al., forthcoming). </w:t>
      </w:r>
    </w:p>
    <w:p w14:paraId="4B751EEE" w14:textId="2BB741E0" w:rsidR="00F921C6" w:rsidRPr="00FA38B2" w:rsidRDefault="00F921C6" w:rsidP="0015321A">
      <w:pPr>
        <w:spacing w:after="120"/>
        <w:ind w:firstLine="720"/>
        <w:rPr>
          <w:rFonts w:cs="Times New Roman"/>
          <w:szCs w:val="24"/>
        </w:rPr>
      </w:pPr>
      <w:r w:rsidRPr="00FA38B2">
        <w:rPr>
          <w:rFonts w:cs="Times New Roman"/>
          <w:szCs w:val="24"/>
        </w:rPr>
        <w:t xml:space="preserve">Lastly, there is a dearth of rigorous analyses regarding promise programs </w:t>
      </w:r>
      <w:r w:rsidR="00E43F18" w:rsidRPr="00FA38B2">
        <w:rPr>
          <w:rFonts w:cs="Times New Roman"/>
          <w:szCs w:val="24"/>
        </w:rPr>
        <w:t xml:space="preserve">critically </w:t>
      </w:r>
      <w:r w:rsidRPr="00FA38B2">
        <w:rPr>
          <w:rFonts w:cs="Times New Roman"/>
          <w:szCs w:val="24"/>
        </w:rPr>
        <w:t>addressing whether the policies are structured effectively</w:t>
      </w:r>
      <w:r w:rsidR="000A245D" w:rsidRPr="00FA38B2">
        <w:rPr>
          <w:rFonts w:cs="Times New Roman"/>
          <w:szCs w:val="24"/>
        </w:rPr>
        <w:t xml:space="preserve"> and equitably</w:t>
      </w:r>
      <w:r w:rsidRPr="00FA38B2">
        <w:rPr>
          <w:rFonts w:cs="Times New Roman"/>
          <w:szCs w:val="24"/>
        </w:rPr>
        <w:t xml:space="preserve">. Substantial analyses are warranted to determine if current promise program policy mechanisms (e.g. last-dollar vs. first-dollar) benefit students who have the most need, or if the majority of state funds provide tuition-free college to students from middle- and upper-class families (Jones &amp; Berger, 2018). Further, future research must address whether institutions and their academic support staff are effectively funded and prepared to support substantial enrollment increases of students from </w:t>
      </w:r>
      <w:proofErr w:type="spellStart"/>
      <w:r w:rsidRPr="00FA38B2">
        <w:rPr>
          <w:rFonts w:cs="Times New Roman"/>
          <w:szCs w:val="24"/>
        </w:rPr>
        <w:t>minoritized</w:t>
      </w:r>
      <w:proofErr w:type="spellEnd"/>
      <w:r w:rsidRPr="00FA38B2">
        <w:rPr>
          <w:rFonts w:cs="Times New Roman"/>
          <w:szCs w:val="24"/>
        </w:rPr>
        <w:t xml:space="preserve"> or other underrepresented groups (Collom et al., forthcoming; </w:t>
      </w:r>
      <w:proofErr w:type="spellStart"/>
      <w:r w:rsidRPr="00FA38B2">
        <w:rPr>
          <w:rFonts w:cs="Times New Roman"/>
          <w:szCs w:val="24"/>
        </w:rPr>
        <w:t>Perna</w:t>
      </w:r>
      <w:proofErr w:type="spellEnd"/>
      <w:r w:rsidRPr="00FA38B2">
        <w:rPr>
          <w:rFonts w:cs="Times New Roman"/>
          <w:szCs w:val="24"/>
        </w:rPr>
        <w:t xml:space="preserve"> et al., 2020). </w:t>
      </w:r>
    </w:p>
    <w:p w14:paraId="67307516" w14:textId="77777777" w:rsidR="00F921C6" w:rsidRPr="00FA38B2" w:rsidRDefault="00F921C6" w:rsidP="0015321A">
      <w:pPr>
        <w:rPr>
          <w:rFonts w:cs="Times New Roman"/>
          <w:szCs w:val="24"/>
        </w:rPr>
      </w:pPr>
      <w:r w:rsidRPr="00FA38B2">
        <w:rPr>
          <w:rFonts w:cs="Times New Roman"/>
          <w:szCs w:val="24"/>
        </w:rPr>
        <w:br w:type="page"/>
      </w:r>
    </w:p>
    <w:p w14:paraId="686B0F0C" w14:textId="0EEDA9EF" w:rsidR="00F430F4" w:rsidRPr="00FA38B2" w:rsidRDefault="00F430F4" w:rsidP="0015321A">
      <w:pPr>
        <w:pStyle w:val="Heading2"/>
        <w:jc w:val="center"/>
        <w:rPr>
          <w:rFonts w:cs="Times New Roman"/>
          <w:szCs w:val="24"/>
        </w:rPr>
      </w:pPr>
      <w:bookmarkStart w:id="36" w:name="_Toc70181498"/>
      <w:r w:rsidRPr="00FA38B2">
        <w:rPr>
          <w:rFonts w:cs="Times New Roman"/>
          <w:szCs w:val="24"/>
        </w:rPr>
        <w:lastRenderedPageBreak/>
        <w:t>References</w:t>
      </w:r>
      <w:bookmarkEnd w:id="36"/>
    </w:p>
    <w:p w14:paraId="6E2D337F" w14:textId="77777777" w:rsidR="00F430F4" w:rsidRPr="00FA38B2" w:rsidRDefault="00F430F4" w:rsidP="0015321A">
      <w:pPr>
        <w:ind w:left="720" w:hanging="720"/>
        <w:rPr>
          <w:rFonts w:cs="Times New Roman"/>
          <w:szCs w:val="24"/>
        </w:rPr>
      </w:pPr>
      <w:r w:rsidRPr="00FA38B2">
        <w:rPr>
          <w:rFonts w:cs="Times New Roman"/>
          <w:szCs w:val="24"/>
        </w:rPr>
        <w:t xml:space="preserve">Angrist, J. D. &amp; </w:t>
      </w:r>
      <w:proofErr w:type="spellStart"/>
      <w:r w:rsidRPr="00FA38B2">
        <w:rPr>
          <w:rFonts w:cs="Times New Roman"/>
          <w:szCs w:val="24"/>
        </w:rPr>
        <w:t>Pischke</w:t>
      </w:r>
      <w:proofErr w:type="spellEnd"/>
      <w:r w:rsidRPr="00FA38B2">
        <w:rPr>
          <w:rFonts w:cs="Times New Roman"/>
          <w:szCs w:val="24"/>
        </w:rPr>
        <w:t xml:space="preserve">, J.S. (2009). </w:t>
      </w:r>
      <w:r w:rsidRPr="00FA38B2">
        <w:rPr>
          <w:rFonts w:cs="Times New Roman"/>
          <w:i/>
          <w:szCs w:val="24"/>
        </w:rPr>
        <w:t>Mostly Harmless Econometrics</w:t>
      </w:r>
      <w:r w:rsidRPr="00FA38B2">
        <w:rPr>
          <w:rFonts w:cs="Times New Roman"/>
          <w:szCs w:val="24"/>
        </w:rPr>
        <w:t xml:space="preserve">. Princeton University Press. </w:t>
      </w:r>
    </w:p>
    <w:p w14:paraId="571D8945" w14:textId="77777777" w:rsidR="00F430F4" w:rsidRPr="00FA38B2" w:rsidRDefault="00F430F4" w:rsidP="0015321A">
      <w:pPr>
        <w:ind w:left="720" w:hanging="720"/>
        <w:rPr>
          <w:rFonts w:cs="Times New Roman"/>
          <w:szCs w:val="24"/>
        </w:rPr>
      </w:pPr>
      <w:r w:rsidRPr="00FA38B2">
        <w:rPr>
          <w:rFonts w:cs="Times New Roman"/>
          <w:szCs w:val="24"/>
        </w:rPr>
        <w:t xml:space="preserve">Billings, M. (2018, September 18). Understanding the design of college promise programs, and where to go from here. </w:t>
      </w:r>
      <w:r w:rsidRPr="00FA38B2">
        <w:rPr>
          <w:rFonts w:cs="Times New Roman"/>
          <w:i/>
          <w:szCs w:val="24"/>
        </w:rPr>
        <w:t>The Brookings Institute</w:t>
      </w:r>
      <w:r w:rsidRPr="00FA38B2">
        <w:rPr>
          <w:rFonts w:cs="Times New Roman"/>
          <w:szCs w:val="24"/>
        </w:rPr>
        <w:t>. https://www.brookings.edu/blog/brown-center-chalkboard/2018/09/18/understanding-the-design-of-college-promise-programs-and-where-to-go-from-here/</w:t>
      </w:r>
    </w:p>
    <w:p w14:paraId="2327F8E8" w14:textId="77777777" w:rsidR="00F430F4" w:rsidRPr="00FA38B2" w:rsidRDefault="00F430F4" w:rsidP="0015321A">
      <w:pPr>
        <w:ind w:left="720" w:hanging="720"/>
        <w:rPr>
          <w:rFonts w:cs="Times New Roman"/>
          <w:szCs w:val="24"/>
        </w:rPr>
      </w:pPr>
      <w:proofErr w:type="spellStart"/>
      <w:r w:rsidRPr="00FA38B2">
        <w:rPr>
          <w:rFonts w:cs="Times New Roman"/>
          <w:szCs w:val="24"/>
        </w:rPr>
        <w:t>Chesbrough</w:t>
      </w:r>
      <w:proofErr w:type="spellEnd"/>
      <w:r w:rsidRPr="00FA38B2">
        <w:rPr>
          <w:rFonts w:cs="Times New Roman"/>
          <w:szCs w:val="24"/>
        </w:rPr>
        <w:t xml:space="preserve">, R. D. (2011). College students and service: A mixed methods exploration of motivations, choices, and learning outcomes. </w:t>
      </w:r>
      <w:r w:rsidRPr="00FA38B2">
        <w:rPr>
          <w:rFonts w:cs="Times New Roman"/>
          <w:i/>
          <w:szCs w:val="24"/>
        </w:rPr>
        <w:t>Journal of College Student Development, 52</w:t>
      </w:r>
      <w:r w:rsidRPr="00FA38B2">
        <w:rPr>
          <w:rFonts w:cs="Times New Roman"/>
          <w:szCs w:val="24"/>
        </w:rPr>
        <w:t>(6), 687-705. https://doi.org/10.1353/csd.2011.0071</w:t>
      </w:r>
    </w:p>
    <w:p w14:paraId="4F8491C8" w14:textId="77777777" w:rsidR="00F430F4" w:rsidRPr="00FA38B2" w:rsidRDefault="00F430F4" w:rsidP="0015321A">
      <w:pPr>
        <w:ind w:left="720" w:hanging="720"/>
        <w:rPr>
          <w:rFonts w:cs="Times New Roman"/>
          <w:szCs w:val="24"/>
        </w:rPr>
      </w:pPr>
      <w:r w:rsidRPr="00FA38B2">
        <w:rPr>
          <w:rFonts w:cs="Times New Roman"/>
          <w:szCs w:val="24"/>
        </w:rPr>
        <w:t xml:space="preserve">Collom, G. D., </w:t>
      </w:r>
      <w:proofErr w:type="spellStart"/>
      <w:r w:rsidRPr="00FA38B2">
        <w:rPr>
          <w:rFonts w:cs="Times New Roman"/>
          <w:szCs w:val="24"/>
        </w:rPr>
        <w:t>Biddix</w:t>
      </w:r>
      <w:proofErr w:type="spellEnd"/>
      <w:r w:rsidRPr="00FA38B2">
        <w:rPr>
          <w:rFonts w:cs="Times New Roman"/>
          <w:szCs w:val="24"/>
        </w:rPr>
        <w:t xml:space="preserve">, J. P., &amp; Svoboda, B. L. (in press). “I’m not letting nothing stop me this time”: Transitions among adult learners using the Tennessee Reconnect Grant. </w:t>
      </w:r>
      <w:r w:rsidRPr="00FA38B2">
        <w:rPr>
          <w:rFonts w:cs="Times New Roman"/>
          <w:i/>
          <w:szCs w:val="24"/>
        </w:rPr>
        <w:t>Community College Review</w:t>
      </w:r>
      <w:r w:rsidRPr="00FA38B2">
        <w:rPr>
          <w:rFonts w:cs="Times New Roman"/>
          <w:szCs w:val="24"/>
        </w:rPr>
        <w:t>.</w:t>
      </w:r>
    </w:p>
    <w:p w14:paraId="2BD973A8" w14:textId="77777777" w:rsidR="00F430F4" w:rsidRPr="00FA38B2" w:rsidRDefault="00F430F4" w:rsidP="0015321A">
      <w:pPr>
        <w:ind w:left="720" w:hanging="720"/>
        <w:rPr>
          <w:rFonts w:cs="Times New Roman"/>
          <w:szCs w:val="24"/>
        </w:rPr>
      </w:pPr>
      <w:r w:rsidRPr="00FA38B2">
        <w:rPr>
          <w:rFonts w:cs="Times New Roman"/>
          <w:szCs w:val="24"/>
        </w:rPr>
        <w:t xml:space="preserve">Cunningham, S. (2021). </w:t>
      </w:r>
      <w:r w:rsidRPr="00FA38B2">
        <w:rPr>
          <w:rFonts w:cs="Times New Roman"/>
          <w:i/>
          <w:szCs w:val="24"/>
        </w:rPr>
        <w:t>Causal Inference: The Mixtape</w:t>
      </w:r>
      <w:r w:rsidRPr="00FA38B2">
        <w:rPr>
          <w:rFonts w:cs="Times New Roman"/>
          <w:szCs w:val="24"/>
        </w:rPr>
        <w:t xml:space="preserve">. Yale University Press. </w:t>
      </w:r>
    </w:p>
    <w:p w14:paraId="5036D13E" w14:textId="77777777" w:rsidR="00F430F4" w:rsidRPr="00FA38B2" w:rsidRDefault="00F430F4" w:rsidP="0015321A">
      <w:pPr>
        <w:ind w:left="720" w:hanging="720"/>
        <w:rPr>
          <w:rFonts w:cs="Times New Roman"/>
          <w:szCs w:val="24"/>
        </w:rPr>
      </w:pPr>
      <w:r w:rsidRPr="00FA38B2">
        <w:rPr>
          <w:rFonts w:cs="Times New Roman"/>
          <w:szCs w:val="24"/>
        </w:rPr>
        <w:t xml:space="preserve">Davidson, C. T., Ashby-King, D. T., &amp; </w:t>
      </w:r>
      <w:proofErr w:type="spellStart"/>
      <w:r w:rsidRPr="00FA38B2">
        <w:rPr>
          <w:rFonts w:cs="Times New Roman"/>
          <w:szCs w:val="24"/>
        </w:rPr>
        <w:t>Sciulli</w:t>
      </w:r>
      <w:proofErr w:type="spellEnd"/>
      <w:r w:rsidRPr="00FA38B2">
        <w:rPr>
          <w:rFonts w:cs="Times New Roman"/>
          <w:szCs w:val="24"/>
        </w:rPr>
        <w:t xml:space="preserve">, L. J. (2020). The higher education funding revolution: An exploration of statewide community college “free tuition” programs. </w:t>
      </w:r>
      <w:r w:rsidRPr="00FA38B2">
        <w:rPr>
          <w:rFonts w:cs="Times New Roman"/>
          <w:i/>
          <w:szCs w:val="24"/>
        </w:rPr>
        <w:t>Community College Journal of Research and Practice, 44</w:t>
      </w:r>
      <w:r w:rsidRPr="00FA38B2">
        <w:rPr>
          <w:rFonts w:cs="Times New Roman"/>
          <w:szCs w:val="24"/>
        </w:rPr>
        <w:t>(2), 117-132. https://doi.org/10.1080/10668926.2018.1558135</w:t>
      </w:r>
    </w:p>
    <w:p w14:paraId="62060FDD" w14:textId="77777777" w:rsidR="00F430F4" w:rsidRPr="00FA38B2" w:rsidRDefault="00F430F4" w:rsidP="0015321A">
      <w:pPr>
        <w:ind w:left="720" w:hanging="720"/>
        <w:rPr>
          <w:rFonts w:cs="Times New Roman"/>
          <w:szCs w:val="24"/>
        </w:rPr>
      </w:pPr>
      <w:r w:rsidRPr="00FA38B2">
        <w:rPr>
          <w:rFonts w:cs="Times New Roman"/>
          <w:szCs w:val="24"/>
        </w:rPr>
        <w:t xml:space="preserve">Donald, S. G. &amp; Lang, K. (2007). Inference with difference-in-differences and other panel data. </w:t>
      </w:r>
      <w:r w:rsidRPr="00FA38B2">
        <w:rPr>
          <w:rFonts w:cs="Times New Roman"/>
          <w:i/>
          <w:szCs w:val="24"/>
        </w:rPr>
        <w:t>The Review of Economics and Statistics, 89</w:t>
      </w:r>
      <w:r w:rsidRPr="00FA38B2">
        <w:rPr>
          <w:rFonts w:cs="Times New Roman"/>
          <w:szCs w:val="24"/>
        </w:rPr>
        <w:t>(2), 221-233. https://doi.org/10.1162/rest.89.2.221</w:t>
      </w:r>
    </w:p>
    <w:p w14:paraId="1D9B710C" w14:textId="77777777" w:rsidR="00F430F4" w:rsidRPr="00FA38B2" w:rsidRDefault="00F430F4" w:rsidP="0015321A">
      <w:pPr>
        <w:ind w:left="720" w:hanging="720"/>
        <w:rPr>
          <w:rFonts w:cs="Times New Roman"/>
          <w:szCs w:val="24"/>
        </w:rPr>
      </w:pPr>
      <w:proofErr w:type="spellStart"/>
      <w:r w:rsidRPr="00FA38B2">
        <w:rPr>
          <w:rFonts w:cs="Times New Roman"/>
          <w:szCs w:val="24"/>
        </w:rPr>
        <w:t>Goldhaber</w:t>
      </w:r>
      <w:proofErr w:type="spellEnd"/>
      <w:r w:rsidRPr="00FA38B2">
        <w:rPr>
          <w:rFonts w:cs="Times New Roman"/>
          <w:szCs w:val="24"/>
        </w:rPr>
        <w:t xml:space="preserve">, D., Long, M. C., Gratz, T., &amp; </w:t>
      </w:r>
      <w:proofErr w:type="spellStart"/>
      <w:r w:rsidRPr="00FA38B2">
        <w:rPr>
          <w:rFonts w:cs="Times New Roman"/>
          <w:szCs w:val="24"/>
        </w:rPr>
        <w:t>Rooklyn</w:t>
      </w:r>
      <w:proofErr w:type="spellEnd"/>
      <w:r w:rsidRPr="00FA38B2">
        <w:rPr>
          <w:rFonts w:cs="Times New Roman"/>
          <w:szCs w:val="24"/>
        </w:rPr>
        <w:t xml:space="preserve">, J. (2019). Pledging to do “good”: An early commitment pledge program, college scholarships, and high school outcomes in </w:t>
      </w:r>
      <w:r w:rsidRPr="00FA38B2">
        <w:rPr>
          <w:rFonts w:cs="Times New Roman"/>
          <w:szCs w:val="24"/>
        </w:rPr>
        <w:lastRenderedPageBreak/>
        <w:t xml:space="preserve">Washington state. </w:t>
      </w:r>
      <w:r w:rsidRPr="00FA38B2">
        <w:rPr>
          <w:rFonts w:cs="Times New Roman"/>
          <w:i/>
          <w:szCs w:val="24"/>
        </w:rPr>
        <w:t>Educational Evaluation and Policy Analysis</w:t>
      </w:r>
      <w:r w:rsidRPr="00FA38B2">
        <w:rPr>
          <w:rFonts w:cs="Times New Roman"/>
          <w:szCs w:val="24"/>
        </w:rPr>
        <w:t xml:space="preserve">, </w:t>
      </w:r>
      <w:r w:rsidRPr="00FA38B2">
        <w:rPr>
          <w:rFonts w:cs="Times New Roman"/>
          <w:i/>
          <w:szCs w:val="24"/>
        </w:rPr>
        <w:t>42</w:t>
      </w:r>
      <w:r w:rsidRPr="00FA38B2">
        <w:rPr>
          <w:rFonts w:cs="Times New Roman"/>
          <w:szCs w:val="24"/>
        </w:rPr>
        <w:t>(1), 110-133. https://doi.org/10.3102/0162373719889051</w:t>
      </w:r>
    </w:p>
    <w:p w14:paraId="6F4C9214" w14:textId="77777777" w:rsidR="00F430F4" w:rsidRPr="00FA38B2" w:rsidRDefault="00F430F4" w:rsidP="0015321A">
      <w:pPr>
        <w:ind w:left="720" w:hanging="720"/>
        <w:rPr>
          <w:rFonts w:cs="Times New Roman"/>
          <w:szCs w:val="24"/>
        </w:rPr>
      </w:pPr>
      <w:r w:rsidRPr="00FA38B2">
        <w:rPr>
          <w:rFonts w:cs="Times New Roman"/>
          <w:szCs w:val="24"/>
        </w:rPr>
        <w:t xml:space="preserve">Hu, Y. &amp; Hoover, D. (2018). Simple power and sample size estimation for non-randomized longitudinal difference in differences studies. </w:t>
      </w:r>
      <w:r w:rsidRPr="00FA38B2">
        <w:rPr>
          <w:rFonts w:cs="Times New Roman"/>
          <w:i/>
          <w:szCs w:val="24"/>
        </w:rPr>
        <w:t>Journal of Biometrics and Biostatistics</w:t>
      </w:r>
      <w:r w:rsidRPr="00FA38B2">
        <w:rPr>
          <w:rFonts w:cs="Times New Roman"/>
          <w:szCs w:val="24"/>
        </w:rPr>
        <w:t xml:space="preserve">, </w:t>
      </w:r>
      <w:r w:rsidRPr="00FA38B2">
        <w:rPr>
          <w:rFonts w:cs="Times New Roman"/>
          <w:i/>
          <w:szCs w:val="24"/>
        </w:rPr>
        <w:t>9</w:t>
      </w:r>
      <w:r w:rsidRPr="00FA38B2">
        <w:rPr>
          <w:rFonts w:cs="Times New Roman"/>
          <w:szCs w:val="24"/>
        </w:rPr>
        <w:t xml:space="preserve">(5). https://doi.org/10.4172/2155-6180.1000415  </w:t>
      </w:r>
    </w:p>
    <w:p w14:paraId="678CF65C" w14:textId="77777777" w:rsidR="00F430F4" w:rsidRPr="00FA38B2" w:rsidRDefault="00F430F4" w:rsidP="0015321A">
      <w:pPr>
        <w:ind w:left="720" w:hanging="720"/>
        <w:rPr>
          <w:rFonts w:cs="Times New Roman"/>
          <w:szCs w:val="24"/>
        </w:rPr>
      </w:pPr>
      <w:r w:rsidRPr="00FA38B2">
        <w:rPr>
          <w:rFonts w:cs="Times New Roman"/>
          <w:szCs w:val="24"/>
        </w:rPr>
        <w:t>Jones, T., &amp; Berger, K. (2018). A promise fulfilled: A framework for equitable free college programs. The Education Trust.</w:t>
      </w:r>
    </w:p>
    <w:p w14:paraId="53F319F9" w14:textId="79F2D97C" w:rsidR="00F430F4" w:rsidRPr="00FA38B2" w:rsidRDefault="00F430F4" w:rsidP="0015321A">
      <w:pPr>
        <w:ind w:left="720" w:hanging="720"/>
        <w:rPr>
          <w:rFonts w:cs="Times New Roman"/>
          <w:szCs w:val="24"/>
        </w:rPr>
      </w:pPr>
      <w:proofErr w:type="spellStart"/>
      <w:r w:rsidRPr="00FA38B2">
        <w:rPr>
          <w:rFonts w:cs="Times New Roman"/>
          <w:szCs w:val="24"/>
        </w:rPr>
        <w:t>Kelchen</w:t>
      </w:r>
      <w:proofErr w:type="spellEnd"/>
      <w:r w:rsidRPr="00FA38B2">
        <w:rPr>
          <w:rFonts w:cs="Times New Roman"/>
          <w:szCs w:val="24"/>
        </w:rPr>
        <w:t xml:space="preserve">, R. (2018). Do performance-based funding policies affect underrepresented student enrollment? </w:t>
      </w:r>
      <w:r w:rsidRPr="00FA38B2">
        <w:rPr>
          <w:rFonts w:cs="Times New Roman"/>
          <w:i/>
          <w:szCs w:val="24"/>
        </w:rPr>
        <w:t>The Journal of Higher Education</w:t>
      </w:r>
      <w:r w:rsidRPr="00FA38B2">
        <w:rPr>
          <w:rFonts w:cs="Times New Roman"/>
          <w:szCs w:val="24"/>
        </w:rPr>
        <w:t xml:space="preserve">, </w:t>
      </w:r>
      <w:r w:rsidRPr="00FA38B2">
        <w:rPr>
          <w:rFonts w:cs="Times New Roman"/>
          <w:i/>
          <w:szCs w:val="24"/>
        </w:rPr>
        <w:t>89</w:t>
      </w:r>
      <w:r w:rsidRPr="00FA38B2">
        <w:rPr>
          <w:rFonts w:cs="Times New Roman"/>
          <w:szCs w:val="24"/>
        </w:rPr>
        <w:t xml:space="preserve">(5), 702-727. </w:t>
      </w:r>
      <w:r w:rsidR="00E6641A" w:rsidRPr="00FA38B2">
        <w:rPr>
          <w:rFonts w:cs="Times New Roman"/>
          <w:szCs w:val="24"/>
        </w:rPr>
        <w:t>https://doi.org/10.1080/00221546.2018.1434282</w:t>
      </w:r>
    </w:p>
    <w:p w14:paraId="6AE92D84" w14:textId="0EA7F3DA" w:rsidR="00E6641A" w:rsidRPr="00FA38B2" w:rsidRDefault="00E6641A" w:rsidP="0015321A">
      <w:pPr>
        <w:ind w:left="720" w:hanging="720"/>
        <w:rPr>
          <w:rFonts w:cs="Times New Roman"/>
          <w:szCs w:val="24"/>
        </w:rPr>
      </w:pPr>
      <w:r w:rsidRPr="00FA38B2">
        <w:rPr>
          <w:rFonts w:cs="Times New Roman"/>
          <w:szCs w:val="24"/>
        </w:rPr>
        <w:t xml:space="preserve">Kim, Y. &amp; Steiner, P. (2016). Quasi-experimental designs for causal inference. </w:t>
      </w:r>
      <w:r w:rsidRPr="00FA38B2">
        <w:rPr>
          <w:rFonts w:cs="Times New Roman"/>
          <w:i/>
          <w:szCs w:val="24"/>
        </w:rPr>
        <w:t>Educational Psychologist, 51</w:t>
      </w:r>
      <w:r w:rsidRPr="00FA38B2">
        <w:rPr>
          <w:rFonts w:cs="Times New Roman"/>
          <w:szCs w:val="24"/>
        </w:rPr>
        <w:t>(3-4), 395-405. https://doi.org/10.1080/00461520.2016.1207177</w:t>
      </w:r>
    </w:p>
    <w:p w14:paraId="3038473D" w14:textId="77777777" w:rsidR="00F430F4" w:rsidRPr="00FA38B2" w:rsidRDefault="00F430F4" w:rsidP="0015321A">
      <w:pPr>
        <w:ind w:left="720" w:hanging="720"/>
        <w:rPr>
          <w:rFonts w:cs="Times New Roman"/>
          <w:szCs w:val="24"/>
        </w:rPr>
      </w:pPr>
      <w:proofErr w:type="spellStart"/>
      <w:r w:rsidRPr="00FA38B2">
        <w:rPr>
          <w:rFonts w:cs="Times New Roman"/>
          <w:szCs w:val="24"/>
        </w:rPr>
        <w:t>Luedke</w:t>
      </w:r>
      <w:proofErr w:type="spellEnd"/>
      <w:r w:rsidRPr="00FA38B2">
        <w:rPr>
          <w:rFonts w:cs="Times New Roman"/>
          <w:szCs w:val="24"/>
        </w:rPr>
        <w:t xml:space="preserve">, C. L., Collom, G. D., McCoy, D. L., Lee-Johnson, J., &amp; Winkle-Wagner, R. (2019). Connecting identity with research: Socializing Students of Color towards seeing themselves as scholars. </w:t>
      </w:r>
      <w:r w:rsidRPr="00FA38B2">
        <w:rPr>
          <w:rFonts w:cs="Times New Roman"/>
          <w:i/>
          <w:szCs w:val="24"/>
        </w:rPr>
        <w:t>The Review of Higher Education</w:t>
      </w:r>
      <w:r w:rsidRPr="00FA38B2">
        <w:rPr>
          <w:rFonts w:cs="Times New Roman"/>
          <w:szCs w:val="24"/>
        </w:rPr>
        <w:t xml:space="preserve">, </w:t>
      </w:r>
      <w:r w:rsidRPr="00FA38B2">
        <w:rPr>
          <w:rFonts w:cs="Times New Roman"/>
          <w:i/>
          <w:szCs w:val="24"/>
        </w:rPr>
        <w:t>42</w:t>
      </w:r>
      <w:r w:rsidRPr="00FA38B2">
        <w:rPr>
          <w:rFonts w:cs="Times New Roman"/>
          <w:szCs w:val="24"/>
        </w:rPr>
        <w:t>(4), 1529-1549. https://doi.org/10.1353/rhe.2019.0074</w:t>
      </w:r>
    </w:p>
    <w:p w14:paraId="7A11CA92" w14:textId="0F5B69C0" w:rsidR="00F430F4" w:rsidRPr="00FA38B2" w:rsidRDefault="00F430F4" w:rsidP="0015321A">
      <w:pPr>
        <w:ind w:left="720" w:hanging="720"/>
        <w:rPr>
          <w:rFonts w:cs="Times New Roman"/>
          <w:szCs w:val="24"/>
        </w:rPr>
      </w:pPr>
      <w:r w:rsidRPr="00FA38B2">
        <w:rPr>
          <w:rFonts w:cs="Times New Roman"/>
          <w:szCs w:val="24"/>
        </w:rPr>
        <w:t xml:space="preserve">Lumina Foundation (2019). </w:t>
      </w:r>
      <w:r w:rsidRPr="00FA38B2">
        <w:rPr>
          <w:rFonts w:cs="Times New Roman"/>
          <w:i/>
          <w:szCs w:val="24"/>
        </w:rPr>
        <w:t>A stronger nation: Learning beyond high school builds American talent</w:t>
      </w:r>
      <w:r w:rsidRPr="00FA38B2">
        <w:rPr>
          <w:rFonts w:cs="Times New Roman"/>
          <w:szCs w:val="24"/>
        </w:rPr>
        <w:t xml:space="preserve"> (National report). www.luminafoundation.org/2a0a02cb-bb8b-423d-9322-819778ade3d4</w:t>
      </w:r>
    </w:p>
    <w:p w14:paraId="179533F5" w14:textId="77777777" w:rsidR="00F430F4" w:rsidRPr="00FA38B2" w:rsidRDefault="00F430F4" w:rsidP="0015321A">
      <w:pPr>
        <w:ind w:left="720" w:hanging="720"/>
        <w:rPr>
          <w:rFonts w:cs="Times New Roman"/>
          <w:szCs w:val="24"/>
        </w:rPr>
      </w:pPr>
      <w:r w:rsidRPr="00FA38B2">
        <w:rPr>
          <w:rFonts w:cs="Times New Roman"/>
          <w:szCs w:val="24"/>
        </w:rPr>
        <w:t xml:space="preserve">National Student Clearinghouse Research Center (2021). </w:t>
      </w:r>
      <w:r w:rsidRPr="00FA38B2">
        <w:rPr>
          <w:rFonts w:cs="Times New Roman"/>
          <w:i/>
          <w:szCs w:val="24"/>
        </w:rPr>
        <w:t>Term enrollment estimates: Fall 2020</w:t>
      </w:r>
      <w:r w:rsidRPr="00FA38B2">
        <w:rPr>
          <w:rFonts w:cs="Times New Roman"/>
          <w:szCs w:val="24"/>
        </w:rPr>
        <w:t>. https://nscresearchcenter.org/wp-content/uploads/CTEE_Report_Fall_2020.pdf</w:t>
      </w:r>
    </w:p>
    <w:p w14:paraId="51F70DA7" w14:textId="77777777" w:rsidR="00F430F4" w:rsidRPr="00FA38B2" w:rsidRDefault="00F430F4" w:rsidP="0015321A">
      <w:pPr>
        <w:ind w:left="720" w:hanging="720"/>
        <w:rPr>
          <w:rFonts w:cs="Times New Roman"/>
          <w:szCs w:val="24"/>
        </w:rPr>
      </w:pPr>
      <w:r w:rsidRPr="00FA38B2">
        <w:rPr>
          <w:rFonts w:cs="Times New Roman"/>
          <w:szCs w:val="24"/>
        </w:rPr>
        <w:lastRenderedPageBreak/>
        <w:t xml:space="preserve">Nguyen, H. (2019). Free tuition and college enrollment: evidence from New York’s Excelsior program. </w:t>
      </w:r>
      <w:r w:rsidRPr="00FA38B2">
        <w:rPr>
          <w:rFonts w:cs="Times New Roman"/>
          <w:i/>
          <w:szCs w:val="24"/>
        </w:rPr>
        <w:t>Education Economics, 27</w:t>
      </w:r>
      <w:r w:rsidRPr="00FA38B2">
        <w:rPr>
          <w:rFonts w:cs="Times New Roman"/>
          <w:szCs w:val="24"/>
        </w:rPr>
        <w:t>(6), 573-587. https://doi.org/10.1080/09645292.2019.1652727</w:t>
      </w:r>
    </w:p>
    <w:p w14:paraId="0DD39CBB" w14:textId="77777777" w:rsidR="00F430F4" w:rsidRPr="00FA38B2" w:rsidRDefault="00F430F4" w:rsidP="0015321A">
      <w:pPr>
        <w:ind w:left="720" w:hanging="720"/>
        <w:rPr>
          <w:rFonts w:cs="Times New Roman"/>
          <w:szCs w:val="24"/>
        </w:rPr>
      </w:pPr>
      <w:r w:rsidRPr="00FA38B2">
        <w:rPr>
          <w:rFonts w:cs="Times New Roman"/>
          <w:szCs w:val="24"/>
        </w:rPr>
        <w:t xml:space="preserve">Nguyen, H. (2020). Free college? Assessing enrollment responses to the Tennessee Promise program. </w:t>
      </w:r>
      <w:proofErr w:type="spellStart"/>
      <w:r w:rsidRPr="00FA38B2">
        <w:rPr>
          <w:rFonts w:cs="Times New Roman"/>
          <w:i/>
          <w:szCs w:val="24"/>
        </w:rPr>
        <w:t>Labour</w:t>
      </w:r>
      <w:proofErr w:type="spellEnd"/>
      <w:r w:rsidRPr="00FA38B2">
        <w:rPr>
          <w:rFonts w:cs="Times New Roman"/>
          <w:i/>
          <w:szCs w:val="24"/>
        </w:rPr>
        <w:t xml:space="preserve"> Economics, 66</w:t>
      </w:r>
      <w:r w:rsidRPr="00FA38B2">
        <w:rPr>
          <w:rFonts w:cs="Times New Roman"/>
          <w:szCs w:val="24"/>
        </w:rPr>
        <w:t>. Advance online publication. https://doi.org/10.1016/j.labeco.2020.101882</w:t>
      </w:r>
    </w:p>
    <w:p w14:paraId="0A307C57" w14:textId="77777777" w:rsidR="00F430F4" w:rsidRPr="00FA38B2" w:rsidRDefault="00F430F4" w:rsidP="0015321A">
      <w:pPr>
        <w:ind w:left="720" w:hanging="720"/>
        <w:rPr>
          <w:rFonts w:cs="Times New Roman"/>
          <w:szCs w:val="24"/>
        </w:rPr>
      </w:pPr>
      <w:proofErr w:type="spellStart"/>
      <w:r w:rsidRPr="00FA38B2">
        <w:rPr>
          <w:rFonts w:cs="Times New Roman"/>
          <w:szCs w:val="24"/>
        </w:rPr>
        <w:t>Perna</w:t>
      </w:r>
      <w:proofErr w:type="spellEnd"/>
      <w:r w:rsidRPr="00FA38B2">
        <w:rPr>
          <w:rFonts w:cs="Times New Roman"/>
          <w:szCs w:val="24"/>
        </w:rPr>
        <w:t xml:space="preserve">, L.W. (2006). Studying college access and choice: A proposed conceptual mode. In J. C. Smart (Ed.) </w:t>
      </w:r>
      <w:r w:rsidRPr="00FA38B2">
        <w:rPr>
          <w:rFonts w:cs="Times New Roman"/>
          <w:i/>
          <w:szCs w:val="24"/>
        </w:rPr>
        <w:t>Higher education: Handbook of theory and research</w:t>
      </w:r>
      <w:r w:rsidRPr="00FA38B2">
        <w:rPr>
          <w:rFonts w:cs="Times New Roman"/>
          <w:szCs w:val="24"/>
        </w:rPr>
        <w:t>, XXI, (pp.99-157). Springer.</w:t>
      </w:r>
    </w:p>
    <w:p w14:paraId="011ED73F" w14:textId="77777777" w:rsidR="00F430F4" w:rsidRPr="00FA38B2" w:rsidRDefault="00F430F4" w:rsidP="0015321A">
      <w:pPr>
        <w:ind w:left="720" w:hanging="720"/>
        <w:rPr>
          <w:rFonts w:cs="Times New Roman"/>
          <w:szCs w:val="24"/>
        </w:rPr>
      </w:pPr>
      <w:proofErr w:type="spellStart"/>
      <w:r w:rsidRPr="00FA38B2">
        <w:rPr>
          <w:rFonts w:cs="Times New Roman"/>
          <w:szCs w:val="24"/>
        </w:rPr>
        <w:t>Perna</w:t>
      </w:r>
      <w:proofErr w:type="spellEnd"/>
      <w:r w:rsidRPr="00FA38B2">
        <w:rPr>
          <w:rFonts w:cs="Times New Roman"/>
          <w:szCs w:val="24"/>
        </w:rPr>
        <w:t xml:space="preserve">, L. W., </w:t>
      </w:r>
      <w:proofErr w:type="spellStart"/>
      <w:r w:rsidRPr="00FA38B2">
        <w:rPr>
          <w:rFonts w:cs="Times New Roman"/>
          <w:szCs w:val="24"/>
        </w:rPr>
        <w:t>Kvaal</w:t>
      </w:r>
      <w:proofErr w:type="spellEnd"/>
      <w:r w:rsidRPr="00FA38B2">
        <w:rPr>
          <w:rFonts w:cs="Times New Roman"/>
          <w:szCs w:val="24"/>
        </w:rPr>
        <w:t>, J., &amp; Ruiz, R. (2017). An updated look at student loan debt repayment and default. Penn Wharton Public Policy Initiative.</w:t>
      </w:r>
    </w:p>
    <w:p w14:paraId="173443DC" w14:textId="77777777" w:rsidR="00F430F4" w:rsidRPr="00FA38B2" w:rsidRDefault="00F430F4" w:rsidP="0015321A">
      <w:pPr>
        <w:ind w:left="720" w:hanging="720"/>
        <w:rPr>
          <w:rFonts w:cs="Times New Roman"/>
          <w:szCs w:val="24"/>
        </w:rPr>
      </w:pPr>
      <w:proofErr w:type="spellStart"/>
      <w:r w:rsidRPr="00FA38B2">
        <w:rPr>
          <w:rFonts w:cs="Times New Roman"/>
          <w:szCs w:val="24"/>
        </w:rPr>
        <w:t>Perna</w:t>
      </w:r>
      <w:proofErr w:type="spellEnd"/>
      <w:r w:rsidRPr="00FA38B2">
        <w:rPr>
          <w:rFonts w:cs="Times New Roman"/>
          <w:szCs w:val="24"/>
        </w:rPr>
        <w:t xml:space="preserve">, L. W., &amp; Smith, E. J. (Eds.) (2020). Improving research-based knowledge of college promise programs. </w:t>
      </w:r>
      <w:r w:rsidRPr="00FA38B2">
        <w:rPr>
          <w:rFonts w:cs="Times New Roman"/>
          <w:i/>
          <w:szCs w:val="24"/>
        </w:rPr>
        <w:t>American Educational Research Association</w:t>
      </w:r>
      <w:r w:rsidRPr="00FA38B2">
        <w:rPr>
          <w:rFonts w:cs="Times New Roman"/>
          <w:szCs w:val="24"/>
        </w:rPr>
        <w:t xml:space="preserve">. </w:t>
      </w:r>
    </w:p>
    <w:p w14:paraId="4B1C1CB3" w14:textId="77777777" w:rsidR="00F430F4" w:rsidRPr="00FA38B2" w:rsidRDefault="00F430F4" w:rsidP="0015321A">
      <w:pPr>
        <w:ind w:left="720" w:hanging="720"/>
        <w:rPr>
          <w:rFonts w:cs="Times New Roman"/>
          <w:szCs w:val="24"/>
        </w:rPr>
      </w:pPr>
      <w:proofErr w:type="spellStart"/>
      <w:r w:rsidRPr="00FA38B2">
        <w:rPr>
          <w:rFonts w:cs="Times New Roman"/>
          <w:szCs w:val="24"/>
        </w:rPr>
        <w:t>Perna</w:t>
      </w:r>
      <w:proofErr w:type="spellEnd"/>
      <w:r w:rsidRPr="00FA38B2">
        <w:rPr>
          <w:rFonts w:cs="Times New Roman"/>
          <w:szCs w:val="24"/>
        </w:rPr>
        <w:t xml:space="preserve">, L. W., &amp; Leigh, E. W. (2018). Understanding the promise: A typology of state and local college promise programs. </w:t>
      </w:r>
      <w:r w:rsidRPr="00FA38B2">
        <w:rPr>
          <w:rFonts w:cs="Times New Roman"/>
          <w:i/>
          <w:szCs w:val="24"/>
        </w:rPr>
        <w:t>Educational Researcher, 47</w:t>
      </w:r>
      <w:r w:rsidRPr="00FA38B2">
        <w:rPr>
          <w:rFonts w:cs="Times New Roman"/>
          <w:szCs w:val="24"/>
        </w:rPr>
        <w:t>(3), 155-180. https://doi.org/10.3102/0013189X17742653</w:t>
      </w:r>
    </w:p>
    <w:p w14:paraId="1085D2D6" w14:textId="77777777" w:rsidR="00F430F4" w:rsidRPr="00FA38B2" w:rsidRDefault="00F430F4" w:rsidP="0015321A">
      <w:pPr>
        <w:ind w:left="720" w:hanging="720"/>
        <w:rPr>
          <w:rFonts w:cs="Times New Roman"/>
          <w:szCs w:val="24"/>
        </w:rPr>
      </w:pPr>
      <w:r w:rsidRPr="00FA38B2">
        <w:rPr>
          <w:rFonts w:cs="Times New Roman"/>
          <w:szCs w:val="24"/>
        </w:rPr>
        <w:t xml:space="preserve">Quinlan, C. (2017, April 10). There are a lot of strings attached to New York’s tuition-free plan. </w:t>
      </w:r>
      <w:r w:rsidRPr="00FA38B2">
        <w:rPr>
          <w:rFonts w:cs="Times New Roman"/>
          <w:i/>
          <w:szCs w:val="24"/>
        </w:rPr>
        <w:t>Center for American Progress</w:t>
      </w:r>
      <w:r w:rsidRPr="00FA38B2">
        <w:rPr>
          <w:rFonts w:cs="Times New Roman"/>
          <w:szCs w:val="24"/>
        </w:rPr>
        <w:t>. https://thinkprogress.org/https-thinkprogress-org-there-are-a-lot-of-strings-attached-to-new-yorks-tuition-free-plan-e01db2fabe8f/</w:t>
      </w:r>
    </w:p>
    <w:p w14:paraId="78F628C4" w14:textId="77777777" w:rsidR="00F430F4" w:rsidRPr="00FA38B2" w:rsidRDefault="00F430F4" w:rsidP="0015321A">
      <w:pPr>
        <w:ind w:left="720" w:hanging="720"/>
        <w:rPr>
          <w:rFonts w:cs="Times New Roman"/>
          <w:szCs w:val="24"/>
        </w:rPr>
      </w:pPr>
      <w:proofErr w:type="spellStart"/>
      <w:r w:rsidRPr="00FA38B2">
        <w:rPr>
          <w:rFonts w:cs="Times New Roman"/>
          <w:szCs w:val="24"/>
        </w:rPr>
        <w:t>Siner</w:t>
      </w:r>
      <w:proofErr w:type="spellEnd"/>
      <w:r w:rsidRPr="00FA38B2">
        <w:rPr>
          <w:rFonts w:cs="Times New Roman"/>
          <w:szCs w:val="24"/>
        </w:rPr>
        <w:t xml:space="preserve">, E. (2017, May). Even before the official start of Tennessee Reconnect, community college will be free for adults. </w:t>
      </w:r>
      <w:r w:rsidRPr="00FA38B2">
        <w:rPr>
          <w:rFonts w:cs="Times New Roman"/>
          <w:i/>
          <w:szCs w:val="24"/>
        </w:rPr>
        <w:t>WPLN News Nashville Public Radio</w:t>
      </w:r>
      <w:r w:rsidRPr="00FA38B2">
        <w:rPr>
          <w:rFonts w:cs="Times New Roman"/>
          <w:szCs w:val="24"/>
        </w:rPr>
        <w:t>. https://wpln.org/post/even-before-the-official-start-of-tennessee-reconnect-community-college-will-be-free-for-adults/</w:t>
      </w:r>
    </w:p>
    <w:p w14:paraId="4F57DA13" w14:textId="2B882FF5" w:rsidR="002930B3" w:rsidRPr="00FA38B2" w:rsidRDefault="002930B3" w:rsidP="0015321A">
      <w:pPr>
        <w:ind w:left="720" w:hanging="720"/>
        <w:rPr>
          <w:rFonts w:cs="Times New Roman"/>
          <w:szCs w:val="24"/>
        </w:rPr>
      </w:pPr>
      <w:r w:rsidRPr="00FA38B2">
        <w:rPr>
          <w:rFonts w:cs="Times New Roman"/>
          <w:szCs w:val="24"/>
        </w:rPr>
        <w:lastRenderedPageBreak/>
        <w:t>Tennessee Reconnect (</w:t>
      </w:r>
      <w:proofErr w:type="spellStart"/>
      <w:r w:rsidRPr="00FA38B2">
        <w:rPr>
          <w:rFonts w:cs="Times New Roman"/>
          <w:szCs w:val="24"/>
        </w:rPr>
        <w:t>n.d.</w:t>
      </w:r>
      <w:proofErr w:type="spellEnd"/>
      <w:r w:rsidRPr="00FA38B2">
        <w:rPr>
          <w:rFonts w:cs="Times New Roman"/>
          <w:szCs w:val="24"/>
        </w:rPr>
        <w:t>). Talk to a navigator. https://tnreconnect.gov/Talk-to-a-Navigator</w:t>
      </w:r>
    </w:p>
    <w:p w14:paraId="1686DCEB" w14:textId="77F6BA59" w:rsidR="00F430F4" w:rsidRPr="00FA38B2" w:rsidRDefault="00F430F4" w:rsidP="0015321A">
      <w:pPr>
        <w:ind w:left="720" w:hanging="720"/>
        <w:rPr>
          <w:rFonts w:cs="Times New Roman"/>
          <w:szCs w:val="24"/>
        </w:rPr>
      </w:pPr>
      <w:r w:rsidRPr="00FA38B2">
        <w:rPr>
          <w:rFonts w:cs="Times New Roman"/>
          <w:szCs w:val="24"/>
        </w:rPr>
        <w:t xml:space="preserve">Titus, M. A. &amp; </w:t>
      </w:r>
      <w:proofErr w:type="spellStart"/>
      <w:r w:rsidRPr="00FA38B2">
        <w:rPr>
          <w:rFonts w:cs="Times New Roman"/>
          <w:szCs w:val="24"/>
        </w:rPr>
        <w:t>Pusser</w:t>
      </w:r>
      <w:proofErr w:type="spellEnd"/>
      <w:r w:rsidRPr="00FA38B2">
        <w:rPr>
          <w:rFonts w:cs="Times New Roman"/>
          <w:szCs w:val="24"/>
        </w:rPr>
        <w:t xml:space="preserve">, B. (2011). States’ potential enrollment of adult students: A stochastic frontier analysis. </w:t>
      </w:r>
      <w:r w:rsidRPr="00FA38B2">
        <w:rPr>
          <w:rFonts w:cs="Times New Roman"/>
          <w:i/>
          <w:szCs w:val="24"/>
        </w:rPr>
        <w:t>Research in Higher Education</w:t>
      </w:r>
      <w:r w:rsidRPr="00FA38B2">
        <w:rPr>
          <w:rFonts w:cs="Times New Roman"/>
          <w:szCs w:val="24"/>
        </w:rPr>
        <w:t xml:space="preserve">, </w:t>
      </w:r>
      <w:r w:rsidRPr="00FA38B2">
        <w:rPr>
          <w:rFonts w:cs="Times New Roman"/>
          <w:i/>
          <w:szCs w:val="24"/>
        </w:rPr>
        <w:t>52</w:t>
      </w:r>
      <w:r w:rsidRPr="00FA38B2">
        <w:rPr>
          <w:rFonts w:cs="Times New Roman"/>
          <w:szCs w:val="24"/>
        </w:rPr>
        <w:t>, 555-571. https://doi.org/10.1007/s11162-010-9211-2</w:t>
      </w:r>
    </w:p>
    <w:p w14:paraId="4ED5E4A2" w14:textId="77777777" w:rsidR="00F430F4" w:rsidRPr="00FA38B2" w:rsidRDefault="00F430F4" w:rsidP="0015321A">
      <w:pPr>
        <w:rPr>
          <w:rFonts w:cs="Times New Roman"/>
          <w:szCs w:val="24"/>
        </w:rPr>
      </w:pPr>
      <w:r w:rsidRPr="00FA38B2">
        <w:rPr>
          <w:rFonts w:cs="Times New Roman"/>
          <w:szCs w:val="24"/>
        </w:rPr>
        <w:br w:type="page"/>
      </w:r>
    </w:p>
    <w:p w14:paraId="4908CB05" w14:textId="6178918F" w:rsidR="00F921C6" w:rsidRPr="00FA38B2" w:rsidRDefault="00F921C6" w:rsidP="0015321A">
      <w:pPr>
        <w:pStyle w:val="Heading2"/>
        <w:rPr>
          <w:rFonts w:cs="Times New Roman"/>
          <w:szCs w:val="24"/>
        </w:rPr>
      </w:pPr>
      <w:bookmarkStart w:id="37" w:name="_Toc70181499"/>
      <w:r w:rsidRPr="00FA38B2">
        <w:rPr>
          <w:rFonts w:cs="Times New Roman"/>
          <w:szCs w:val="24"/>
        </w:rPr>
        <w:lastRenderedPageBreak/>
        <w:t>Appendix</w:t>
      </w:r>
      <w:r w:rsidR="005D7925">
        <w:rPr>
          <w:rFonts w:cs="Times New Roman"/>
          <w:szCs w:val="24"/>
        </w:rPr>
        <w:t>: Study</w:t>
      </w:r>
      <w:r w:rsidR="0044277E" w:rsidRPr="00FA38B2">
        <w:rPr>
          <w:rFonts w:cs="Times New Roman"/>
          <w:szCs w:val="24"/>
        </w:rPr>
        <w:t xml:space="preserve"> 2</w:t>
      </w:r>
      <w:bookmarkEnd w:id="37"/>
      <w:r w:rsidRPr="00FA38B2">
        <w:rPr>
          <w:rFonts w:cs="Times New Roman"/>
          <w:szCs w:val="24"/>
        </w:rPr>
        <w:t xml:space="preserve"> </w:t>
      </w:r>
    </w:p>
    <w:p w14:paraId="71616C95" w14:textId="6B2E214D" w:rsidR="00F921C6" w:rsidRPr="00FA38B2" w:rsidRDefault="00505A76" w:rsidP="00505A76">
      <w:pPr>
        <w:pStyle w:val="Caption"/>
        <w:rPr>
          <w:rFonts w:cs="Times New Roman"/>
          <w:b/>
          <w:szCs w:val="24"/>
        </w:rPr>
      </w:pPr>
      <w:bookmarkStart w:id="38" w:name="_Toc70181514"/>
      <w:r>
        <w:t xml:space="preserve">Table A </w:t>
      </w:r>
      <w:fldSimple w:instr=" SEQ Table_A \* ARABIC ">
        <w:r>
          <w:rPr>
            <w:noProof/>
          </w:rPr>
          <w:t>4</w:t>
        </w:r>
      </w:fldSimple>
      <w:r>
        <w:t>: Tennessee Public 2-Year Institution Adult Student Enrollment</w:t>
      </w:r>
      <w:bookmarkEnd w:id="38"/>
    </w:p>
    <w:p w14:paraId="7A1A8CD0" w14:textId="3226C1D1" w:rsidR="00F921C6" w:rsidRPr="00FA38B2" w:rsidRDefault="00F921C6" w:rsidP="0015321A">
      <w:pPr>
        <w:spacing w:line="240" w:lineRule="auto"/>
        <w:rPr>
          <w:rFonts w:cs="Times New Roman"/>
          <w:szCs w:val="24"/>
        </w:rPr>
      </w:pPr>
      <w:r w:rsidRPr="00FA38B2">
        <w:rPr>
          <w:rFonts w:cs="Times New Roman"/>
          <w:noProof/>
          <w:szCs w:val="24"/>
        </w:rPr>
        <w:drawing>
          <wp:inline distT="0" distB="0" distL="0" distR="0" wp14:anchorId="56064AC2" wp14:editId="4A6EE000">
            <wp:extent cx="3478675" cy="7315200"/>
            <wp:effectExtent l="0" t="0" r="762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3478675" cy="7315200"/>
                    </a:xfrm>
                    <a:prstGeom prst="rect">
                      <a:avLst/>
                    </a:prstGeom>
                  </pic:spPr>
                </pic:pic>
              </a:graphicData>
            </a:graphic>
          </wp:inline>
        </w:drawing>
      </w:r>
      <w:r w:rsidRPr="00FA38B2">
        <w:rPr>
          <w:rFonts w:cs="Times New Roman"/>
          <w:i/>
          <w:szCs w:val="24"/>
        </w:rPr>
        <w:br w:type="page"/>
      </w:r>
    </w:p>
    <w:p w14:paraId="67991001" w14:textId="13A3DD6B" w:rsidR="00F921C6" w:rsidRPr="00FA38B2" w:rsidRDefault="00505A76" w:rsidP="00505A76">
      <w:pPr>
        <w:pStyle w:val="Caption"/>
        <w:rPr>
          <w:rFonts w:cs="Times New Roman"/>
          <w:b/>
          <w:szCs w:val="24"/>
        </w:rPr>
      </w:pPr>
      <w:bookmarkStart w:id="39" w:name="_Toc70181515"/>
      <w:r>
        <w:lastRenderedPageBreak/>
        <w:t xml:space="preserve">Table A </w:t>
      </w:r>
      <w:fldSimple w:instr=" SEQ Table_A \* ARABIC ">
        <w:r>
          <w:rPr>
            <w:noProof/>
          </w:rPr>
          <w:t>5</w:t>
        </w:r>
      </w:fldSimple>
      <w:r>
        <w:t>: Non-Tennessee Public 2-Year Institution Adult Student Enrollment</w:t>
      </w:r>
      <w:bookmarkEnd w:id="39"/>
    </w:p>
    <w:p w14:paraId="09CD8B9E" w14:textId="77777777" w:rsidR="00505A76" w:rsidRDefault="00F921C6" w:rsidP="00505A76">
      <w:pPr>
        <w:spacing w:line="360" w:lineRule="auto"/>
        <w:rPr>
          <w:rFonts w:cs="Times New Roman"/>
          <w:i/>
          <w:szCs w:val="24"/>
        </w:rPr>
      </w:pPr>
      <w:r w:rsidRPr="00FA38B2">
        <w:rPr>
          <w:rFonts w:cs="Times New Roman"/>
          <w:i/>
          <w:noProof/>
          <w:szCs w:val="24"/>
        </w:rPr>
        <w:drawing>
          <wp:anchor distT="0" distB="0" distL="114300" distR="114300" simplePos="0" relativeHeight="251661312" behindDoc="0" locked="0" layoutInCell="1" allowOverlap="1" wp14:anchorId="1A942C94" wp14:editId="417EF5AB">
            <wp:simplePos x="0" y="0"/>
            <wp:positionH relativeFrom="column">
              <wp:posOffset>0</wp:posOffset>
            </wp:positionH>
            <wp:positionV relativeFrom="paragraph">
              <wp:posOffset>205004</wp:posOffset>
            </wp:positionV>
            <wp:extent cx="3952087" cy="7315200"/>
            <wp:effectExtent l="0" t="0" r="0" b="0"/>
            <wp:wrapTopAndBottom/>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extLst>
                        <a:ext uri="{28A0092B-C50C-407E-A947-70E740481C1C}">
                          <a14:useLocalDpi xmlns:a14="http://schemas.microsoft.com/office/drawing/2010/main" val="0"/>
                        </a:ext>
                      </a:extLst>
                    </a:blip>
                    <a:stretch>
                      <a:fillRect/>
                    </a:stretch>
                  </pic:blipFill>
                  <pic:spPr>
                    <a:xfrm>
                      <a:off x="0" y="0"/>
                      <a:ext cx="3952087" cy="7315200"/>
                    </a:xfrm>
                    <a:prstGeom prst="rect">
                      <a:avLst/>
                    </a:prstGeom>
                  </pic:spPr>
                </pic:pic>
              </a:graphicData>
            </a:graphic>
            <wp14:sizeRelH relativeFrom="margin">
              <wp14:pctWidth>0</wp14:pctWidth>
            </wp14:sizeRelH>
            <wp14:sizeRelV relativeFrom="margin">
              <wp14:pctHeight>0</wp14:pctHeight>
            </wp14:sizeRelV>
          </wp:anchor>
        </w:drawing>
      </w:r>
    </w:p>
    <w:p w14:paraId="411B7AA5" w14:textId="78F46A74" w:rsidR="00F921C6" w:rsidRPr="00505A76" w:rsidRDefault="00F921C6" w:rsidP="00505A76">
      <w:pPr>
        <w:spacing w:line="360" w:lineRule="auto"/>
        <w:rPr>
          <w:rFonts w:cs="Times New Roman"/>
          <w:i/>
          <w:szCs w:val="24"/>
        </w:rPr>
      </w:pPr>
      <w:r w:rsidRPr="00FA38B2">
        <w:rPr>
          <w:rFonts w:cs="Times New Roman"/>
          <w:i/>
          <w:szCs w:val="24"/>
        </w:rPr>
        <w:br w:type="page"/>
      </w:r>
    </w:p>
    <w:p w14:paraId="534E20A0" w14:textId="26DC18FD" w:rsidR="00F22412" w:rsidRPr="00FA38B2" w:rsidRDefault="002011C1" w:rsidP="0015321A">
      <w:pPr>
        <w:pStyle w:val="Heading1"/>
        <w:rPr>
          <w:rFonts w:cs="Times New Roman"/>
          <w:szCs w:val="24"/>
        </w:rPr>
      </w:pPr>
      <w:bookmarkStart w:id="40" w:name="_Toc70181500"/>
      <w:r w:rsidRPr="00FA38B2">
        <w:rPr>
          <w:rFonts w:cs="Times New Roman"/>
          <w:szCs w:val="24"/>
        </w:rPr>
        <w:lastRenderedPageBreak/>
        <w:t>Chapter 4</w:t>
      </w:r>
      <w:r w:rsidR="00685A61" w:rsidRPr="00FA38B2">
        <w:rPr>
          <w:rFonts w:cs="Times New Roman"/>
          <w:szCs w:val="24"/>
        </w:rPr>
        <w:t xml:space="preserve">: </w:t>
      </w:r>
      <w:r w:rsidR="00F22412" w:rsidRPr="00FA38B2">
        <w:rPr>
          <w:rFonts w:cs="Times New Roman"/>
          <w:szCs w:val="24"/>
        </w:rPr>
        <w:t>A Qu</w:t>
      </w:r>
      <w:r w:rsidR="00720F2F" w:rsidRPr="00FA38B2">
        <w:rPr>
          <w:rFonts w:cs="Times New Roman"/>
          <w:szCs w:val="24"/>
        </w:rPr>
        <w:t>a</w:t>
      </w:r>
      <w:r w:rsidR="00F22412" w:rsidRPr="00FA38B2">
        <w:rPr>
          <w:rFonts w:cs="Times New Roman"/>
          <w:szCs w:val="24"/>
        </w:rPr>
        <w:t xml:space="preserve">si-Experimental Investigation of </w:t>
      </w:r>
      <w:r w:rsidR="00565606" w:rsidRPr="00FA38B2">
        <w:rPr>
          <w:rFonts w:cs="Times New Roman"/>
          <w:szCs w:val="24"/>
        </w:rPr>
        <w:t>Tennessee Promise and Career and Technical Education Postsecondary Enrollment Responses</w:t>
      </w:r>
      <w:bookmarkEnd w:id="40"/>
    </w:p>
    <w:p w14:paraId="3FE02B34" w14:textId="3DD66D82" w:rsidR="002011C1" w:rsidRPr="00FA38B2" w:rsidRDefault="002011C1" w:rsidP="0015321A">
      <w:pPr>
        <w:rPr>
          <w:rFonts w:cs="Times New Roman"/>
          <w:szCs w:val="24"/>
        </w:rPr>
      </w:pPr>
    </w:p>
    <w:p w14:paraId="6A493B6C" w14:textId="77777777" w:rsidR="006465BF" w:rsidRPr="00FA38B2" w:rsidRDefault="006465BF" w:rsidP="0015321A">
      <w:pPr>
        <w:jc w:val="center"/>
        <w:rPr>
          <w:rFonts w:cs="Times New Roman"/>
          <w:szCs w:val="24"/>
        </w:rPr>
      </w:pPr>
    </w:p>
    <w:p w14:paraId="57041E4E" w14:textId="77777777" w:rsidR="006465BF" w:rsidRPr="00FA38B2" w:rsidRDefault="006465BF" w:rsidP="0015321A">
      <w:pPr>
        <w:jc w:val="center"/>
        <w:rPr>
          <w:rFonts w:cs="Times New Roman"/>
          <w:szCs w:val="24"/>
        </w:rPr>
      </w:pPr>
    </w:p>
    <w:p w14:paraId="0E08BFCB" w14:textId="77777777" w:rsidR="006465BF" w:rsidRPr="00FA38B2" w:rsidRDefault="006465BF" w:rsidP="0015321A">
      <w:pPr>
        <w:jc w:val="center"/>
        <w:rPr>
          <w:rFonts w:cs="Times New Roman"/>
          <w:szCs w:val="24"/>
        </w:rPr>
      </w:pPr>
    </w:p>
    <w:p w14:paraId="7B29E36E" w14:textId="77777777" w:rsidR="006465BF" w:rsidRPr="00FA38B2" w:rsidRDefault="006465BF" w:rsidP="0015321A">
      <w:pPr>
        <w:jc w:val="center"/>
        <w:rPr>
          <w:rFonts w:cs="Times New Roman"/>
          <w:szCs w:val="24"/>
        </w:rPr>
      </w:pPr>
    </w:p>
    <w:p w14:paraId="1FC36030" w14:textId="77777777" w:rsidR="006465BF" w:rsidRPr="00FA38B2" w:rsidRDefault="006465BF" w:rsidP="0015321A">
      <w:pPr>
        <w:jc w:val="center"/>
        <w:rPr>
          <w:rFonts w:cs="Times New Roman"/>
          <w:szCs w:val="24"/>
        </w:rPr>
      </w:pPr>
    </w:p>
    <w:p w14:paraId="4F2BBD04" w14:textId="25C8B48E" w:rsidR="002011C1" w:rsidRPr="00FA38B2" w:rsidRDefault="002011C1" w:rsidP="0015321A">
      <w:pPr>
        <w:jc w:val="center"/>
        <w:rPr>
          <w:rFonts w:cs="Times New Roman"/>
          <w:szCs w:val="24"/>
        </w:rPr>
      </w:pPr>
      <w:r w:rsidRPr="00FA38B2">
        <w:rPr>
          <w:rFonts w:cs="Times New Roman"/>
          <w:szCs w:val="24"/>
        </w:rPr>
        <w:t>Gresham D. Collom</w:t>
      </w:r>
    </w:p>
    <w:p w14:paraId="0FE60A47" w14:textId="1F1E35B0" w:rsidR="00827F97" w:rsidRPr="00FA38B2" w:rsidRDefault="00827F97" w:rsidP="0015321A">
      <w:pPr>
        <w:rPr>
          <w:rFonts w:cs="Times New Roman"/>
          <w:szCs w:val="24"/>
        </w:rPr>
      </w:pPr>
      <w:r w:rsidRPr="00FA38B2">
        <w:rPr>
          <w:rFonts w:cs="Times New Roman"/>
          <w:szCs w:val="24"/>
        </w:rPr>
        <w:br w:type="page"/>
      </w:r>
    </w:p>
    <w:p w14:paraId="0724F1C8" w14:textId="77777777" w:rsidR="00827F97" w:rsidRPr="00FA38B2" w:rsidRDefault="00827F97" w:rsidP="0015321A">
      <w:pPr>
        <w:pStyle w:val="Heading2"/>
        <w:jc w:val="center"/>
        <w:rPr>
          <w:rFonts w:cs="Times New Roman"/>
          <w:szCs w:val="24"/>
        </w:rPr>
      </w:pPr>
      <w:bookmarkStart w:id="41" w:name="_Toc70181501"/>
      <w:r w:rsidRPr="00FA38B2">
        <w:rPr>
          <w:rFonts w:cs="Times New Roman"/>
          <w:szCs w:val="24"/>
        </w:rPr>
        <w:lastRenderedPageBreak/>
        <w:t>Abstract</w:t>
      </w:r>
      <w:bookmarkEnd w:id="41"/>
    </w:p>
    <w:p w14:paraId="2F5C2AAC" w14:textId="0CBB97A8" w:rsidR="00827F97" w:rsidRPr="00FA38B2" w:rsidRDefault="00827F97" w:rsidP="0015321A">
      <w:pPr>
        <w:rPr>
          <w:rFonts w:cs="Times New Roman"/>
          <w:szCs w:val="24"/>
        </w:rPr>
      </w:pPr>
      <w:r w:rsidRPr="00FA38B2">
        <w:rPr>
          <w:rFonts w:cs="Times New Roman"/>
          <w:szCs w:val="24"/>
        </w:rPr>
        <w:t xml:space="preserve">In this study I deployed quasi-experimental methods to explore the effect of the implementation of a statewide free-college program, Tennessee Promise, on enrollment in postsecondary career and technical education programs. State policymakers implemented the Tennessee Promise, a free-college program for recent high school graduates attending public, two-year institutions, in 2015. As postsecondary attainment in the United States falls short of workforce needs, there has been an increased focus on postsecondary career and technical education credentials and degrees linking workforce needs directly with educational programs (Lumina, 2019; Perkins V, 2019). However, it is currently unknown whether access to statewide free-college funding impacts enrollment in postsecondary career and technical education. In this study, I use federal data to estimate the causal effect of Tennessee Promise on postsecondary career and technical education enrollment. Findings from the analysis show a small but </w:t>
      </w:r>
      <w:r w:rsidR="00A44936" w:rsidRPr="00FA38B2">
        <w:rPr>
          <w:rFonts w:cs="Times New Roman"/>
          <w:szCs w:val="24"/>
        </w:rPr>
        <w:t>non-</w:t>
      </w:r>
      <w:r w:rsidRPr="00FA38B2">
        <w:rPr>
          <w:rFonts w:cs="Times New Roman"/>
          <w:szCs w:val="24"/>
        </w:rPr>
        <w:t xml:space="preserve">significant increase in Tennessee after the implementation of the grant when compared to both the national control group and the contiguous control group. I discuss the implications for research and practice, and how promise programs may be leveraged more effectively moving forward to improve outcomes in postsecondary career and technical education. </w:t>
      </w:r>
    </w:p>
    <w:p w14:paraId="7DDDD7FB" w14:textId="77777777" w:rsidR="00827F97" w:rsidRPr="00FA38B2" w:rsidRDefault="00827F97" w:rsidP="0015321A">
      <w:pPr>
        <w:ind w:left="720"/>
        <w:rPr>
          <w:rFonts w:cs="Times New Roman"/>
          <w:szCs w:val="24"/>
        </w:rPr>
      </w:pPr>
      <w:r w:rsidRPr="00FA38B2">
        <w:rPr>
          <w:rFonts w:cs="Times New Roman"/>
          <w:szCs w:val="24"/>
        </w:rPr>
        <w:t>Keywords: Career and technical education; state policy; promise program; Tennessee Promise; enrollment</w:t>
      </w:r>
    </w:p>
    <w:p w14:paraId="42B3ADAC" w14:textId="77777777" w:rsidR="00827F97" w:rsidRPr="00FA38B2" w:rsidRDefault="00827F97" w:rsidP="0015321A">
      <w:pPr>
        <w:rPr>
          <w:rFonts w:cs="Times New Roman"/>
          <w:b/>
          <w:szCs w:val="24"/>
        </w:rPr>
      </w:pPr>
      <w:r w:rsidRPr="00FA38B2">
        <w:rPr>
          <w:rFonts w:cs="Times New Roman"/>
          <w:b/>
          <w:szCs w:val="24"/>
        </w:rPr>
        <w:br w:type="page"/>
      </w:r>
    </w:p>
    <w:p w14:paraId="021A7222" w14:textId="77777777" w:rsidR="00827F97" w:rsidRPr="00FA38B2" w:rsidRDefault="00827F97" w:rsidP="0015321A">
      <w:pPr>
        <w:jc w:val="center"/>
        <w:rPr>
          <w:rFonts w:cs="Times New Roman"/>
          <w:b/>
          <w:szCs w:val="24"/>
        </w:rPr>
      </w:pPr>
      <w:r w:rsidRPr="00FA38B2">
        <w:rPr>
          <w:rFonts w:cs="Times New Roman"/>
          <w:b/>
          <w:szCs w:val="24"/>
        </w:rPr>
        <w:lastRenderedPageBreak/>
        <w:t>A Quasi-Experimental Investigation of the Effect of Tennessee Promise on Postsecondary Career and Technical Education Enrollment Responses</w:t>
      </w:r>
    </w:p>
    <w:p w14:paraId="4B99433D" w14:textId="13B5C51A" w:rsidR="00827F97" w:rsidRPr="00FA38B2" w:rsidRDefault="00827F97" w:rsidP="0015321A">
      <w:pPr>
        <w:ind w:firstLine="720"/>
        <w:rPr>
          <w:rFonts w:cs="Times New Roman"/>
          <w:szCs w:val="24"/>
        </w:rPr>
      </w:pPr>
      <w:r w:rsidRPr="00FA38B2">
        <w:rPr>
          <w:rFonts w:cs="Times New Roman"/>
          <w:szCs w:val="24"/>
        </w:rPr>
        <w:t>In the United States there is a growing focus on the importance of postsecondary career and technical education. Career and technical education, which is too often disregarded as “taking shop class or home economics in high school” (</w:t>
      </w:r>
      <w:proofErr w:type="spellStart"/>
      <w:r w:rsidRPr="00FA38B2">
        <w:rPr>
          <w:rFonts w:cs="Times New Roman"/>
          <w:szCs w:val="24"/>
        </w:rPr>
        <w:t>Hersperger</w:t>
      </w:r>
      <w:proofErr w:type="spellEnd"/>
      <w:r w:rsidRPr="00FA38B2">
        <w:rPr>
          <w:rFonts w:cs="Times New Roman"/>
          <w:szCs w:val="24"/>
        </w:rPr>
        <w:t xml:space="preserve"> et al., 2013, p.158), is now central to our country’s workforce needs and postsecondary credential goals. The Carl D. Perkins Career and Technical Education Act of 2006 was reauthorized in 2019 through the Strengthening Career and Technical Education for the 21</w:t>
      </w:r>
      <w:r w:rsidRPr="00FA38B2">
        <w:rPr>
          <w:rFonts w:cs="Times New Roman"/>
          <w:szCs w:val="24"/>
          <w:vertAlign w:val="superscript"/>
        </w:rPr>
        <w:t>st</w:t>
      </w:r>
      <w:r w:rsidRPr="00FA38B2">
        <w:rPr>
          <w:rFonts w:cs="Times New Roman"/>
          <w:szCs w:val="24"/>
        </w:rPr>
        <w:t xml:space="preserve"> Century Act (Perkins V; H.R. 2353, 2018). </w:t>
      </w:r>
      <w:r w:rsidR="000A245D" w:rsidRPr="00FA38B2">
        <w:rPr>
          <w:rFonts w:cs="Times New Roman"/>
          <w:szCs w:val="24"/>
        </w:rPr>
        <w:t>Additions included in</w:t>
      </w:r>
      <w:r w:rsidRPr="00FA38B2">
        <w:rPr>
          <w:rFonts w:cs="Times New Roman"/>
          <w:szCs w:val="24"/>
        </w:rPr>
        <w:t xml:space="preserve"> Perkins V expanded the focus on postsecondary career and technical education programs, broadening the target student populations to include persons who are incarcerated, students from rural localities, homeless persons, and persons impacted by the foster care system (Office of Career, Technical, and Adult Education, 2018). </w:t>
      </w:r>
    </w:p>
    <w:p w14:paraId="51B5608A" w14:textId="0E26B1F4" w:rsidR="00827F97" w:rsidRPr="00FA38B2" w:rsidRDefault="00827F97" w:rsidP="0015321A">
      <w:pPr>
        <w:ind w:firstLine="720"/>
        <w:rPr>
          <w:rFonts w:cs="Times New Roman"/>
          <w:szCs w:val="24"/>
        </w:rPr>
      </w:pPr>
      <w:r w:rsidRPr="00FA38B2">
        <w:rPr>
          <w:rFonts w:cs="Times New Roman"/>
          <w:szCs w:val="24"/>
        </w:rPr>
        <w:t xml:space="preserve">Perkins V aligns with the widely adopted goal of 60% post-high school educational attainment in the United States by 2027, a goal which was originally promoted by the Lumina Foundation’s </w:t>
      </w:r>
      <w:r w:rsidRPr="00FA38B2">
        <w:rPr>
          <w:rFonts w:cs="Times New Roman"/>
          <w:i/>
          <w:szCs w:val="24"/>
        </w:rPr>
        <w:t xml:space="preserve">A Stronger Nation </w:t>
      </w:r>
      <w:r w:rsidRPr="00FA38B2">
        <w:rPr>
          <w:rFonts w:cs="Times New Roman"/>
          <w:szCs w:val="24"/>
        </w:rPr>
        <w:t xml:space="preserve">(2019). Since 2014, and central to Lumina’s most recent update to the original report, the foundation </w:t>
      </w:r>
      <w:r w:rsidR="00A44936" w:rsidRPr="00FA38B2">
        <w:rPr>
          <w:rFonts w:cs="Times New Roman"/>
          <w:szCs w:val="24"/>
        </w:rPr>
        <w:t>has called for</w:t>
      </w:r>
      <w:r w:rsidRPr="00FA38B2">
        <w:rPr>
          <w:rFonts w:cs="Times New Roman"/>
          <w:szCs w:val="24"/>
        </w:rPr>
        <w:t xml:space="preserve"> increased participation in programs that emphasize matching postsecondary programs with workforce needs and focusing on often underrepresented groups in recruitment and retention initiatives (Lumina, 2019).  </w:t>
      </w:r>
    </w:p>
    <w:p w14:paraId="364575C2" w14:textId="77777777" w:rsidR="00827F97" w:rsidRPr="00FA38B2" w:rsidRDefault="00827F97" w:rsidP="0015321A">
      <w:pPr>
        <w:ind w:firstLine="720"/>
        <w:rPr>
          <w:rFonts w:cs="Times New Roman"/>
          <w:szCs w:val="24"/>
        </w:rPr>
      </w:pPr>
      <w:r w:rsidRPr="00FA38B2">
        <w:rPr>
          <w:rFonts w:cs="Times New Roman"/>
          <w:szCs w:val="24"/>
        </w:rPr>
        <w:t xml:space="preserve">In 2015 Tennessee implemented the Tennessee Promise initiative (TN Promise). The statewide </w:t>
      </w:r>
      <w:r w:rsidRPr="00FA38B2">
        <w:rPr>
          <w:rFonts w:cs="Times New Roman"/>
          <w:i/>
          <w:szCs w:val="24"/>
        </w:rPr>
        <w:t>free-college</w:t>
      </w:r>
      <w:r w:rsidRPr="00FA38B2">
        <w:rPr>
          <w:rFonts w:cs="Times New Roman"/>
          <w:szCs w:val="24"/>
        </w:rPr>
        <w:t xml:space="preserve"> program was created to increase college-going behaviors and improve statewide postsecondary credential attainment (Carruthers &amp; Fox, 2016). Designed as a last-dollar scholarship policy, TN Promise covers full tuition and fees for any high school graduate who attends a public two-year college, including the Tennessee College of Applied Technology </w:t>
      </w:r>
      <w:r w:rsidRPr="00FA38B2">
        <w:rPr>
          <w:rFonts w:cs="Times New Roman"/>
          <w:szCs w:val="24"/>
        </w:rPr>
        <w:lastRenderedPageBreak/>
        <w:t xml:space="preserve">(TCAT), community colleges, and select private institutions. A primary goal stated by policymakers who implemented the TN Promise was to increase the amount of Tennessee students pursuing a postsecondary career and technical education credential or degree and to broaden access to postsecondary programs. </w:t>
      </w:r>
    </w:p>
    <w:p w14:paraId="21C37556" w14:textId="71682DA0" w:rsidR="00827F97" w:rsidRPr="00FA38B2" w:rsidRDefault="00827F97" w:rsidP="0015321A">
      <w:pPr>
        <w:ind w:firstLine="720"/>
        <w:rPr>
          <w:rFonts w:cs="Times New Roman"/>
          <w:szCs w:val="24"/>
        </w:rPr>
      </w:pPr>
      <w:r w:rsidRPr="00FA38B2">
        <w:rPr>
          <w:rFonts w:cs="Times New Roman"/>
          <w:szCs w:val="24"/>
        </w:rPr>
        <w:t>The small but growing body of research on TN Promise is revealing, showing that the program may decrease dependence on student loans (</w:t>
      </w:r>
      <w:proofErr w:type="spellStart"/>
      <w:r w:rsidRPr="00FA38B2">
        <w:rPr>
          <w:rFonts w:cs="Times New Roman"/>
          <w:szCs w:val="24"/>
        </w:rPr>
        <w:t>Odle</w:t>
      </w:r>
      <w:proofErr w:type="spellEnd"/>
      <w:r w:rsidRPr="00FA38B2">
        <w:rPr>
          <w:rFonts w:cs="Times New Roman"/>
          <w:szCs w:val="24"/>
        </w:rPr>
        <w:t xml:space="preserve"> et al., </w:t>
      </w:r>
      <w:r w:rsidR="00232E7B">
        <w:rPr>
          <w:rFonts w:cs="Times New Roman"/>
          <w:szCs w:val="24"/>
        </w:rPr>
        <w:t>2021</w:t>
      </w:r>
      <w:r w:rsidRPr="00FA38B2">
        <w:rPr>
          <w:rFonts w:cs="Times New Roman"/>
          <w:szCs w:val="24"/>
        </w:rPr>
        <w:t>), increase postsecondary enrollment among Black and Hispanic students and students who would not have oth</w:t>
      </w:r>
      <w:r w:rsidR="00730B15" w:rsidRPr="00FA38B2">
        <w:rPr>
          <w:rFonts w:cs="Times New Roman"/>
          <w:szCs w:val="24"/>
        </w:rPr>
        <w:t>erwise enrolled in college (Ngu</w:t>
      </w:r>
      <w:r w:rsidRPr="00FA38B2">
        <w:rPr>
          <w:rFonts w:cs="Times New Roman"/>
          <w:szCs w:val="24"/>
        </w:rPr>
        <w:t>yen, 2020), and divert enrollment away from private colleges and to public Promise eligible institutions (Bell, 2021). Yet, little focus has been given to how statewide promise programs, specifically the TN Promise, may impact participation in postsecondary career and technical education programs. As more states adopt their own promise programs, it is essential to understand how broad access to tuition-free, two-year public education may impact participation in career and technical education programs.</w:t>
      </w:r>
    </w:p>
    <w:p w14:paraId="62792042" w14:textId="77777777" w:rsidR="00827F97" w:rsidRPr="00FA38B2" w:rsidRDefault="00827F97" w:rsidP="0015321A">
      <w:pPr>
        <w:ind w:firstLine="720"/>
        <w:rPr>
          <w:rFonts w:cs="Times New Roman"/>
          <w:szCs w:val="24"/>
        </w:rPr>
      </w:pPr>
      <w:r w:rsidRPr="00FA38B2">
        <w:rPr>
          <w:rFonts w:cs="Times New Roman"/>
          <w:szCs w:val="24"/>
        </w:rPr>
        <w:t xml:space="preserve">In this study I estimate the causal effects on postsecondary career and technical education enrollment in Tennessee following the adoption of TN Promise. A differences-in-differences estimation was used to observe the enrollment responses following the implementation of TN Promise in 2015 and to further analyze the natural experiment in Tennessee. Data were gathered from the Consolidated Annual Report (CAR) from the U.S. Department of Education/Office of Career, Technical, and Adult Education (2020), which generates state reported data required by the Perkins V Act. Findings from this study contribute to the growing body of promise literature and are the first to link postsecondary career and technical education participation with the adoption of a statewide promise program through quasi-experimental methods. I conclude by discussing the implications for policy, practice, and research. </w:t>
      </w:r>
    </w:p>
    <w:p w14:paraId="5BD770C5" w14:textId="77777777" w:rsidR="00827F97" w:rsidRPr="00FA38B2" w:rsidRDefault="00827F97" w:rsidP="0015321A">
      <w:pPr>
        <w:pStyle w:val="Heading2"/>
        <w:jc w:val="center"/>
        <w:rPr>
          <w:rFonts w:cs="Times New Roman"/>
          <w:szCs w:val="24"/>
        </w:rPr>
      </w:pPr>
      <w:bookmarkStart w:id="42" w:name="_Toc70181502"/>
      <w:r w:rsidRPr="00FA38B2">
        <w:rPr>
          <w:rFonts w:cs="Times New Roman"/>
          <w:szCs w:val="24"/>
        </w:rPr>
        <w:lastRenderedPageBreak/>
        <w:t>Literature Review</w:t>
      </w:r>
      <w:bookmarkEnd w:id="42"/>
    </w:p>
    <w:p w14:paraId="14DC7705" w14:textId="3F553CDE" w:rsidR="007E52D1" w:rsidRPr="00FA38B2" w:rsidRDefault="007E52D1" w:rsidP="0015321A">
      <w:pPr>
        <w:rPr>
          <w:rFonts w:cs="Times New Roman"/>
          <w:szCs w:val="24"/>
        </w:rPr>
      </w:pPr>
      <w:r w:rsidRPr="00FA38B2">
        <w:rPr>
          <w:rFonts w:cs="Times New Roman"/>
          <w:szCs w:val="24"/>
        </w:rPr>
        <w:tab/>
        <w:t xml:space="preserve">While improving postsecondary CTE is a focus of Perkins V and nationally, there is minimal research on the topic. Further, there is currently no research exploring how TN Promise or other statewide promise programs align with federal education policies such as Perkins V. The following section provides a brief review of current research on postsecondary CTE and a brief review of research on TN Promise. </w:t>
      </w:r>
    </w:p>
    <w:p w14:paraId="730E2BE0" w14:textId="1F268406" w:rsidR="00827F97" w:rsidRPr="00FA38B2" w:rsidRDefault="008923C1" w:rsidP="0015321A">
      <w:pPr>
        <w:rPr>
          <w:rFonts w:cs="Times New Roman"/>
          <w:b/>
          <w:szCs w:val="24"/>
        </w:rPr>
      </w:pPr>
      <w:r w:rsidRPr="00FA38B2">
        <w:rPr>
          <w:rFonts w:cs="Times New Roman"/>
          <w:b/>
          <w:szCs w:val="24"/>
        </w:rPr>
        <w:t xml:space="preserve">Current Research on </w:t>
      </w:r>
      <w:r w:rsidR="00827F97" w:rsidRPr="00FA38B2">
        <w:rPr>
          <w:rFonts w:cs="Times New Roman"/>
          <w:b/>
          <w:szCs w:val="24"/>
        </w:rPr>
        <w:t xml:space="preserve">Postsecondary Career and Technical Education </w:t>
      </w:r>
    </w:p>
    <w:p w14:paraId="01B62950" w14:textId="77777777" w:rsidR="00827F97" w:rsidRPr="00FA38B2" w:rsidRDefault="00827F97" w:rsidP="0015321A">
      <w:pPr>
        <w:rPr>
          <w:rFonts w:cs="Times New Roman"/>
          <w:szCs w:val="24"/>
        </w:rPr>
      </w:pPr>
      <w:r w:rsidRPr="00FA38B2">
        <w:rPr>
          <w:rFonts w:cs="Times New Roman"/>
          <w:szCs w:val="24"/>
        </w:rPr>
        <w:tab/>
        <w:t>Postsecondary career and technical education (CTE) was largely an afterthought during the dawn of American higher education. Despite the stated goal of increasing vocational education, the Morrill Acts of 1862 and 1890 resulted in colleges “focused on the general education curriculum with little to no attention to vocational education” (</w:t>
      </w:r>
      <w:proofErr w:type="spellStart"/>
      <w:r w:rsidRPr="00FA38B2">
        <w:rPr>
          <w:rFonts w:cs="Times New Roman"/>
          <w:szCs w:val="24"/>
        </w:rPr>
        <w:t>Hersperger</w:t>
      </w:r>
      <w:proofErr w:type="spellEnd"/>
      <w:r w:rsidRPr="00FA38B2">
        <w:rPr>
          <w:rFonts w:cs="Times New Roman"/>
          <w:szCs w:val="24"/>
        </w:rPr>
        <w:t xml:space="preserve"> et al., 2013, p. 161). It was not until the Smith-Hughes Act of 1917 that secondary CTE was specifically funded by the federal government; postsecondary CTE was largely absent from any federal legislation until the Perkins II Act was adopted in 1990</w:t>
      </w:r>
      <w:r w:rsidRPr="00FA38B2">
        <w:rPr>
          <w:rStyle w:val="FootnoteReference"/>
          <w:rFonts w:cs="Times New Roman"/>
          <w:szCs w:val="24"/>
        </w:rPr>
        <w:footnoteReference w:id="3"/>
      </w:r>
      <w:r w:rsidRPr="00FA38B2">
        <w:rPr>
          <w:rFonts w:cs="Times New Roman"/>
          <w:szCs w:val="24"/>
        </w:rPr>
        <w:t xml:space="preserve">. </w:t>
      </w:r>
    </w:p>
    <w:p w14:paraId="445B9C22" w14:textId="77777777" w:rsidR="00827F97" w:rsidRPr="00FA38B2" w:rsidRDefault="00827F97" w:rsidP="0015321A">
      <w:pPr>
        <w:rPr>
          <w:rFonts w:cs="Times New Roman"/>
          <w:szCs w:val="24"/>
        </w:rPr>
      </w:pPr>
      <w:r w:rsidRPr="00FA38B2">
        <w:rPr>
          <w:rFonts w:cs="Times New Roman"/>
          <w:szCs w:val="24"/>
        </w:rPr>
        <w:tab/>
        <w:t xml:space="preserve">The focus on postsecondary CTE increased substantially in the last 10 years. Following an unprecedented economic recession in 2008, newly elected President Barack Obama delivered a speech to congress in which he stated: </w:t>
      </w:r>
    </w:p>
    <w:p w14:paraId="0981956E" w14:textId="60774EF3" w:rsidR="00827F97" w:rsidRPr="00FA38B2" w:rsidRDefault="00827F97" w:rsidP="0015321A">
      <w:pPr>
        <w:ind w:left="720"/>
        <w:rPr>
          <w:rFonts w:cs="Times New Roman"/>
          <w:szCs w:val="24"/>
        </w:rPr>
      </w:pPr>
      <w:r w:rsidRPr="00FA38B2">
        <w:rPr>
          <w:rFonts w:cs="Times New Roman"/>
          <w:szCs w:val="24"/>
        </w:rPr>
        <w:t xml:space="preserve">I ask every American to commit to at least one year or more of higher education or career training. This can be community college or a four-year </w:t>
      </w:r>
      <w:r w:rsidR="00A05EAF" w:rsidRPr="00FA38B2">
        <w:rPr>
          <w:rFonts w:cs="Times New Roman"/>
          <w:szCs w:val="24"/>
        </w:rPr>
        <w:t>school,</w:t>
      </w:r>
      <w:r w:rsidRPr="00FA38B2">
        <w:rPr>
          <w:rFonts w:cs="Times New Roman"/>
          <w:szCs w:val="24"/>
        </w:rPr>
        <w:t xml:space="preserve"> vocational training</w:t>
      </w:r>
      <w:r w:rsidR="00445E74">
        <w:rPr>
          <w:rFonts w:cs="Times New Roman"/>
          <w:szCs w:val="24"/>
        </w:rPr>
        <w:t>,</w:t>
      </w:r>
      <w:r w:rsidRPr="00FA38B2">
        <w:rPr>
          <w:rFonts w:cs="Times New Roman"/>
          <w:szCs w:val="24"/>
        </w:rPr>
        <w:t xml:space="preserve"> or an apprenticeship. But whatever the training may be, every American will need to get more than a high school diploma…by 2020, American will once again have the highest proportion of college graduates in the world. </w:t>
      </w:r>
    </w:p>
    <w:p w14:paraId="4B4E559B" w14:textId="6F96DE22" w:rsidR="00827F97" w:rsidRPr="00FA38B2" w:rsidRDefault="00827F97" w:rsidP="0015321A">
      <w:pPr>
        <w:rPr>
          <w:rFonts w:cs="Times New Roman"/>
          <w:szCs w:val="24"/>
        </w:rPr>
      </w:pPr>
      <w:r w:rsidRPr="00FA38B2">
        <w:rPr>
          <w:rFonts w:cs="Times New Roman"/>
          <w:szCs w:val="24"/>
        </w:rPr>
        <w:lastRenderedPageBreak/>
        <w:t xml:space="preserve">National foundations and state leaders echoed Obama’s call for a more educated American population. The Lumina Foundation has tracked educational attainment in the US since 2008 for their </w:t>
      </w:r>
      <w:r w:rsidRPr="00FA38B2">
        <w:rPr>
          <w:rFonts w:cs="Times New Roman"/>
          <w:i/>
          <w:szCs w:val="24"/>
        </w:rPr>
        <w:t>A Stronger Nation</w:t>
      </w:r>
      <w:r w:rsidRPr="00FA38B2">
        <w:rPr>
          <w:rFonts w:cs="Times New Roman"/>
          <w:szCs w:val="24"/>
        </w:rPr>
        <w:t xml:space="preserve"> initiative. The foundation </w:t>
      </w:r>
      <w:r w:rsidR="00A44936" w:rsidRPr="00FA38B2">
        <w:rPr>
          <w:rFonts w:cs="Times New Roman"/>
          <w:szCs w:val="24"/>
        </w:rPr>
        <w:t>articulated a goal to</w:t>
      </w:r>
      <w:r w:rsidRPr="00FA38B2">
        <w:rPr>
          <w:rFonts w:cs="Times New Roman"/>
          <w:szCs w:val="24"/>
        </w:rPr>
        <w:t xml:space="preserve"> increase nationwide postsecondary attainment to 60% by 2025 (Lumina Foundation, 2019). The Lumina Foundation has partnered with numerous states to develop plans and policies to increase statewide </w:t>
      </w:r>
      <w:r w:rsidR="00AF7517" w:rsidRPr="00FA38B2">
        <w:rPr>
          <w:rFonts w:cs="Times New Roman"/>
          <w:szCs w:val="24"/>
        </w:rPr>
        <w:t xml:space="preserve">postsecondary </w:t>
      </w:r>
      <w:r w:rsidRPr="00FA38B2">
        <w:rPr>
          <w:rFonts w:cs="Times New Roman"/>
          <w:szCs w:val="24"/>
        </w:rPr>
        <w:t xml:space="preserve">educational attainment. Recently, the organization has increased their emphasis on CTE. Since 2014, the Lumina Foundation has included workforce relevant certificates when tracking postsecondary attainment, and it began tracking certifications in 2018. The foundation’s current state policy agenda specifically called for innovation within higher education and for state policymakers to think beyond traditional academic programs and focus more on postsecondary CTE. </w:t>
      </w:r>
    </w:p>
    <w:p w14:paraId="17370170" w14:textId="11610AA3" w:rsidR="00827F97" w:rsidRPr="00FA38B2" w:rsidRDefault="00827F97" w:rsidP="0015321A">
      <w:pPr>
        <w:rPr>
          <w:rFonts w:cs="Times New Roman"/>
          <w:szCs w:val="24"/>
        </w:rPr>
      </w:pPr>
      <w:r w:rsidRPr="00FA38B2">
        <w:rPr>
          <w:rFonts w:cs="Times New Roman"/>
          <w:szCs w:val="24"/>
        </w:rPr>
        <w:tab/>
        <w:t>Today, postsecondary CTE is an often-discussed topic among state and federal policymakers. The Carl D. Perkins Career and Technical Education Act of 2006 was reauthorized in 2019 through the Strengthening Career and Technical Education for the 21</w:t>
      </w:r>
      <w:r w:rsidRPr="00FA38B2">
        <w:rPr>
          <w:rFonts w:cs="Times New Roman"/>
          <w:szCs w:val="24"/>
          <w:vertAlign w:val="superscript"/>
        </w:rPr>
        <w:t>st</w:t>
      </w:r>
      <w:r w:rsidRPr="00FA38B2">
        <w:rPr>
          <w:rFonts w:cs="Times New Roman"/>
          <w:szCs w:val="24"/>
        </w:rPr>
        <w:t xml:space="preserve"> Century Act (Perkins V Act, 2019). Amendments to the 2006 Act in Perkins V expanded funding for increased rigorous research focuse</w:t>
      </w:r>
      <w:r w:rsidR="00AF7517" w:rsidRPr="00FA38B2">
        <w:rPr>
          <w:rFonts w:cs="Times New Roman"/>
          <w:szCs w:val="24"/>
        </w:rPr>
        <w:t>d</w:t>
      </w:r>
      <w:r w:rsidRPr="00FA38B2">
        <w:rPr>
          <w:rFonts w:cs="Times New Roman"/>
          <w:szCs w:val="24"/>
        </w:rPr>
        <w:t xml:space="preserve"> on postsecondary </w:t>
      </w:r>
      <w:r w:rsidR="00941F42" w:rsidRPr="00FA38B2">
        <w:rPr>
          <w:rFonts w:cs="Times New Roman"/>
          <w:szCs w:val="24"/>
        </w:rPr>
        <w:t>CTE and</w:t>
      </w:r>
      <w:r w:rsidRPr="00FA38B2">
        <w:rPr>
          <w:rFonts w:cs="Times New Roman"/>
          <w:szCs w:val="24"/>
        </w:rPr>
        <w:t xml:space="preserve"> called for increased </w:t>
      </w:r>
      <w:r w:rsidR="00A44936" w:rsidRPr="00FA38B2">
        <w:rPr>
          <w:rFonts w:cs="Times New Roman"/>
          <w:szCs w:val="24"/>
        </w:rPr>
        <w:t xml:space="preserve">student </w:t>
      </w:r>
      <w:r w:rsidRPr="00FA38B2">
        <w:rPr>
          <w:rFonts w:cs="Times New Roman"/>
          <w:szCs w:val="24"/>
        </w:rPr>
        <w:t xml:space="preserve">diversity </w:t>
      </w:r>
      <w:r w:rsidR="00AF7517" w:rsidRPr="00FA38B2">
        <w:rPr>
          <w:rFonts w:cs="Times New Roman"/>
          <w:szCs w:val="24"/>
        </w:rPr>
        <w:t>with an emphasis</w:t>
      </w:r>
      <w:r w:rsidRPr="00FA38B2">
        <w:rPr>
          <w:rFonts w:cs="Times New Roman"/>
          <w:szCs w:val="24"/>
        </w:rPr>
        <w:t xml:space="preserve"> on equity in secondary and postsecondary CTE programs.   </w:t>
      </w:r>
    </w:p>
    <w:p w14:paraId="343EEF45" w14:textId="733432D3" w:rsidR="00827F97" w:rsidRPr="00FA38B2" w:rsidRDefault="00827F97" w:rsidP="0015321A">
      <w:pPr>
        <w:rPr>
          <w:rFonts w:cs="Times New Roman"/>
          <w:szCs w:val="24"/>
        </w:rPr>
      </w:pPr>
      <w:r w:rsidRPr="00FA38B2">
        <w:rPr>
          <w:rFonts w:cs="Times New Roman"/>
          <w:szCs w:val="24"/>
        </w:rPr>
        <w:tab/>
        <w:t xml:space="preserve">Despite the increased focus on postsecondary CTE, there is limited recent research focused on the topic in the United States or how postsecondary CTE interacts with existing policies. Much of the research regarding postsecondary CTE centers on how secondary CTE participation impacts educational pathways. For example, Cowan et al. (2020) </w:t>
      </w:r>
      <w:r w:rsidR="00AF7517" w:rsidRPr="00FA38B2">
        <w:rPr>
          <w:rFonts w:cs="Times New Roman"/>
          <w:szCs w:val="24"/>
        </w:rPr>
        <w:t>studied</w:t>
      </w:r>
      <w:r w:rsidRPr="00FA38B2">
        <w:rPr>
          <w:rFonts w:cs="Times New Roman"/>
          <w:szCs w:val="24"/>
        </w:rPr>
        <w:t xml:space="preserve"> how participation in secondary CTE impacted postsecondary transitions. The</w:t>
      </w:r>
      <w:r w:rsidR="00AF7517" w:rsidRPr="00FA38B2">
        <w:rPr>
          <w:rFonts w:cs="Times New Roman"/>
          <w:szCs w:val="24"/>
        </w:rPr>
        <w:t xml:space="preserve"> researchers</w:t>
      </w:r>
      <w:r w:rsidRPr="00FA38B2">
        <w:rPr>
          <w:rFonts w:cs="Times New Roman"/>
          <w:szCs w:val="24"/>
        </w:rPr>
        <w:t xml:space="preserve"> found students who participated in secondary CTE were less likely to pursue postsecondary education </w:t>
      </w:r>
      <w:r w:rsidRPr="00FA38B2">
        <w:rPr>
          <w:rFonts w:cs="Times New Roman"/>
          <w:szCs w:val="24"/>
        </w:rPr>
        <w:lastRenderedPageBreak/>
        <w:t xml:space="preserve">overall, more likely to enroll in further vocational training following high school graduation, and more likely to work full-time in the three years following high school (Cowan et al., 2020). Similarly, Dougherty and Lombardi (2016) found that the existing body of research on postsecondary CTE is growing and that “it is an opportune time to study how policy and program shifts in these areas affect student experiences and outcomes” (p. 349). The authors emphasized that future research should focus on equity and access to high quality postsecondary CTE programs for historically marginalized groups. </w:t>
      </w:r>
    </w:p>
    <w:p w14:paraId="6D6DEBC7" w14:textId="77777777" w:rsidR="00827F97" w:rsidRPr="00FA38B2" w:rsidRDefault="00827F97" w:rsidP="0015321A">
      <w:pPr>
        <w:rPr>
          <w:rFonts w:cs="Times New Roman"/>
          <w:szCs w:val="24"/>
        </w:rPr>
      </w:pPr>
      <w:r w:rsidRPr="00FA38B2">
        <w:rPr>
          <w:rFonts w:cs="Times New Roman"/>
          <w:szCs w:val="24"/>
        </w:rPr>
        <w:tab/>
        <w:t xml:space="preserve">Regarding existing postsecondary CTE programs, there are indicators that the increased focus and access to non-degree credentials may yield positive outcomes for students. In their 2016 paper, Xu and Trimble analyzed the impact of certificates offered at community colleges. Contrary to previous research on community college certificates, which often focuses on changes in income, their analysis revealed that individuals who received a certificate were more likely to be employed and may use their credential to switch industries (Xu &amp; Trimble, 2016). Similarly, in their 2019 paper Stevens et al. explored the estimated labor market returns of a postsecondary CTE credential in California. Their analysis revealed a 14% to 45% return compared to the cost of a postsecondary CTE degree or certificate, which is comparable to or exceeds most four-year degree ROI estimates (Stevens et al., 2019). </w:t>
      </w:r>
    </w:p>
    <w:p w14:paraId="2CFB1699" w14:textId="77777777" w:rsidR="00827F97" w:rsidRPr="00FA38B2" w:rsidRDefault="00827F97" w:rsidP="0015321A">
      <w:pPr>
        <w:ind w:firstLine="720"/>
        <w:rPr>
          <w:rFonts w:cs="Times New Roman"/>
          <w:szCs w:val="24"/>
        </w:rPr>
      </w:pPr>
      <w:r w:rsidRPr="00FA38B2">
        <w:rPr>
          <w:rFonts w:cs="Times New Roman"/>
          <w:szCs w:val="24"/>
        </w:rPr>
        <w:t xml:space="preserve">While the analyses highlighted above focused on transitions to postsecondary CTE and employment outcomes, little is known about how existing policies created to broadly increase access to postsecondary education (i.e. TN Promise) impact participation in postsecondary CTE. As the importance of high quality postsecondary CTE continues to grow, it is imperative that researchers also explore “the mechanisms by which students have come to access them” (Dougherty &amp; Lombardi, 2016, p. 348). </w:t>
      </w:r>
    </w:p>
    <w:p w14:paraId="379EB53D" w14:textId="17833AE2" w:rsidR="00827F97" w:rsidRPr="00FA38B2" w:rsidRDefault="00DE1292" w:rsidP="0015321A">
      <w:pPr>
        <w:rPr>
          <w:rFonts w:cs="Times New Roman"/>
          <w:b/>
          <w:szCs w:val="24"/>
        </w:rPr>
      </w:pPr>
      <w:r w:rsidRPr="00FA38B2">
        <w:rPr>
          <w:rFonts w:cs="Times New Roman"/>
          <w:b/>
          <w:szCs w:val="24"/>
        </w:rPr>
        <w:lastRenderedPageBreak/>
        <w:t>Research on</w:t>
      </w:r>
      <w:r w:rsidR="002804C5" w:rsidRPr="00FA38B2">
        <w:rPr>
          <w:rFonts w:cs="Times New Roman"/>
          <w:b/>
          <w:szCs w:val="24"/>
        </w:rPr>
        <w:t xml:space="preserve"> </w:t>
      </w:r>
      <w:r w:rsidR="00827F97" w:rsidRPr="00FA38B2">
        <w:rPr>
          <w:rFonts w:cs="Times New Roman"/>
          <w:b/>
          <w:szCs w:val="24"/>
        </w:rPr>
        <w:t xml:space="preserve">Tennessee Promise </w:t>
      </w:r>
    </w:p>
    <w:p w14:paraId="05F71702" w14:textId="0CAB73DA" w:rsidR="00866C29" w:rsidRPr="00FA38B2" w:rsidRDefault="00DD39EB" w:rsidP="0015321A">
      <w:pPr>
        <w:ind w:firstLine="720"/>
        <w:rPr>
          <w:rFonts w:cs="Times New Roman"/>
          <w:szCs w:val="24"/>
        </w:rPr>
      </w:pPr>
      <w:r w:rsidRPr="00FA38B2">
        <w:rPr>
          <w:rFonts w:cs="Times New Roman"/>
          <w:szCs w:val="24"/>
        </w:rPr>
        <w:t>In 2015, Tennessee implemented the Tennessee Promise Initiative to increase college-going behaviors and improve statewide postsecondary credential attainment (</w:t>
      </w:r>
      <w:r w:rsidR="00866C29" w:rsidRPr="00FA38B2">
        <w:rPr>
          <w:rFonts w:cs="Times New Roman"/>
          <w:szCs w:val="24"/>
        </w:rPr>
        <w:t xml:space="preserve">Tennessee Promise, </w:t>
      </w:r>
      <w:proofErr w:type="spellStart"/>
      <w:r w:rsidR="00866C29" w:rsidRPr="00FA38B2">
        <w:rPr>
          <w:rFonts w:cs="Times New Roman"/>
          <w:szCs w:val="24"/>
        </w:rPr>
        <w:t>n.d.</w:t>
      </w:r>
      <w:proofErr w:type="spellEnd"/>
      <w:r w:rsidR="00866C29" w:rsidRPr="00FA38B2">
        <w:rPr>
          <w:rFonts w:cs="Times New Roman"/>
          <w:szCs w:val="24"/>
        </w:rPr>
        <w:t>)</w:t>
      </w:r>
      <w:r w:rsidRPr="00FA38B2">
        <w:rPr>
          <w:rFonts w:cs="Times New Roman"/>
          <w:szCs w:val="24"/>
        </w:rPr>
        <w:t>. Designed as a last-dollar scholarship policy, TN Promise covers full tuition and fees for any high school graduate who attends a public two-year college, including the Tennessee College of Applied Technology (TCAT) and community colleges</w:t>
      </w:r>
      <w:r w:rsidR="00866C29" w:rsidRPr="00FA38B2">
        <w:rPr>
          <w:rFonts w:cs="Times New Roman"/>
          <w:szCs w:val="24"/>
        </w:rPr>
        <w:t xml:space="preserve"> (Tennessee Promise, </w:t>
      </w:r>
      <w:proofErr w:type="spellStart"/>
      <w:r w:rsidR="00866C29" w:rsidRPr="00FA38B2">
        <w:rPr>
          <w:rFonts w:cs="Times New Roman"/>
          <w:szCs w:val="24"/>
        </w:rPr>
        <w:t>n.d</w:t>
      </w:r>
      <w:r w:rsidRPr="00FA38B2">
        <w:rPr>
          <w:rFonts w:cs="Times New Roman"/>
          <w:szCs w:val="24"/>
        </w:rPr>
        <w:t>.</w:t>
      </w:r>
      <w:proofErr w:type="spellEnd"/>
      <w:r w:rsidR="00866C29" w:rsidRPr="00FA38B2">
        <w:rPr>
          <w:rFonts w:cs="Times New Roman"/>
          <w:szCs w:val="24"/>
        </w:rPr>
        <w:t>).</w:t>
      </w:r>
      <w:r w:rsidR="000311FD" w:rsidRPr="00FA38B2">
        <w:rPr>
          <w:rFonts w:cs="Times New Roman"/>
          <w:szCs w:val="24"/>
        </w:rPr>
        <w:t xml:space="preserve"> </w:t>
      </w:r>
      <w:r w:rsidR="00B06F7A" w:rsidRPr="00FA38B2">
        <w:rPr>
          <w:rFonts w:cs="Times New Roman"/>
          <w:szCs w:val="24"/>
        </w:rPr>
        <w:t>Thus far t</w:t>
      </w:r>
      <w:r w:rsidR="00DE1292" w:rsidRPr="00FA38B2">
        <w:rPr>
          <w:rFonts w:cs="Times New Roman"/>
          <w:szCs w:val="24"/>
        </w:rPr>
        <w:t>he body of r</w:t>
      </w:r>
      <w:r w:rsidR="00827F97" w:rsidRPr="00FA38B2">
        <w:rPr>
          <w:rFonts w:cs="Times New Roman"/>
          <w:szCs w:val="24"/>
        </w:rPr>
        <w:t xml:space="preserve">esearch on Tennessee Promise is small </w:t>
      </w:r>
      <w:r w:rsidR="00B06F7A" w:rsidRPr="00FA38B2">
        <w:rPr>
          <w:rFonts w:cs="Times New Roman"/>
          <w:szCs w:val="24"/>
        </w:rPr>
        <w:t>but promising</w:t>
      </w:r>
      <w:r w:rsidR="00827F97" w:rsidRPr="00FA38B2">
        <w:rPr>
          <w:rFonts w:cs="Times New Roman"/>
          <w:szCs w:val="24"/>
        </w:rPr>
        <w:t xml:space="preserve">. In their analysis of Knox Achieves, the precursor </w:t>
      </w:r>
      <w:r w:rsidR="00E550C5" w:rsidRPr="00FA38B2">
        <w:rPr>
          <w:rFonts w:cs="Times New Roman"/>
          <w:szCs w:val="24"/>
        </w:rPr>
        <w:t xml:space="preserve">pilot </w:t>
      </w:r>
      <w:r w:rsidR="00827F97" w:rsidRPr="00FA38B2">
        <w:rPr>
          <w:rFonts w:cs="Times New Roman"/>
          <w:szCs w:val="24"/>
        </w:rPr>
        <w:t>program to the TN Promise, Carruthers and Fox</w:t>
      </w:r>
      <w:r w:rsidRPr="00FA38B2">
        <w:rPr>
          <w:rFonts w:cs="Times New Roman"/>
          <w:szCs w:val="24"/>
        </w:rPr>
        <w:t xml:space="preserve"> (2016)</w:t>
      </w:r>
      <w:r w:rsidR="00827F97" w:rsidRPr="00FA38B2">
        <w:rPr>
          <w:rFonts w:cs="Times New Roman"/>
          <w:szCs w:val="24"/>
        </w:rPr>
        <w:t xml:space="preserve"> found that participating in the program was strongly associated </w:t>
      </w:r>
      <w:r w:rsidR="002804C5" w:rsidRPr="00FA38B2">
        <w:rPr>
          <w:rFonts w:cs="Times New Roman"/>
          <w:szCs w:val="24"/>
        </w:rPr>
        <w:t xml:space="preserve">with </w:t>
      </w:r>
      <w:r w:rsidR="00E550C5" w:rsidRPr="00FA38B2">
        <w:rPr>
          <w:rFonts w:cs="Times New Roman"/>
          <w:szCs w:val="24"/>
        </w:rPr>
        <w:t xml:space="preserve">a </w:t>
      </w:r>
      <w:r w:rsidR="00866C29" w:rsidRPr="00FA38B2">
        <w:rPr>
          <w:rFonts w:cs="Times New Roman"/>
          <w:szCs w:val="24"/>
        </w:rPr>
        <w:t>25 to 30</w:t>
      </w:r>
      <w:r w:rsidR="00E550C5" w:rsidRPr="00FA38B2">
        <w:rPr>
          <w:rFonts w:cs="Times New Roman"/>
          <w:szCs w:val="24"/>
        </w:rPr>
        <w:t>% increase in</w:t>
      </w:r>
      <w:r w:rsidR="00827F97" w:rsidRPr="00FA38B2">
        <w:rPr>
          <w:rFonts w:cs="Times New Roman"/>
          <w:szCs w:val="24"/>
        </w:rPr>
        <w:t xml:space="preserve"> college enrollment. The success of the Knox Achieves promise program resulted in a statewide expansion of the Tennessee Promise in 2015. </w:t>
      </w:r>
    </w:p>
    <w:p w14:paraId="5E9BADD7" w14:textId="288825AC" w:rsidR="00827F97" w:rsidRPr="00FA38B2" w:rsidRDefault="00827F97" w:rsidP="0015321A">
      <w:pPr>
        <w:ind w:firstLine="720"/>
        <w:rPr>
          <w:rFonts w:cs="Times New Roman"/>
          <w:szCs w:val="24"/>
        </w:rPr>
      </w:pPr>
      <w:r w:rsidRPr="00FA38B2">
        <w:rPr>
          <w:rFonts w:cs="Times New Roman"/>
          <w:szCs w:val="24"/>
        </w:rPr>
        <w:t>Nguyen</w:t>
      </w:r>
      <w:r w:rsidR="00B06F7A" w:rsidRPr="00FA38B2">
        <w:rPr>
          <w:rFonts w:cs="Times New Roman"/>
          <w:szCs w:val="24"/>
        </w:rPr>
        <w:t>’s</w:t>
      </w:r>
      <w:r w:rsidRPr="00FA38B2">
        <w:rPr>
          <w:rFonts w:cs="Times New Roman"/>
          <w:szCs w:val="24"/>
        </w:rPr>
        <w:t xml:space="preserve"> (2020) </w:t>
      </w:r>
      <w:r w:rsidR="00B06F7A" w:rsidRPr="00FA38B2">
        <w:rPr>
          <w:rFonts w:cs="Times New Roman"/>
          <w:szCs w:val="24"/>
        </w:rPr>
        <w:t xml:space="preserve">analysis found similar results in the statewide program. He </w:t>
      </w:r>
      <w:r w:rsidRPr="00FA38B2">
        <w:rPr>
          <w:rFonts w:cs="Times New Roman"/>
          <w:szCs w:val="24"/>
        </w:rPr>
        <w:t xml:space="preserve">deployed a differences-in-differences estimation to analyze the Tennessee Promise and its impact on enrollment in the state. </w:t>
      </w:r>
      <w:r w:rsidR="00B06F7A" w:rsidRPr="00FA38B2">
        <w:rPr>
          <w:rFonts w:cs="Times New Roman"/>
          <w:szCs w:val="24"/>
        </w:rPr>
        <w:t>His</w:t>
      </w:r>
      <w:r w:rsidRPr="00FA38B2">
        <w:rPr>
          <w:rFonts w:cs="Times New Roman"/>
          <w:szCs w:val="24"/>
        </w:rPr>
        <w:t xml:space="preserve"> study found that while implementation of the Tennessee Promise was associated with a 2% enrollment decrease in the state’s public four-year institutions, there was an enrollment increase of 40% of full-time first-time undergraduates at the state’s community colleges. Nguyen’s (2020) analysis did not delaminate by degree programs and focused on enrollment by sector and race. </w:t>
      </w:r>
    </w:p>
    <w:p w14:paraId="1568F24A" w14:textId="35E48C02" w:rsidR="00827F97" w:rsidRPr="00FA38B2" w:rsidRDefault="00827F97" w:rsidP="0015321A">
      <w:pPr>
        <w:rPr>
          <w:rFonts w:cs="Times New Roman"/>
          <w:szCs w:val="24"/>
        </w:rPr>
      </w:pPr>
      <w:r w:rsidRPr="00FA38B2">
        <w:rPr>
          <w:rFonts w:cs="Times New Roman"/>
          <w:szCs w:val="24"/>
        </w:rPr>
        <w:tab/>
        <w:t xml:space="preserve">Bell (2021) explored the spillover effects of </w:t>
      </w:r>
      <w:r w:rsidR="009D3B5C" w:rsidRPr="00FA38B2">
        <w:rPr>
          <w:rFonts w:cs="Times New Roman"/>
          <w:szCs w:val="24"/>
        </w:rPr>
        <w:t xml:space="preserve">TN </w:t>
      </w:r>
      <w:r w:rsidRPr="00FA38B2">
        <w:rPr>
          <w:rFonts w:cs="Times New Roman"/>
          <w:szCs w:val="24"/>
        </w:rPr>
        <w:t xml:space="preserve">Promise through quasi-experimental methods. </w:t>
      </w:r>
      <w:r w:rsidR="009D3B5C" w:rsidRPr="00FA38B2">
        <w:rPr>
          <w:rFonts w:cs="Times New Roman"/>
          <w:szCs w:val="24"/>
        </w:rPr>
        <w:t>She</w:t>
      </w:r>
      <w:r w:rsidRPr="00FA38B2">
        <w:rPr>
          <w:rFonts w:cs="Times New Roman"/>
          <w:szCs w:val="24"/>
        </w:rPr>
        <w:t xml:space="preserve"> found TN Promise resulted in significant changes to enrollment across various sectors in the state. </w:t>
      </w:r>
      <w:r w:rsidR="00985186" w:rsidRPr="00FA38B2">
        <w:rPr>
          <w:rFonts w:cs="Times New Roman"/>
          <w:szCs w:val="24"/>
        </w:rPr>
        <w:t>Her</w:t>
      </w:r>
      <w:r w:rsidRPr="00FA38B2">
        <w:rPr>
          <w:rFonts w:cs="Times New Roman"/>
          <w:szCs w:val="24"/>
        </w:rPr>
        <w:t xml:space="preserve"> study</w:t>
      </w:r>
      <w:r w:rsidR="00985186" w:rsidRPr="00FA38B2">
        <w:rPr>
          <w:rFonts w:cs="Times New Roman"/>
          <w:szCs w:val="24"/>
        </w:rPr>
        <w:t>’s findings</w:t>
      </w:r>
      <w:r w:rsidR="00941F42">
        <w:rPr>
          <w:rFonts w:cs="Times New Roman"/>
          <w:szCs w:val="24"/>
        </w:rPr>
        <w:t xml:space="preserve"> -</w:t>
      </w:r>
      <w:r w:rsidR="00985186" w:rsidRPr="00FA38B2">
        <w:rPr>
          <w:rFonts w:cs="Times New Roman"/>
          <w:szCs w:val="24"/>
        </w:rPr>
        <w:t xml:space="preserve"> similarly to </w:t>
      </w:r>
      <w:r w:rsidR="00B06F7A" w:rsidRPr="00FA38B2">
        <w:rPr>
          <w:rFonts w:cs="Times New Roman"/>
          <w:szCs w:val="24"/>
        </w:rPr>
        <w:t xml:space="preserve">Nguyen’s (2020) and </w:t>
      </w:r>
      <w:r w:rsidR="00985186" w:rsidRPr="00FA38B2">
        <w:rPr>
          <w:rFonts w:cs="Times New Roman"/>
          <w:szCs w:val="24"/>
        </w:rPr>
        <w:t>Carruthers and Fox’s (2016)</w:t>
      </w:r>
      <w:r w:rsidR="00941F42">
        <w:rPr>
          <w:rFonts w:cs="Times New Roman"/>
          <w:szCs w:val="24"/>
        </w:rPr>
        <w:t xml:space="preserve"> -</w:t>
      </w:r>
      <w:r w:rsidR="00985186" w:rsidRPr="00FA38B2">
        <w:rPr>
          <w:rFonts w:cs="Times New Roman"/>
          <w:szCs w:val="24"/>
        </w:rPr>
        <w:t xml:space="preserve"> </w:t>
      </w:r>
      <w:r w:rsidR="00B06F7A" w:rsidRPr="00FA38B2">
        <w:rPr>
          <w:rFonts w:cs="Times New Roman"/>
          <w:szCs w:val="24"/>
        </w:rPr>
        <w:t>showed</w:t>
      </w:r>
      <w:r w:rsidRPr="00FA38B2">
        <w:rPr>
          <w:rFonts w:cs="Times New Roman"/>
          <w:szCs w:val="24"/>
        </w:rPr>
        <w:t xml:space="preserve"> a sharp increase in overall enrollment at public community colleges and technical colleges. However, Bell’s</w:t>
      </w:r>
      <w:r w:rsidR="00985186" w:rsidRPr="00FA38B2">
        <w:rPr>
          <w:rFonts w:cs="Times New Roman"/>
          <w:szCs w:val="24"/>
        </w:rPr>
        <w:t xml:space="preserve"> (2021)</w:t>
      </w:r>
      <w:r w:rsidR="008B5730" w:rsidRPr="00FA38B2">
        <w:rPr>
          <w:rFonts w:cs="Times New Roman"/>
          <w:szCs w:val="24"/>
        </w:rPr>
        <w:t xml:space="preserve"> </w:t>
      </w:r>
      <w:r w:rsidRPr="00FA38B2">
        <w:rPr>
          <w:rFonts w:cs="Times New Roman"/>
          <w:szCs w:val="24"/>
        </w:rPr>
        <w:t xml:space="preserve">findings also revealed an increase of out-of-state </w:t>
      </w:r>
      <w:r w:rsidRPr="00FA38B2">
        <w:rPr>
          <w:rFonts w:cs="Times New Roman"/>
          <w:szCs w:val="24"/>
        </w:rPr>
        <w:lastRenderedPageBreak/>
        <w:t xml:space="preserve">students at public four-year colleges who were ineligible to receive promise funding, a decrease in Black students at private colleges ineligible for promise funding, and an increase in tuition at public institutions eligible for promise funding. </w:t>
      </w:r>
    </w:p>
    <w:p w14:paraId="32FC1DDA" w14:textId="7874C351" w:rsidR="009D3B5C" w:rsidRPr="00FA38B2" w:rsidRDefault="00827F97" w:rsidP="0015321A">
      <w:pPr>
        <w:rPr>
          <w:rFonts w:cs="Times New Roman"/>
          <w:szCs w:val="24"/>
        </w:rPr>
      </w:pPr>
      <w:r w:rsidRPr="00FA38B2">
        <w:rPr>
          <w:rFonts w:cs="Times New Roman"/>
          <w:szCs w:val="24"/>
        </w:rPr>
        <w:tab/>
        <w:t>Carruthers and Welch (2020) explore</w:t>
      </w:r>
      <w:r w:rsidR="009D3B5C" w:rsidRPr="00FA38B2">
        <w:rPr>
          <w:rFonts w:cs="Times New Roman"/>
          <w:szCs w:val="24"/>
        </w:rPr>
        <w:t>d</w:t>
      </w:r>
      <w:r w:rsidRPr="00FA38B2">
        <w:rPr>
          <w:rFonts w:cs="Times New Roman"/>
          <w:szCs w:val="24"/>
        </w:rPr>
        <w:t xml:space="preserve"> how the TN Promise impacted enrollment at Tennessee Colleges of Applied Technology (TCAT). Their analysis dived further than previous studies by exploring individual level financial aid </w:t>
      </w:r>
      <w:r w:rsidR="009D3B5C" w:rsidRPr="00FA38B2">
        <w:rPr>
          <w:rFonts w:cs="Times New Roman"/>
          <w:szCs w:val="24"/>
        </w:rPr>
        <w:t xml:space="preserve">data </w:t>
      </w:r>
      <w:r w:rsidRPr="00FA38B2">
        <w:rPr>
          <w:rFonts w:cs="Times New Roman"/>
          <w:szCs w:val="24"/>
        </w:rPr>
        <w:t xml:space="preserve">for students attending TCATs. The </w:t>
      </w:r>
      <w:r w:rsidR="009D3B5C" w:rsidRPr="00FA38B2">
        <w:rPr>
          <w:rFonts w:cs="Times New Roman"/>
          <w:szCs w:val="24"/>
        </w:rPr>
        <w:t xml:space="preserve">researchers </w:t>
      </w:r>
      <w:r w:rsidRPr="00FA38B2">
        <w:rPr>
          <w:rFonts w:cs="Times New Roman"/>
          <w:szCs w:val="24"/>
        </w:rPr>
        <w:t>found that while many TCAT students were eligible for state or federal aid that would have covered tuition expenses</w:t>
      </w:r>
      <w:r w:rsidR="009D3B5C" w:rsidRPr="00FA38B2">
        <w:rPr>
          <w:rFonts w:cs="Times New Roman"/>
          <w:szCs w:val="24"/>
        </w:rPr>
        <w:t>, such as</w:t>
      </w:r>
      <w:r w:rsidR="008B5730" w:rsidRPr="00FA38B2">
        <w:rPr>
          <w:rFonts w:cs="Times New Roman"/>
          <w:szCs w:val="24"/>
        </w:rPr>
        <w:t xml:space="preserve"> </w:t>
      </w:r>
      <w:r w:rsidRPr="00FA38B2">
        <w:rPr>
          <w:rFonts w:cs="Times New Roman"/>
          <w:szCs w:val="24"/>
        </w:rPr>
        <w:t xml:space="preserve">TN Promise/Reconnect, HOPE Scholarship, Pell Grant, </w:t>
      </w:r>
      <w:r w:rsidR="008B5730" w:rsidRPr="00FA38B2">
        <w:rPr>
          <w:rFonts w:cs="Times New Roman"/>
          <w:szCs w:val="24"/>
        </w:rPr>
        <w:t xml:space="preserve">64% of TCAT students </w:t>
      </w:r>
      <w:r w:rsidRPr="00FA38B2">
        <w:rPr>
          <w:rFonts w:cs="Times New Roman"/>
          <w:szCs w:val="24"/>
        </w:rPr>
        <w:t>did not apply for financial aid through the Free Application for F</w:t>
      </w:r>
      <w:r w:rsidR="00C2341B" w:rsidRPr="00FA38B2">
        <w:rPr>
          <w:rFonts w:cs="Times New Roman"/>
          <w:szCs w:val="24"/>
        </w:rPr>
        <w:t>ederal Student Aid (FAFSA; Carru</w:t>
      </w:r>
      <w:r w:rsidRPr="00FA38B2">
        <w:rPr>
          <w:rFonts w:cs="Times New Roman"/>
          <w:szCs w:val="24"/>
        </w:rPr>
        <w:t>thers &amp; Welch, 2020). Findings from their analysis point</w:t>
      </w:r>
      <w:r w:rsidR="009D3B5C" w:rsidRPr="00FA38B2">
        <w:rPr>
          <w:rFonts w:cs="Times New Roman"/>
          <w:szCs w:val="24"/>
        </w:rPr>
        <w:t>ed</w:t>
      </w:r>
      <w:r w:rsidRPr="00FA38B2">
        <w:rPr>
          <w:rFonts w:cs="Times New Roman"/>
          <w:szCs w:val="24"/>
        </w:rPr>
        <w:t xml:space="preserve"> to the potential for students pursuing a postsecondary CTE credential to benefit from the existing free-college policies in the state. </w:t>
      </w:r>
    </w:p>
    <w:p w14:paraId="7623CAE9" w14:textId="1AE50726" w:rsidR="00827F97" w:rsidRPr="00FA38B2" w:rsidRDefault="00C34813" w:rsidP="0015321A">
      <w:pPr>
        <w:ind w:firstLine="720"/>
        <w:rPr>
          <w:rFonts w:cs="Times New Roman"/>
          <w:szCs w:val="24"/>
        </w:rPr>
      </w:pPr>
      <w:r w:rsidRPr="00FA38B2">
        <w:rPr>
          <w:rFonts w:cs="Times New Roman"/>
          <w:szCs w:val="24"/>
        </w:rPr>
        <w:t xml:space="preserve">Statewide promise programs like TN Promise are becoming more common in the United States. While existing literature on the program is promising, </w:t>
      </w:r>
      <w:r w:rsidR="00582E33" w:rsidRPr="00FA38B2">
        <w:rPr>
          <w:rFonts w:cs="Times New Roman"/>
          <w:szCs w:val="24"/>
        </w:rPr>
        <w:t>more analyses are</w:t>
      </w:r>
      <w:r w:rsidRPr="00FA38B2">
        <w:rPr>
          <w:rFonts w:cs="Times New Roman"/>
          <w:szCs w:val="24"/>
        </w:rPr>
        <w:t xml:space="preserve"> warranted. Further, researchers must determine how </w:t>
      </w:r>
      <w:r w:rsidR="008B5730" w:rsidRPr="00FA38B2">
        <w:rPr>
          <w:rFonts w:cs="Times New Roman"/>
          <w:szCs w:val="24"/>
        </w:rPr>
        <w:t>statewide promise programs align</w:t>
      </w:r>
      <w:r w:rsidRPr="00FA38B2">
        <w:rPr>
          <w:rFonts w:cs="Times New Roman"/>
          <w:szCs w:val="24"/>
        </w:rPr>
        <w:t xml:space="preserve"> with federal policy focuses, such as Perkins V</w:t>
      </w:r>
      <w:r w:rsidR="0033702F" w:rsidRPr="00FA38B2">
        <w:rPr>
          <w:rFonts w:cs="Times New Roman"/>
          <w:szCs w:val="24"/>
        </w:rPr>
        <w:t>,</w:t>
      </w:r>
      <w:r w:rsidR="008B5730" w:rsidRPr="00FA38B2">
        <w:rPr>
          <w:rFonts w:cs="Times New Roman"/>
          <w:szCs w:val="24"/>
        </w:rPr>
        <w:t xml:space="preserve"> and</w:t>
      </w:r>
      <w:r w:rsidR="0033702F" w:rsidRPr="00FA38B2">
        <w:rPr>
          <w:rFonts w:cs="Times New Roman"/>
          <w:szCs w:val="24"/>
        </w:rPr>
        <w:t xml:space="preserve"> with</w:t>
      </w:r>
      <w:r w:rsidR="008B5730" w:rsidRPr="00FA38B2">
        <w:rPr>
          <w:rFonts w:cs="Times New Roman"/>
          <w:szCs w:val="24"/>
        </w:rPr>
        <w:t xml:space="preserve"> the national emphasis on improving </w:t>
      </w:r>
      <w:r w:rsidRPr="00FA38B2">
        <w:rPr>
          <w:rFonts w:cs="Times New Roman"/>
          <w:szCs w:val="24"/>
        </w:rPr>
        <w:t xml:space="preserve">access </w:t>
      </w:r>
      <w:r w:rsidR="008B5730" w:rsidRPr="00FA38B2">
        <w:rPr>
          <w:rFonts w:cs="Times New Roman"/>
          <w:szCs w:val="24"/>
        </w:rPr>
        <w:t>and participation in</w:t>
      </w:r>
      <w:r w:rsidRPr="00FA38B2">
        <w:rPr>
          <w:rFonts w:cs="Times New Roman"/>
          <w:szCs w:val="24"/>
        </w:rPr>
        <w:t xml:space="preserve"> postsecondary CTE programs. </w:t>
      </w:r>
      <w:r w:rsidR="008B5730" w:rsidRPr="00FA38B2">
        <w:rPr>
          <w:rFonts w:cs="Times New Roman"/>
          <w:szCs w:val="24"/>
        </w:rPr>
        <w:t>Thus, t</w:t>
      </w:r>
      <w:r w:rsidR="00827F97" w:rsidRPr="00FA38B2">
        <w:rPr>
          <w:rFonts w:cs="Times New Roman"/>
          <w:szCs w:val="24"/>
        </w:rPr>
        <w:t xml:space="preserve">his study </w:t>
      </w:r>
      <w:r w:rsidR="008B5730" w:rsidRPr="00FA38B2">
        <w:rPr>
          <w:rFonts w:cs="Times New Roman"/>
          <w:szCs w:val="24"/>
        </w:rPr>
        <w:t xml:space="preserve">expands on existing postsecondary CTE and TN Promise research by </w:t>
      </w:r>
      <w:r w:rsidR="00827F97" w:rsidRPr="00FA38B2">
        <w:rPr>
          <w:rFonts w:cs="Times New Roman"/>
          <w:szCs w:val="24"/>
        </w:rPr>
        <w:t>leverag</w:t>
      </w:r>
      <w:r w:rsidR="008B5730" w:rsidRPr="00FA38B2">
        <w:rPr>
          <w:rFonts w:cs="Times New Roman"/>
          <w:szCs w:val="24"/>
        </w:rPr>
        <w:t>ing</w:t>
      </w:r>
      <w:r w:rsidR="00827F97" w:rsidRPr="00FA38B2">
        <w:rPr>
          <w:rFonts w:cs="Times New Roman"/>
          <w:szCs w:val="24"/>
        </w:rPr>
        <w:t xml:space="preserve"> data available through the Perkins data portal to explore the causal effect of TN Promise specifically on postsecondary CTE program enrollment. </w:t>
      </w:r>
    </w:p>
    <w:p w14:paraId="562C382A" w14:textId="77777777" w:rsidR="00827F97" w:rsidRPr="00FA38B2" w:rsidRDefault="00827F97" w:rsidP="0015321A">
      <w:pPr>
        <w:pStyle w:val="Heading2"/>
        <w:jc w:val="center"/>
        <w:rPr>
          <w:rFonts w:cs="Times New Roman"/>
          <w:szCs w:val="24"/>
        </w:rPr>
      </w:pPr>
      <w:bookmarkStart w:id="43" w:name="_Toc70181503"/>
      <w:r w:rsidRPr="00FA38B2">
        <w:rPr>
          <w:rFonts w:cs="Times New Roman"/>
          <w:szCs w:val="24"/>
        </w:rPr>
        <w:t>Theoretical Framework</w:t>
      </w:r>
      <w:bookmarkEnd w:id="43"/>
    </w:p>
    <w:p w14:paraId="1129B78C" w14:textId="3F5957F0" w:rsidR="00985186" w:rsidRPr="00FA38B2" w:rsidRDefault="00827F97" w:rsidP="0015321A">
      <w:pPr>
        <w:ind w:firstLine="720"/>
        <w:rPr>
          <w:rFonts w:cs="Times New Roman"/>
          <w:szCs w:val="24"/>
        </w:rPr>
      </w:pPr>
      <w:proofErr w:type="spellStart"/>
      <w:r w:rsidRPr="00FA38B2">
        <w:rPr>
          <w:rFonts w:cs="Times New Roman"/>
          <w:szCs w:val="24"/>
        </w:rPr>
        <w:t>Perna’s</w:t>
      </w:r>
      <w:proofErr w:type="spellEnd"/>
      <w:r w:rsidRPr="00FA38B2">
        <w:rPr>
          <w:rFonts w:cs="Times New Roman"/>
          <w:szCs w:val="24"/>
        </w:rPr>
        <w:t xml:space="preserve"> (2006) conceptual model for college choice serve</w:t>
      </w:r>
      <w:r w:rsidR="009D3B5C" w:rsidRPr="00FA38B2">
        <w:rPr>
          <w:rFonts w:cs="Times New Roman"/>
          <w:szCs w:val="24"/>
        </w:rPr>
        <w:t>d</w:t>
      </w:r>
      <w:r w:rsidRPr="00FA38B2">
        <w:rPr>
          <w:rFonts w:cs="Times New Roman"/>
          <w:szCs w:val="24"/>
        </w:rPr>
        <w:t xml:space="preserve"> as the guiding theory for this study. </w:t>
      </w:r>
      <w:r w:rsidR="009D3B5C" w:rsidRPr="00FA38B2">
        <w:rPr>
          <w:rFonts w:cs="Times New Roman"/>
          <w:szCs w:val="24"/>
        </w:rPr>
        <w:t>She</w:t>
      </w:r>
      <w:r w:rsidRPr="00FA38B2">
        <w:rPr>
          <w:rFonts w:cs="Times New Roman"/>
          <w:szCs w:val="24"/>
        </w:rPr>
        <w:t xml:space="preserve"> proposed that college choices are shaped by four layers. Layer one represents habitus, or the belief in what one can achieve based on their socioeconomic and demographic </w:t>
      </w:r>
      <w:r w:rsidRPr="00FA38B2">
        <w:rPr>
          <w:rFonts w:cs="Times New Roman"/>
          <w:szCs w:val="24"/>
        </w:rPr>
        <w:lastRenderedPageBreak/>
        <w:t xml:space="preserve">characteristics, as well as other factors such as institutionalized racism and oppression (Bourdieu, 1984; </w:t>
      </w:r>
      <w:proofErr w:type="spellStart"/>
      <w:r w:rsidRPr="00FA38B2">
        <w:rPr>
          <w:rFonts w:cs="Times New Roman"/>
          <w:szCs w:val="24"/>
        </w:rPr>
        <w:t>Luedke</w:t>
      </w:r>
      <w:proofErr w:type="spellEnd"/>
      <w:r w:rsidRPr="00FA38B2">
        <w:rPr>
          <w:rFonts w:cs="Times New Roman"/>
          <w:szCs w:val="24"/>
        </w:rPr>
        <w:t xml:space="preserve"> et al., 2019). Layer two is the school and community context. This layer reflects “the ways in which social structures and resources facilitate or impede college choice” (</w:t>
      </w:r>
      <w:proofErr w:type="spellStart"/>
      <w:r w:rsidRPr="00FA38B2">
        <w:rPr>
          <w:rFonts w:cs="Times New Roman"/>
          <w:szCs w:val="24"/>
        </w:rPr>
        <w:t>Perna</w:t>
      </w:r>
      <w:proofErr w:type="spellEnd"/>
      <w:r w:rsidRPr="00FA38B2">
        <w:rPr>
          <w:rFonts w:cs="Times New Roman"/>
          <w:szCs w:val="24"/>
        </w:rPr>
        <w:t>, 2006, p.177). Layer three is the higher education context and reflects the role postsecondary education institutions have in college choice through marketing and admission practices</w:t>
      </w:r>
      <w:r w:rsidR="00130348" w:rsidRPr="00FA38B2">
        <w:rPr>
          <w:rFonts w:cs="Times New Roman"/>
          <w:szCs w:val="24"/>
        </w:rPr>
        <w:t xml:space="preserve">. </w:t>
      </w:r>
      <w:r w:rsidRPr="00FA38B2">
        <w:rPr>
          <w:rFonts w:cs="Times New Roman"/>
          <w:szCs w:val="24"/>
        </w:rPr>
        <w:t xml:space="preserve">Lastly, layer four reflects the macro-level effects on college choice due to social forces, economic conditions, and public policies. </w:t>
      </w:r>
    </w:p>
    <w:p w14:paraId="6258CE4C" w14:textId="2DE4F81E" w:rsidR="00827F97" w:rsidRPr="00FA38B2" w:rsidRDefault="00086FF1" w:rsidP="0015321A">
      <w:pPr>
        <w:ind w:firstLine="720"/>
        <w:rPr>
          <w:rFonts w:cs="Times New Roman"/>
          <w:szCs w:val="24"/>
        </w:rPr>
      </w:pPr>
      <w:r w:rsidRPr="00FA38B2">
        <w:rPr>
          <w:rFonts w:cs="Times New Roman"/>
          <w:szCs w:val="24"/>
        </w:rPr>
        <w:t xml:space="preserve">Due </w:t>
      </w:r>
      <w:r w:rsidR="00E97879">
        <w:rPr>
          <w:rFonts w:cs="Times New Roman"/>
          <w:szCs w:val="24"/>
        </w:rPr>
        <w:t>to currently</w:t>
      </w:r>
      <w:r w:rsidR="00985186" w:rsidRPr="00FA38B2">
        <w:rPr>
          <w:rFonts w:cs="Times New Roman"/>
          <w:szCs w:val="24"/>
        </w:rPr>
        <w:t xml:space="preserve"> </w:t>
      </w:r>
      <w:r w:rsidRPr="00FA38B2">
        <w:rPr>
          <w:rFonts w:cs="Times New Roman"/>
          <w:szCs w:val="24"/>
        </w:rPr>
        <w:t xml:space="preserve">available data, </w:t>
      </w:r>
      <w:r w:rsidR="00030DF1" w:rsidRPr="00FA38B2">
        <w:rPr>
          <w:rFonts w:cs="Times New Roman"/>
          <w:szCs w:val="24"/>
        </w:rPr>
        <w:t xml:space="preserve">the </w:t>
      </w:r>
      <w:r w:rsidRPr="00FA38B2">
        <w:rPr>
          <w:rFonts w:cs="Times New Roman"/>
          <w:szCs w:val="24"/>
        </w:rPr>
        <w:t xml:space="preserve">analysis in this study </w:t>
      </w:r>
      <w:r w:rsidR="00030DF1" w:rsidRPr="00FA38B2">
        <w:rPr>
          <w:rFonts w:cs="Times New Roman"/>
          <w:szCs w:val="24"/>
        </w:rPr>
        <w:t>centered</w:t>
      </w:r>
      <w:r w:rsidRPr="00FA38B2">
        <w:rPr>
          <w:rFonts w:cs="Times New Roman"/>
          <w:szCs w:val="24"/>
        </w:rPr>
        <w:t xml:space="preserve"> on</w:t>
      </w:r>
      <w:r w:rsidR="00827F97" w:rsidRPr="00FA38B2">
        <w:rPr>
          <w:rFonts w:cs="Times New Roman"/>
          <w:szCs w:val="24"/>
        </w:rPr>
        <w:t xml:space="preserve"> the effect of a public policy (</w:t>
      </w:r>
      <w:r w:rsidR="005F40A1" w:rsidRPr="00FA38B2">
        <w:rPr>
          <w:rFonts w:cs="Times New Roman"/>
          <w:szCs w:val="24"/>
        </w:rPr>
        <w:t xml:space="preserve">TN </w:t>
      </w:r>
      <w:r w:rsidR="00827F97" w:rsidRPr="00FA38B2">
        <w:rPr>
          <w:rFonts w:cs="Times New Roman"/>
          <w:szCs w:val="24"/>
        </w:rPr>
        <w:t xml:space="preserve">Promise) on enrollment in postsecondary </w:t>
      </w:r>
      <w:r w:rsidR="005F40A1" w:rsidRPr="00FA38B2">
        <w:rPr>
          <w:rFonts w:cs="Times New Roman"/>
          <w:szCs w:val="24"/>
        </w:rPr>
        <w:t>CTE</w:t>
      </w:r>
      <w:r w:rsidR="00827F97" w:rsidRPr="00FA38B2">
        <w:rPr>
          <w:rFonts w:cs="Times New Roman"/>
          <w:szCs w:val="24"/>
        </w:rPr>
        <w:t xml:space="preserve"> programs.</w:t>
      </w:r>
      <w:r w:rsidR="004D4BBF" w:rsidRPr="00FA38B2">
        <w:rPr>
          <w:rFonts w:cs="Times New Roman"/>
          <w:szCs w:val="24"/>
        </w:rPr>
        <w:t xml:space="preserve"> </w:t>
      </w:r>
      <w:r w:rsidRPr="00FA38B2">
        <w:rPr>
          <w:rFonts w:cs="Times New Roman"/>
          <w:szCs w:val="24"/>
        </w:rPr>
        <w:t xml:space="preserve">However, </w:t>
      </w:r>
      <w:proofErr w:type="spellStart"/>
      <w:r w:rsidRPr="00FA38B2">
        <w:rPr>
          <w:rFonts w:cs="Times New Roman"/>
          <w:szCs w:val="24"/>
        </w:rPr>
        <w:t>Perna’s</w:t>
      </w:r>
      <w:proofErr w:type="spellEnd"/>
      <w:r w:rsidRPr="00FA38B2">
        <w:rPr>
          <w:rFonts w:cs="Times New Roman"/>
          <w:szCs w:val="24"/>
        </w:rPr>
        <w:t xml:space="preserve"> (2006) theory </w:t>
      </w:r>
      <w:r w:rsidR="00030DF1" w:rsidRPr="00FA38B2">
        <w:rPr>
          <w:rFonts w:cs="Times New Roman"/>
          <w:szCs w:val="24"/>
        </w:rPr>
        <w:t>informed the</w:t>
      </w:r>
      <w:r w:rsidRPr="00FA38B2">
        <w:rPr>
          <w:rFonts w:cs="Times New Roman"/>
          <w:szCs w:val="24"/>
        </w:rPr>
        <w:t xml:space="preserve"> discussion</w:t>
      </w:r>
      <w:r w:rsidR="00AD054C" w:rsidRPr="00FA38B2">
        <w:rPr>
          <w:rFonts w:cs="Times New Roman"/>
          <w:szCs w:val="24"/>
        </w:rPr>
        <w:t xml:space="preserve"> section</w:t>
      </w:r>
      <w:r w:rsidR="00030DF1" w:rsidRPr="00FA38B2">
        <w:rPr>
          <w:rFonts w:cs="Times New Roman"/>
          <w:szCs w:val="24"/>
        </w:rPr>
        <w:t xml:space="preserve"> of this manuscript</w:t>
      </w:r>
      <w:r w:rsidRPr="00FA38B2">
        <w:rPr>
          <w:rFonts w:cs="Times New Roman"/>
          <w:szCs w:val="24"/>
        </w:rPr>
        <w:t xml:space="preserve">. Particularly, </w:t>
      </w:r>
      <w:r w:rsidR="00AD054C" w:rsidRPr="00FA38B2">
        <w:rPr>
          <w:rFonts w:cs="Times New Roman"/>
          <w:szCs w:val="24"/>
        </w:rPr>
        <w:t xml:space="preserve">her theory </w:t>
      </w:r>
      <w:r w:rsidRPr="00FA38B2">
        <w:rPr>
          <w:rFonts w:cs="Times New Roman"/>
          <w:szCs w:val="24"/>
        </w:rPr>
        <w:t xml:space="preserve">informed </w:t>
      </w:r>
      <w:r w:rsidR="00985186" w:rsidRPr="00FA38B2">
        <w:rPr>
          <w:rFonts w:cs="Times New Roman"/>
          <w:szCs w:val="24"/>
        </w:rPr>
        <w:t>the</w:t>
      </w:r>
      <w:r w:rsidRPr="00FA38B2">
        <w:rPr>
          <w:rFonts w:cs="Times New Roman"/>
          <w:szCs w:val="24"/>
        </w:rPr>
        <w:t xml:space="preserve"> discussion</w:t>
      </w:r>
      <w:r w:rsidR="00030DF1" w:rsidRPr="00FA38B2">
        <w:rPr>
          <w:rFonts w:cs="Times New Roman"/>
          <w:szCs w:val="24"/>
        </w:rPr>
        <w:t xml:space="preserve"> around</w:t>
      </w:r>
      <w:r w:rsidRPr="00FA38B2">
        <w:rPr>
          <w:rFonts w:cs="Times New Roman"/>
          <w:szCs w:val="24"/>
        </w:rPr>
        <w:t xml:space="preserve"> why TN Promise may increase enrollment for certain groups of students</w:t>
      </w:r>
      <w:r w:rsidR="003773F6" w:rsidRPr="00FA38B2">
        <w:rPr>
          <w:rFonts w:cs="Times New Roman"/>
          <w:szCs w:val="24"/>
        </w:rPr>
        <w:t>, programs, or institutions,</w:t>
      </w:r>
      <w:r w:rsidRPr="00FA38B2">
        <w:rPr>
          <w:rFonts w:cs="Times New Roman"/>
          <w:szCs w:val="24"/>
        </w:rPr>
        <w:t xml:space="preserve"> and have little to no effect </w:t>
      </w:r>
      <w:r w:rsidR="003773F6" w:rsidRPr="00FA38B2">
        <w:rPr>
          <w:rFonts w:cs="Times New Roman"/>
          <w:szCs w:val="24"/>
        </w:rPr>
        <w:t>elsewhere</w:t>
      </w:r>
      <w:r w:rsidRPr="00FA38B2">
        <w:rPr>
          <w:rFonts w:cs="Times New Roman"/>
          <w:szCs w:val="24"/>
        </w:rPr>
        <w:t xml:space="preserve">. </w:t>
      </w:r>
    </w:p>
    <w:p w14:paraId="5639FEDF" w14:textId="77777777" w:rsidR="00827F97" w:rsidRPr="00FA38B2" w:rsidRDefault="00827F97" w:rsidP="0015321A">
      <w:pPr>
        <w:pStyle w:val="Heading2"/>
        <w:jc w:val="center"/>
        <w:rPr>
          <w:rFonts w:cs="Times New Roman"/>
          <w:szCs w:val="24"/>
        </w:rPr>
      </w:pPr>
      <w:bookmarkStart w:id="44" w:name="_Toc70181504"/>
      <w:r w:rsidRPr="00FA38B2">
        <w:rPr>
          <w:rFonts w:cs="Times New Roman"/>
          <w:szCs w:val="24"/>
        </w:rPr>
        <w:t>Methods</w:t>
      </w:r>
      <w:bookmarkEnd w:id="44"/>
    </w:p>
    <w:p w14:paraId="506013C1" w14:textId="3120F0C1" w:rsidR="00030DF1" w:rsidRPr="00FA38B2" w:rsidRDefault="00100978" w:rsidP="0015321A">
      <w:pPr>
        <w:ind w:firstLine="720"/>
        <w:rPr>
          <w:rFonts w:cs="Times New Roman"/>
          <w:szCs w:val="24"/>
        </w:rPr>
      </w:pPr>
      <w:r w:rsidRPr="00FA38B2">
        <w:rPr>
          <w:rFonts w:cs="Times New Roman"/>
          <w:szCs w:val="24"/>
        </w:rPr>
        <w:t>In this study I leveraged a natural policy experiment to explore the causal effect of TN Promise on CTE program enrollment. In t</w:t>
      </w:r>
      <w:r w:rsidR="001C4F7E">
        <w:rPr>
          <w:rFonts w:cs="Times New Roman"/>
          <w:szCs w:val="24"/>
        </w:rPr>
        <w:t>he following section, I explain</w:t>
      </w:r>
      <w:r w:rsidRPr="00FA38B2">
        <w:rPr>
          <w:rFonts w:cs="Times New Roman"/>
          <w:szCs w:val="24"/>
        </w:rPr>
        <w:t xml:space="preserve"> the methods for this study, including the study data, analytic framework, limitations, and results. </w:t>
      </w:r>
      <w:r w:rsidR="00030DF1" w:rsidRPr="00FA38B2">
        <w:rPr>
          <w:rFonts w:cs="Times New Roman"/>
          <w:szCs w:val="24"/>
        </w:rPr>
        <w:t xml:space="preserve">The guiding research question for this study was: </w:t>
      </w:r>
      <w:r w:rsidR="00030DF1" w:rsidRPr="00FA38B2">
        <w:rPr>
          <w:rFonts w:cs="Times New Roman"/>
          <w:i/>
          <w:szCs w:val="24"/>
        </w:rPr>
        <w:t>What effect did the implementation of Tennessee Promise have on postsecondary CTE program enrollment in Tennessee?</w:t>
      </w:r>
      <w:r w:rsidR="00030DF1" w:rsidRPr="00FA38B2">
        <w:rPr>
          <w:rFonts w:cs="Times New Roman"/>
          <w:szCs w:val="24"/>
        </w:rPr>
        <w:t xml:space="preserve"> </w:t>
      </w:r>
    </w:p>
    <w:p w14:paraId="09F3921F" w14:textId="248BC5E6" w:rsidR="00827F97" w:rsidRPr="00FA38B2" w:rsidRDefault="00827F97" w:rsidP="0015321A">
      <w:pPr>
        <w:rPr>
          <w:rFonts w:cs="Times New Roman"/>
          <w:b/>
          <w:szCs w:val="24"/>
        </w:rPr>
      </w:pPr>
      <w:r w:rsidRPr="00FA38B2">
        <w:rPr>
          <w:rFonts w:cs="Times New Roman"/>
          <w:b/>
          <w:szCs w:val="24"/>
        </w:rPr>
        <w:t>Data</w:t>
      </w:r>
    </w:p>
    <w:p w14:paraId="60397252" w14:textId="7D8AE2A3" w:rsidR="00827F97" w:rsidRPr="00FA38B2" w:rsidRDefault="00827F97" w:rsidP="0015321A">
      <w:pPr>
        <w:ind w:firstLine="720"/>
        <w:rPr>
          <w:rFonts w:cs="Times New Roman"/>
          <w:szCs w:val="24"/>
        </w:rPr>
      </w:pPr>
      <w:r w:rsidRPr="00FA38B2">
        <w:rPr>
          <w:rFonts w:cs="Times New Roman"/>
          <w:szCs w:val="24"/>
        </w:rPr>
        <w:t xml:space="preserve">State level panel data were gathered from the Consolidated Annual Report (CAR) from the U.S. Department of Education/Office of Career, Technical, and Adult Education (2020), which compiles state reported data required by the Perkins Act on CTE enrollment and </w:t>
      </w:r>
      <w:r w:rsidRPr="00FA38B2">
        <w:rPr>
          <w:rFonts w:cs="Times New Roman"/>
          <w:szCs w:val="24"/>
        </w:rPr>
        <w:lastRenderedPageBreak/>
        <w:t>performance and is available through the Perkins data web portal</w:t>
      </w:r>
      <w:r w:rsidRPr="00FA38B2">
        <w:rPr>
          <w:rStyle w:val="FootnoteReference"/>
          <w:rFonts w:cs="Times New Roman"/>
          <w:szCs w:val="24"/>
        </w:rPr>
        <w:footnoteReference w:id="4"/>
      </w:r>
      <w:r w:rsidRPr="00FA38B2">
        <w:rPr>
          <w:rFonts w:cs="Times New Roman"/>
          <w:szCs w:val="24"/>
        </w:rPr>
        <w:t xml:space="preserve">. Data on postsecondary CTE enrollment in the United States between 2011 to 2018 were analyzed in this study. </w:t>
      </w:r>
      <w:r w:rsidR="003A16BF" w:rsidRPr="00FA38B2">
        <w:rPr>
          <w:rFonts w:cs="Times New Roman"/>
          <w:szCs w:val="24"/>
        </w:rPr>
        <w:t xml:space="preserve">State median income data for the same timeframe were also gathered from the United States Census Bureau.  </w:t>
      </w:r>
      <w:r w:rsidRPr="00FA38B2">
        <w:rPr>
          <w:rFonts w:cs="Times New Roman"/>
          <w:szCs w:val="24"/>
        </w:rPr>
        <w:t xml:space="preserve">Cases prior to 2011 and data from non-state territories were deleted due to high levels of missing data. </w:t>
      </w:r>
    </w:p>
    <w:p w14:paraId="6B4CF260" w14:textId="5998293F" w:rsidR="006465BF" w:rsidRPr="00FA38B2" w:rsidRDefault="00827F97" w:rsidP="006465BF">
      <w:pPr>
        <w:ind w:firstLine="720"/>
        <w:rPr>
          <w:rFonts w:cs="Times New Roman"/>
          <w:szCs w:val="24"/>
        </w:rPr>
      </w:pPr>
      <w:r w:rsidRPr="00FA38B2">
        <w:rPr>
          <w:rFonts w:cs="Times New Roman"/>
          <w:szCs w:val="24"/>
        </w:rPr>
        <w:t>Two control samples were used in this study. For the national control sample, I excluded four states which enacted some variant of a large-scale college promise program in the timeframe of this study: Oregon, Minnesota, Kentucky, and Rhode Island (Nguyen, 2020). The final national sample included 46 states over an eight-year period, for a total of 368 cases (state-year). For the contiguous</w:t>
      </w:r>
      <w:r w:rsidR="001C4F7E">
        <w:rPr>
          <w:rFonts w:cs="Times New Roman"/>
          <w:szCs w:val="24"/>
        </w:rPr>
        <w:t xml:space="preserve"> </w:t>
      </w:r>
      <w:r w:rsidRPr="00FA38B2">
        <w:rPr>
          <w:rFonts w:cs="Times New Roman"/>
          <w:szCs w:val="24"/>
        </w:rPr>
        <w:t>state sample, I included Alabama, Georgia, Missouri, Mississippi, North</w:t>
      </w:r>
      <w:r w:rsidR="00170228" w:rsidRPr="00FA38B2">
        <w:rPr>
          <w:rFonts w:cs="Times New Roman"/>
          <w:szCs w:val="24"/>
        </w:rPr>
        <w:t xml:space="preserve"> </w:t>
      </w:r>
      <w:r w:rsidRPr="00FA38B2">
        <w:rPr>
          <w:rFonts w:cs="Times New Roman"/>
          <w:szCs w:val="24"/>
        </w:rPr>
        <w:t>Carolina, and Virginia</w:t>
      </w:r>
      <w:r w:rsidR="00C2341B" w:rsidRPr="00FA38B2">
        <w:rPr>
          <w:rFonts w:cs="Times New Roman"/>
          <w:szCs w:val="24"/>
        </w:rPr>
        <w:t>. I</w:t>
      </w:r>
      <w:r w:rsidR="001C4F7E">
        <w:rPr>
          <w:rFonts w:cs="Times New Roman"/>
          <w:szCs w:val="24"/>
        </w:rPr>
        <w:t xml:space="preserve"> excluded the one contiguous </w:t>
      </w:r>
      <w:r w:rsidRPr="00FA38B2">
        <w:rPr>
          <w:rFonts w:cs="Times New Roman"/>
          <w:szCs w:val="24"/>
        </w:rPr>
        <w:t xml:space="preserve">state with a large-scale promise program, Kentucky. Summary statistics are </w:t>
      </w:r>
      <w:r w:rsidR="006465BF" w:rsidRPr="00FA38B2">
        <w:rPr>
          <w:rFonts w:cs="Times New Roman"/>
          <w:szCs w:val="24"/>
        </w:rPr>
        <w:t>provided in tables 3, 4, and 5</w:t>
      </w:r>
      <w:r w:rsidRPr="00FA38B2">
        <w:rPr>
          <w:rFonts w:cs="Times New Roman"/>
          <w:szCs w:val="24"/>
        </w:rPr>
        <w:t xml:space="preserve">. </w:t>
      </w:r>
    </w:p>
    <w:p w14:paraId="2FB5589B" w14:textId="71A09CDF" w:rsidR="00505A76" w:rsidRDefault="00505A76">
      <w:pPr>
        <w:rPr>
          <w:rFonts w:cs="Times New Roman"/>
          <w:b/>
          <w:szCs w:val="24"/>
        </w:rPr>
      </w:pPr>
      <w:r>
        <w:rPr>
          <w:rFonts w:cs="Times New Roman"/>
          <w:b/>
          <w:szCs w:val="24"/>
        </w:rPr>
        <w:br w:type="page"/>
      </w:r>
    </w:p>
    <w:p w14:paraId="3601A587" w14:textId="43DE7C71" w:rsidR="00827F97" w:rsidRPr="00FA38B2" w:rsidRDefault="00505A76" w:rsidP="00505A76">
      <w:pPr>
        <w:pStyle w:val="Caption"/>
        <w:rPr>
          <w:rFonts w:cs="Times New Roman"/>
          <w:i/>
          <w:szCs w:val="24"/>
        </w:rPr>
      </w:pPr>
      <w:bookmarkStart w:id="45" w:name="_Toc70181518"/>
      <w:r>
        <w:lastRenderedPageBreak/>
        <w:t xml:space="preserve">Table </w:t>
      </w:r>
      <w:fldSimple w:instr=" SEQ Table \* ARABIC ">
        <w:r w:rsidR="00E33EF5">
          <w:rPr>
            <w:noProof/>
          </w:rPr>
          <w:t>3</w:t>
        </w:r>
      </w:fldSimple>
      <w:r>
        <w:t>: Summary Statistics Non-Tennessee CTE Enrollment</w:t>
      </w:r>
      <w:r w:rsidR="00C067C2" w:rsidRPr="00FA38B2">
        <w:rPr>
          <w:rFonts w:cs="Times New Roman"/>
          <w:noProof/>
          <w:szCs w:val="24"/>
        </w:rPr>
        <w:drawing>
          <wp:anchor distT="0" distB="0" distL="114300" distR="114300" simplePos="0" relativeHeight="251677696" behindDoc="0" locked="0" layoutInCell="1" allowOverlap="1" wp14:anchorId="3FCE879C" wp14:editId="0A4576CC">
            <wp:simplePos x="0" y="0"/>
            <wp:positionH relativeFrom="column">
              <wp:posOffset>0</wp:posOffset>
            </wp:positionH>
            <wp:positionV relativeFrom="paragraph">
              <wp:posOffset>237932</wp:posOffset>
            </wp:positionV>
            <wp:extent cx="3685594" cy="1574358"/>
            <wp:effectExtent l="0" t="0" r="0" b="6985"/>
            <wp:wrapTopAndBottom/>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extLst>
                        <a:ext uri="{28A0092B-C50C-407E-A947-70E740481C1C}">
                          <a14:useLocalDpi xmlns:a14="http://schemas.microsoft.com/office/drawing/2010/main" val="0"/>
                        </a:ext>
                      </a:extLst>
                    </a:blip>
                    <a:stretch>
                      <a:fillRect/>
                    </a:stretch>
                  </pic:blipFill>
                  <pic:spPr>
                    <a:xfrm>
                      <a:off x="0" y="0"/>
                      <a:ext cx="3685594" cy="1574358"/>
                    </a:xfrm>
                    <a:prstGeom prst="rect">
                      <a:avLst/>
                    </a:prstGeom>
                  </pic:spPr>
                </pic:pic>
              </a:graphicData>
            </a:graphic>
          </wp:anchor>
        </w:drawing>
      </w:r>
      <w:bookmarkEnd w:id="45"/>
    </w:p>
    <w:p w14:paraId="513B15F4" w14:textId="77777777" w:rsidR="00505A76" w:rsidRDefault="00505A76" w:rsidP="00505A76">
      <w:pPr>
        <w:pStyle w:val="Caption"/>
      </w:pPr>
    </w:p>
    <w:p w14:paraId="3E6483A0" w14:textId="77777777" w:rsidR="00505A76" w:rsidRDefault="00505A76" w:rsidP="00505A76">
      <w:pPr>
        <w:pStyle w:val="Caption"/>
      </w:pPr>
    </w:p>
    <w:p w14:paraId="5B81CF6F" w14:textId="6D8A05BF" w:rsidR="00505A76" w:rsidRDefault="00505A76" w:rsidP="00505A76">
      <w:pPr>
        <w:pStyle w:val="Caption"/>
        <w:rPr>
          <w:rFonts w:cs="Times New Roman"/>
          <w:b/>
          <w:szCs w:val="24"/>
        </w:rPr>
      </w:pPr>
      <w:bookmarkStart w:id="46" w:name="_Toc70181519"/>
      <w:r>
        <w:t xml:space="preserve">Table </w:t>
      </w:r>
      <w:fldSimple w:instr=" SEQ Table \* ARABIC ">
        <w:r w:rsidR="00E33EF5">
          <w:rPr>
            <w:noProof/>
          </w:rPr>
          <w:t>4</w:t>
        </w:r>
      </w:fldSimple>
      <w:r>
        <w:t>: Summary Statistics Contiguous States CTE Enrollment</w:t>
      </w:r>
      <w:r w:rsidR="006465BF" w:rsidRPr="00FA38B2">
        <w:rPr>
          <w:rFonts w:cs="Times New Roman"/>
          <w:noProof/>
          <w:szCs w:val="24"/>
        </w:rPr>
        <w:drawing>
          <wp:anchor distT="0" distB="0" distL="114300" distR="114300" simplePos="0" relativeHeight="251676672" behindDoc="0" locked="0" layoutInCell="1" allowOverlap="1" wp14:anchorId="28ECD65F" wp14:editId="632BA7EC">
            <wp:simplePos x="0" y="0"/>
            <wp:positionH relativeFrom="column">
              <wp:posOffset>-127138</wp:posOffset>
            </wp:positionH>
            <wp:positionV relativeFrom="paragraph">
              <wp:posOffset>182880</wp:posOffset>
            </wp:positionV>
            <wp:extent cx="3949700" cy="1637665"/>
            <wp:effectExtent l="0" t="0" r="0" b="635"/>
            <wp:wrapTopAndBottom/>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extLst>
                        <a:ext uri="{28A0092B-C50C-407E-A947-70E740481C1C}">
                          <a14:useLocalDpi xmlns:a14="http://schemas.microsoft.com/office/drawing/2010/main" val="0"/>
                        </a:ext>
                      </a:extLst>
                    </a:blip>
                    <a:stretch>
                      <a:fillRect/>
                    </a:stretch>
                  </pic:blipFill>
                  <pic:spPr>
                    <a:xfrm>
                      <a:off x="0" y="0"/>
                      <a:ext cx="3949700" cy="1637665"/>
                    </a:xfrm>
                    <a:prstGeom prst="rect">
                      <a:avLst/>
                    </a:prstGeom>
                  </pic:spPr>
                </pic:pic>
              </a:graphicData>
            </a:graphic>
          </wp:anchor>
        </w:drawing>
      </w:r>
      <w:bookmarkEnd w:id="46"/>
    </w:p>
    <w:p w14:paraId="27D19E46" w14:textId="637E7C27" w:rsidR="00E33EF5" w:rsidRDefault="00E33EF5" w:rsidP="00505A76">
      <w:pPr>
        <w:pStyle w:val="Caption"/>
      </w:pPr>
    </w:p>
    <w:p w14:paraId="066DCF18" w14:textId="77777777" w:rsidR="00E33EF5" w:rsidRPr="00E33EF5" w:rsidRDefault="00E33EF5" w:rsidP="00E33EF5"/>
    <w:p w14:paraId="733DDFAF" w14:textId="1D0A3EDE" w:rsidR="00C067C2" w:rsidRPr="00505A76" w:rsidRDefault="00E33EF5" w:rsidP="00505A76">
      <w:pPr>
        <w:pStyle w:val="Caption"/>
        <w:rPr>
          <w:rFonts w:cs="Times New Roman"/>
          <w:b/>
          <w:szCs w:val="24"/>
        </w:rPr>
      </w:pPr>
      <w:bookmarkStart w:id="47" w:name="_Toc70181520"/>
      <w:r w:rsidRPr="00FA38B2">
        <w:rPr>
          <w:rFonts w:cs="Times New Roman"/>
          <w:noProof/>
          <w:szCs w:val="24"/>
        </w:rPr>
        <w:drawing>
          <wp:anchor distT="0" distB="0" distL="114300" distR="114300" simplePos="0" relativeHeight="251678720" behindDoc="0" locked="0" layoutInCell="1" allowOverlap="1" wp14:anchorId="5BC3F93B" wp14:editId="2C357E41">
            <wp:simplePos x="0" y="0"/>
            <wp:positionH relativeFrom="column">
              <wp:posOffset>40462</wp:posOffset>
            </wp:positionH>
            <wp:positionV relativeFrom="paragraph">
              <wp:posOffset>207492</wp:posOffset>
            </wp:positionV>
            <wp:extent cx="1917267" cy="1606163"/>
            <wp:effectExtent l="0" t="0" r="6985" b="0"/>
            <wp:wrapTopAndBottom/>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extLst>
                        <a:ext uri="{28A0092B-C50C-407E-A947-70E740481C1C}">
                          <a14:useLocalDpi xmlns:a14="http://schemas.microsoft.com/office/drawing/2010/main" val="0"/>
                        </a:ext>
                      </a:extLst>
                    </a:blip>
                    <a:stretch>
                      <a:fillRect/>
                    </a:stretch>
                  </pic:blipFill>
                  <pic:spPr>
                    <a:xfrm>
                      <a:off x="0" y="0"/>
                      <a:ext cx="1917267" cy="1606163"/>
                    </a:xfrm>
                    <a:prstGeom prst="rect">
                      <a:avLst/>
                    </a:prstGeom>
                  </pic:spPr>
                </pic:pic>
              </a:graphicData>
            </a:graphic>
          </wp:anchor>
        </w:drawing>
      </w:r>
      <w:r w:rsidR="00505A76">
        <w:t xml:space="preserve">Table </w:t>
      </w:r>
      <w:fldSimple w:instr=" SEQ Table \* ARABIC ">
        <w:r>
          <w:rPr>
            <w:noProof/>
          </w:rPr>
          <w:t>5</w:t>
        </w:r>
      </w:fldSimple>
      <w:r w:rsidR="00505A76">
        <w:t>: Summary Statistics Tennessee CTE Enrollment</w:t>
      </w:r>
      <w:bookmarkEnd w:id="47"/>
    </w:p>
    <w:p w14:paraId="6D4A75EB" w14:textId="4794262F" w:rsidR="00505A76" w:rsidRDefault="00505A76">
      <w:pPr>
        <w:rPr>
          <w:rFonts w:cs="Times New Roman"/>
          <w:b/>
          <w:szCs w:val="24"/>
        </w:rPr>
      </w:pPr>
      <w:r>
        <w:rPr>
          <w:rFonts w:cs="Times New Roman"/>
          <w:b/>
          <w:szCs w:val="24"/>
        </w:rPr>
        <w:br w:type="page"/>
      </w:r>
    </w:p>
    <w:p w14:paraId="7837FB77" w14:textId="66693606" w:rsidR="00827F97" w:rsidRPr="00FA38B2" w:rsidRDefault="00827F97" w:rsidP="0015321A">
      <w:pPr>
        <w:rPr>
          <w:rFonts w:cs="Times New Roman"/>
          <w:b/>
          <w:szCs w:val="24"/>
        </w:rPr>
      </w:pPr>
      <w:r w:rsidRPr="00FA38B2">
        <w:rPr>
          <w:rFonts w:cs="Times New Roman"/>
          <w:b/>
          <w:szCs w:val="24"/>
        </w:rPr>
        <w:lastRenderedPageBreak/>
        <w:t xml:space="preserve">Analytic Framework </w:t>
      </w:r>
    </w:p>
    <w:p w14:paraId="16B6F2C1" w14:textId="22265A98" w:rsidR="00827F97" w:rsidRPr="00FA38B2" w:rsidRDefault="00827F97" w:rsidP="0015321A">
      <w:pPr>
        <w:ind w:firstLine="720"/>
        <w:rPr>
          <w:rFonts w:cs="Times New Roman"/>
          <w:szCs w:val="24"/>
        </w:rPr>
      </w:pPr>
      <w:r w:rsidRPr="00FA38B2">
        <w:rPr>
          <w:rFonts w:cs="Times New Roman"/>
          <w:szCs w:val="24"/>
        </w:rPr>
        <w:t>To estimate the causal impact of Tennessee Promise on postsecondary career and technical education enr</w:t>
      </w:r>
      <w:r w:rsidR="00E97879">
        <w:rPr>
          <w:rFonts w:cs="Times New Roman"/>
          <w:szCs w:val="24"/>
        </w:rPr>
        <w:t>ollment I used a standard fixed-</w:t>
      </w:r>
      <w:r w:rsidRPr="00FA38B2">
        <w:rPr>
          <w:rFonts w:cs="Times New Roman"/>
          <w:szCs w:val="24"/>
        </w:rPr>
        <w:t>effects differences-in-differences (</w:t>
      </w:r>
      <w:proofErr w:type="spellStart"/>
      <w:r w:rsidRPr="00FA38B2">
        <w:rPr>
          <w:rFonts w:cs="Times New Roman"/>
          <w:szCs w:val="24"/>
        </w:rPr>
        <w:t>DiD</w:t>
      </w:r>
      <w:proofErr w:type="spellEnd"/>
      <w:r w:rsidRPr="00FA38B2">
        <w:rPr>
          <w:rFonts w:cs="Times New Roman"/>
          <w:szCs w:val="24"/>
        </w:rPr>
        <w:t>) framework (Nguyen, 2020). Differences-in-differences is a widely used method in social science research to measure the causal effect of a policy or other treatment in non-experimental settings (Cunningham, 2021). The method is often used in policy analyses such as this study which rely on panel data (Donald &amp; Lang, 2007). Recently, the</w:t>
      </w:r>
      <w:r w:rsidR="001C4F7E">
        <w:rPr>
          <w:rFonts w:cs="Times New Roman"/>
          <w:szCs w:val="24"/>
        </w:rPr>
        <w:t xml:space="preserve"> method has been</w:t>
      </w:r>
      <w:r w:rsidRPr="00FA38B2">
        <w:rPr>
          <w:rFonts w:cs="Times New Roman"/>
          <w:szCs w:val="24"/>
        </w:rPr>
        <w:t xml:space="preserve"> used to explore higher education policies such as performance-based funding (Hillman et al., 2015) and promise programs (Bell, 2021; Nguyen, 2019; Nguyen, 2020). </w:t>
      </w:r>
    </w:p>
    <w:p w14:paraId="038B8699" w14:textId="533B1CFE" w:rsidR="00827F97" w:rsidRPr="00FA38B2" w:rsidRDefault="00827F97" w:rsidP="0015321A">
      <w:pPr>
        <w:ind w:firstLine="720"/>
        <w:rPr>
          <w:rFonts w:cs="Times New Roman"/>
          <w:szCs w:val="24"/>
        </w:rPr>
      </w:pPr>
      <w:r w:rsidRPr="00FA38B2">
        <w:rPr>
          <w:rFonts w:cs="Times New Roman"/>
          <w:szCs w:val="24"/>
        </w:rPr>
        <w:t>Quasi-experimental methods can be effective when examining a natural experiment when the data and sample size are appropriate (Kim &amp; Steiner, 2016). For this study, the effect was measured compar</w:t>
      </w:r>
      <w:r w:rsidR="001C4F7E">
        <w:rPr>
          <w:rFonts w:cs="Times New Roman"/>
          <w:szCs w:val="24"/>
        </w:rPr>
        <w:t>ed to both a national sample (46</w:t>
      </w:r>
      <w:r w:rsidRPr="00FA38B2">
        <w:rPr>
          <w:rFonts w:cs="Times New Roman"/>
          <w:szCs w:val="24"/>
        </w:rPr>
        <w:t xml:space="preserve"> non-treatment) and contiguous sample (six non-treatment). Further, it is ideal to include at least three years of pre-treatment data and three years of post-treatment data to establish a causal relationship in studies using DiD (Hu &amp; Hoover, 2018). In this study, data were included from four pre-treatment periods (years) and four post-treatment periods (years).  </w:t>
      </w:r>
    </w:p>
    <w:p w14:paraId="1AB73CB4" w14:textId="5E191532" w:rsidR="00827F97" w:rsidRPr="00FA38B2" w:rsidRDefault="00827F97" w:rsidP="0015321A">
      <w:pPr>
        <w:ind w:firstLine="720"/>
        <w:rPr>
          <w:rFonts w:cs="Times New Roman"/>
          <w:szCs w:val="24"/>
        </w:rPr>
      </w:pPr>
      <w:r w:rsidRPr="00FA38B2">
        <w:rPr>
          <w:rFonts w:cs="Times New Roman"/>
          <w:szCs w:val="24"/>
        </w:rPr>
        <w:t>In this study I sought to measure the effec</w:t>
      </w:r>
      <w:r w:rsidR="001C4F7E">
        <w:rPr>
          <w:rFonts w:cs="Times New Roman"/>
          <w:szCs w:val="24"/>
        </w:rPr>
        <w:t>t (δ) of Tennessee Promise</w:t>
      </w:r>
      <w:r w:rsidRPr="00FA38B2">
        <w:rPr>
          <w:rFonts w:cs="Times New Roman"/>
          <w:szCs w:val="24"/>
        </w:rPr>
        <w:t xml:space="preserve"> on postsecondary career and technical education enrollment (CTEE). </w:t>
      </w:r>
    </w:p>
    <w:p w14:paraId="02A083CF" w14:textId="77777777" w:rsidR="00827F97" w:rsidRPr="00FA38B2" w:rsidRDefault="00827F97" w:rsidP="0015321A">
      <w:pPr>
        <w:ind w:left="720"/>
        <w:rPr>
          <w:rFonts w:cs="Times New Roman"/>
          <w:szCs w:val="24"/>
        </w:rPr>
      </w:pPr>
      <w:r w:rsidRPr="00FA38B2">
        <w:rPr>
          <w:rFonts w:cs="Times New Roman"/>
          <w:szCs w:val="24"/>
        </w:rPr>
        <w:t xml:space="preserve">E[δ] = E [CTEE¹ - CTEEº]  </w:t>
      </w:r>
    </w:p>
    <w:p w14:paraId="6EF3841C" w14:textId="77777777" w:rsidR="00FF572B" w:rsidRDefault="001C4F7E" w:rsidP="0015321A">
      <w:pPr>
        <w:rPr>
          <w:rFonts w:cs="Times New Roman"/>
          <w:szCs w:val="24"/>
        </w:rPr>
      </w:pPr>
      <w:r>
        <w:rPr>
          <w:rFonts w:cs="Times New Roman"/>
          <w:szCs w:val="24"/>
        </w:rPr>
        <w:t>C</w:t>
      </w:r>
      <w:r w:rsidR="00827F97" w:rsidRPr="00FA38B2">
        <w:rPr>
          <w:rFonts w:cs="Times New Roman"/>
          <w:szCs w:val="24"/>
        </w:rPr>
        <w:t xml:space="preserve">ausal effect </w:t>
      </w:r>
      <w:r>
        <w:rPr>
          <w:rFonts w:cs="Times New Roman"/>
          <w:szCs w:val="24"/>
        </w:rPr>
        <w:t>cannot</w:t>
      </w:r>
      <w:r w:rsidR="00827F97" w:rsidRPr="00FA38B2">
        <w:rPr>
          <w:rFonts w:cs="Times New Roman"/>
          <w:szCs w:val="24"/>
        </w:rPr>
        <w:t xml:space="preserve"> be determined by means testing because CTEE¹ (enrollment when TNP exists) and CTEEº (enrollment when TNP does not exist) do not exist at the same time and are therefore counterfactuals (Cunningham, 2021). </w:t>
      </w:r>
    </w:p>
    <w:p w14:paraId="46D9BD38" w14:textId="0FE3F080" w:rsidR="00827F97" w:rsidRPr="00FA38B2" w:rsidRDefault="00FF572B" w:rsidP="00FF572B">
      <w:pPr>
        <w:ind w:firstLine="720"/>
        <w:rPr>
          <w:rFonts w:cs="Times New Roman"/>
          <w:szCs w:val="24"/>
        </w:rPr>
      </w:pPr>
      <w:r>
        <w:rPr>
          <w:rFonts w:cs="Times New Roman"/>
          <w:szCs w:val="24"/>
        </w:rPr>
        <w:lastRenderedPageBreak/>
        <w:t>D</w:t>
      </w:r>
      <w:r w:rsidR="00827F97" w:rsidRPr="00FA38B2">
        <w:rPr>
          <w:rFonts w:cs="Times New Roman"/>
          <w:szCs w:val="24"/>
        </w:rPr>
        <w:t>ifferences-in-differences provided a more accurate estimate of the effect by comparing the differences in the treated group (Tennessee) with differences in the non-treated groups (non-Tennessee &amp; contiguous states). The representative regre</w:t>
      </w:r>
      <w:r>
        <w:rPr>
          <w:rFonts w:cs="Times New Roman"/>
          <w:szCs w:val="24"/>
        </w:rPr>
        <w:t>ssion equation for this study was</w:t>
      </w:r>
      <w:r w:rsidR="00827F97" w:rsidRPr="00FA38B2">
        <w:rPr>
          <w:rFonts w:cs="Times New Roman"/>
          <w:szCs w:val="24"/>
        </w:rPr>
        <w:t xml:space="preserve">: </w:t>
      </w:r>
    </w:p>
    <w:p w14:paraId="2A3CDC8B" w14:textId="77777777" w:rsidR="00827F97" w:rsidRPr="00FA38B2" w:rsidRDefault="00827F97" w:rsidP="0015321A">
      <w:pPr>
        <w:ind w:left="720"/>
        <w:rPr>
          <w:rFonts w:cs="Times New Roman"/>
          <w:szCs w:val="24"/>
        </w:rPr>
      </w:pPr>
      <w:r w:rsidRPr="00FA38B2">
        <w:rPr>
          <w:rFonts w:ascii="Cambria Math" w:hAnsi="Cambria Math" w:cs="Cambria Math"/>
          <w:szCs w:val="24"/>
        </w:rPr>
        <w:t>𝑌</w:t>
      </w:r>
      <w:r w:rsidRPr="00FA38B2">
        <w:rPr>
          <w:rFonts w:cs="Times New Roman"/>
          <w:szCs w:val="24"/>
        </w:rPr>
        <w:t xml:space="preserve">ₛₜ = </w:t>
      </w:r>
      <w:r w:rsidRPr="00FA38B2">
        <w:rPr>
          <w:rFonts w:ascii="Cambria Math" w:hAnsi="Cambria Math" w:cs="Cambria Math"/>
          <w:szCs w:val="24"/>
        </w:rPr>
        <w:t>𝑌𝑒𝑎𝑟</w:t>
      </w:r>
      <w:r w:rsidRPr="00FA38B2">
        <w:rPr>
          <w:rFonts w:cs="Times New Roman"/>
          <w:szCs w:val="24"/>
        </w:rPr>
        <w:t xml:space="preserve">ₜ + </w:t>
      </w:r>
      <w:r w:rsidRPr="00FA38B2">
        <w:rPr>
          <w:rFonts w:ascii="Cambria Math" w:hAnsi="Cambria Math" w:cs="Cambria Math"/>
          <w:szCs w:val="24"/>
        </w:rPr>
        <w:t>𝛾𝑇𝑁</w:t>
      </w:r>
      <w:r w:rsidRPr="00FA38B2">
        <w:rPr>
          <w:rFonts w:cs="Times New Roman"/>
          <w:szCs w:val="24"/>
        </w:rPr>
        <w:t xml:space="preserve">ₛ + </w:t>
      </w:r>
      <w:r w:rsidRPr="00FA38B2">
        <w:rPr>
          <w:rFonts w:ascii="Cambria Math" w:hAnsi="Cambria Math" w:cs="Cambria Math"/>
          <w:szCs w:val="24"/>
        </w:rPr>
        <w:t>𝜆</w:t>
      </w:r>
      <w:r w:rsidRPr="00FA38B2">
        <w:rPr>
          <w:rFonts w:cs="Times New Roman"/>
          <w:szCs w:val="24"/>
        </w:rPr>
        <w:t xml:space="preserve">TREATₜ + </w:t>
      </w:r>
      <w:r w:rsidRPr="00FA38B2">
        <w:rPr>
          <w:rFonts w:ascii="Cambria Math" w:hAnsi="Cambria Math" w:cs="Cambria Math"/>
          <w:szCs w:val="24"/>
        </w:rPr>
        <w:t>𝛿</w:t>
      </w:r>
      <w:r w:rsidRPr="00FA38B2">
        <w:rPr>
          <w:rFonts w:cs="Times New Roman"/>
          <w:szCs w:val="24"/>
        </w:rPr>
        <w:t xml:space="preserve"> (</w:t>
      </w:r>
      <w:r w:rsidRPr="00FA38B2">
        <w:rPr>
          <w:rFonts w:ascii="Cambria Math" w:hAnsi="Cambria Math" w:cs="Cambria Math"/>
          <w:szCs w:val="24"/>
        </w:rPr>
        <w:t>𝑇𝑁</w:t>
      </w:r>
      <w:r w:rsidRPr="00FA38B2">
        <w:rPr>
          <w:rFonts w:cs="Times New Roman"/>
          <w:szCs w:val="24"/>
        </w:rPr>
        <w:t xml:space="preserve">ₛ </w:t>
      </w:r>
      <w:r w:rsidRPr="00FA38B2">
        <w:rPr>
          <w:rFonts w:ascii="Cambria Math" w:hAnsi="Cambria Math" w:cs="Cambria Math"/>
          <w:szCs w:val="24"/>
        </w:rPr>
        <w:t>∗</w:t>
      </w:r>
      <w:r w:rsidRPr="00FA38B2">
        <w:rPr>
          <w:rFonts w:cs="Times New Roman"/>
          <w:szCs w:val="24"/>
        </w:rPr>
        <w:t xml:space="preserve"> TREATₜ) + </w:t>
      </w:r>
      <w:r w:rsidRPr="00FA38B2">
        <w:rPr>
          <w:rFonts w:ascii="Cambria Math" w:hAnsi="Cambria Math" w:cs="Cambria Math"/>
          <w:szCs w:val="24"/>
        </w:rPr>
        <w:t>𝒙</w:t>
      </w:r>
      <w:r w:rsidRPr="00FA38B2">
        <w:rPr>
          <w:rFonts w:cs="Times New Roman"/>
          <w:szCs w:val="24"/>
        </w:rPr>
        <w:t xml:space="preserve">′ₛₜ </w:t>
      </w:r>
      <w:r w:rsidRPr="00FA38B2">
        <w:rPr>
          <w:rFonts w:ascii="Cambria Math" w:hAnsi="Cambria Math" w:cs="Cambria Math"/>
          <w:szCs w:val="24"/>
        </w:rPr>
        <w:t>𝜷</w:t>
      </w:r>
      <w:r w:rsidRPr="00FA38B2">
        <w:rPr>
          <w:rFonts w:cs="Times New Roman"/>
          <w:szCs w:val="24"/>
        </w:rPr>
        <w:t xml:space="preserve"> + </w:t>
      </w:r>
      <w:r w:rsidRPr="00FA38B2">
        <w:rPr>
          <w:rFonts w:ascii="Cambria Math" w:hAnsi="Cambria Math" w:cs="Cambria Math"/>
          <w:szCs w:val="24"/>
        </w:rPr>
        <w:t>𝜖</w:t>
      </w:r>
      <w:r w:rsidRPr="00FA38B2">
        <w:rPr>
          <w:rFonts w:cs="Times New Roman"/>
          <w:szCs w:val="24"/>
        </w:rPr>
        <w:t>ₛₜ</w:t>
      </w:r>
    </w:p>
    <w:p w14:paraId="2E8FD7F8" w14:textId="3A0AEDF7" w:rsidR="005A462E" w:rsidRPr="00E33EF5" w:rsidRDefault="00827F97">
      <w:pPr>
        <w:rPr>
          <w:rFonts w:cs="Times New Roman"/>
          <w:szCs w:val="24"/>
        </w:rPr>
      </w:pPr>
      <w:r w:rsidRPr="00FA38B2">
        <w:rPr>
          <w:rFonts w:cs="Times New Roman"/>
          <w:szCs w:val="24"/>
        </w:rPr>
        <w:t xml:space="preserve">Where </w:t>
      </w:r>
      <w:r w:rsidRPr="00FA38B2">
        <w:rPr>
          <w:rFonts w:ascii="Cambria Math" w:hAnsi="Cambria Math" w:cs="Cambria Math"/>
          <w:szCs w:val="24"/>
        </w:rPr>
        <w:t>𝑌</w:t>
      </w:r>
      <w:r w:rsidRPr="00FA38B2">
        <w:rPr>
          <w:rFonts w:cs="Times New Roman"/>
          <w:szCs w:val="24"/>
        </w:rPr>
        <w:t>ₛₜ is enrollment for state (s) in year (t). TN is the variable dummy coded to 1=TN and non-TN=0. TREATₜ is the dummy variable which marks the start of T</w:t>
      </w:r>
      <w:r w:rsidR="00FF572B">
        <w:rPr>
          <w:rFonts w:cs="Times New Roman"/>
          <w:szCs w:val="24"/>
        </w:rPr>
        <w:t>N</w:t>
      </w:r>
      <w:r w:rsidRPr="00FA38B2">
        <w:rPr>
          <w:rFonts w:cs="Times New Roman"/>
          <w:szCs w:val="24"/>
        </w:rPr>
        <w:t xml:space="preserve"> Promise in 2015. </w:t>
      </w:r>
      <w:r w:rsidRPr="00FA38B2">
        <w:rPr>
          <w:rFonts w:ascii="Cambria Math" w:hAnsi="Cambria Math" w:cs="Cambria Math"/>
          <w:szCs w:val="24"/>
        </w:rPr>
        <w:t>𝑌𝑒𝑎𝑟</w:t>
      </w:r>
      <w:r w:rsidRPr="00FA38B2">
        <w:rPr>
          <w:rFonts w:cs="Times New Roman"/>
          <w:szCs w:val="24"/>
        </w:rPr>
        <w:t xml:space="preserve">ₜ is the year fixed effects. </w:t>
      </w:r>
      <w:r w:rsidRPr="00FA38B2">
        <w:rPr>
          <w:rFonts w:ascii="Cambria Math" w:hAnsi="Cambria Math" w:cs="Cambria Math"/>
          <w:szCs w:val="24"/>
        </w:rPr>
        <w:t>𝒙</w:t>
      </w:r>
      <w:r w:rsidRPr="00FA38B2">
        <w:rPr>
          <w:rFonts w:cs="Times New Roman"/>
          <w:szCs w:val="24"/>
        </w:rPr>
        <w:t>′ₛₜ equals the state</w:t>
      </w:r>
      <w:r w:rsidR="00975F0B" w:rsidRPr="00FA38B2">
        <w:rPr>
          <w:rFonts w:cs="Times New Roman"/>
          <w:szCs w:val="24"/>
        </w:rPr>
        <w:t xml:space="preserve"> </w:t>
      </w:r>
      <w:r w:rsidRPr="00FA38B2">
        <w:rPr>
          <w:rFonts w:cs="Times New Roman"/>
          <w:szCs w:val="24"/>
        </w:rPr>
        <w:t>income</w:t>
      </w:r>
      <w:r w:rsidR="00975F0B" w:rsidRPr="00FA38B2">
        <w:rPr>
          <w:rFonts w:cs="Times New Roman"/>
          <w:szCs w:val="24"/>
        </w:rPr>
        <w:t xml:space="preserve"> </w:t>
      </w:r>
      <w:r w:rsidRPr="00FA38B2">
        <w:rPr>
          <w:rFonts w:cs="Times New Roman"/>
          <w:szCs w:val="24"/>
        </w:rPr>
        <w:t xml:space="preserve">control covariate. Lastly, </w:t>
      </w:r>
      <w:r w:rsidRPr="00FA38B2">
        <w:rPr>
          <w:rFonts w:ascii="Cambria Math" w:hAnsi="Cambria Math" w:cs="Cambria Math"/>
          <w:szCs w:val="24"/>
        </w:rPr>
        <w:t>𝛿</w:t>
      </w:r>
      <w:r w:rsidRPr="00FA38B2">
        <w:rPr>
          <w:rFonts w:cs="Times New Roman"/>
          <w:szCs w:val="24"/>
        </w:rPr>
        <w:t xml:space="preserve"> is the average enrollment effect of the T</w:t>
      </w:r>
      <w:r w:rsidR="00FF572B">
        <w:rPr>
          <w:rFonts w:cs="Times New Roman"/>
          <w:szCs w:val="24"/>
        </w:rPr>
        <w:t>N</w:t>
      </w:r>
      <w:r w:rsidRPr="00FA38B2">
        <w:rPr>
          <w:rFonts w:cs="Times New Roman"/>
          <w:szCs w:val="24"/>
        </w:rPr>
        <w:t xml:space="preserve"> Promise on postsecondary </w:t>
      </w:r>
      <w:r w:rsidR="00FF572B">
        <w:rPr>
          <w:rFonts w:cs="Times New Roman"/>
          <w:szCs w:val="24"/>
        </w:rPr>
        <w:t>CTE</w:t>
      </w:r>
      <w:r w:rsidRPr="00FA38B2">
        <w:rPr>
          <w:rFonts w:cs="Times New Roman"/>
          <w:szCs w:val="24"/>
        </w:rPr>
        <w:t xml:space="preserve"> enrollment by state. Following Nguyen’s (2020) analytic method, I also conducted the analysis with the natural logarithm of the dependent variable enrollment (</w:t>
      </w:r>
      <w:r w:rsidRPr="00FA38B2">
        <w:rPr>
          <w:rFonts w:ascii="Cambria Math" w:hAnsi="Cambria Math" w:cs="Cambria Math"/>
          <w:szCs w:val="24"/>
        </w:rPr>
        <w:t>𝑌</w:t>
      </w:r>
      <w:r w:rsidRPr="00FA38B2">
        <w:rPr>
          <w:rFonts w:cs="Times New Roman"/>
          <w:szCs w:val="24"/>
        </w:rPr>
        <w:t>ₛₜ); the estimated treatment effect was then calculated as 100*(</w:t>
      </w:r>
      <w:r w:rsidRPr="00FA38B2">
        <w:rPr>
          <w:rFonts w:ascii="Cambria Math" w:hAnsi="Cambria Math" w:cs="Cambria Math"/>
          <w:szCs w:val="24"/>
        </w:rPr>
        <w:t>𝑒</w:t>
      </w:r>
      <w:r w:rsidRPr="00FA38B2">
        <w:rPr>
          <w:rFonts w:cs="Times New Roman"/>
          <w:szCs w:val="24"/>
        </w:rPr>
        <w:t xml:space="preserve">ᵟ– 1) or </w:t>
      </w:r>
      <w:r w:rsidRPr="00FA38B2">
        <w:rPr>
          <w:rFonts w:ascii="Cambria Math" w:hAnsi="Cambria Math" w:cs="Cambria Math"/>
          <w:szCs w:val="24"/>
        </w:rPr>
        <w:t>𝛿</w:t>
      </w:r>
      <w:r w:rsidR="00E33EF5">
        <w:rPr>
          <w:rFonts w:cs="Times New Roman"/>
          <w:szCs w:val="24"/>
        </w:rPr>
        <w:t>*00 percent.</w:t>
      </w:r>
    </w:p>
    <w:p w14:paraId="3256074E" w14:textId="14FFA5FF" w:rsidR="00827F97" w:rsidRPr="00FA38B2" w:rsidRDefault="00827F97" w:rsidP="0015321A">
      <w:pPr>
        <w:rPr>
          <w:rFonts w:cs="Times New Roman"/>
          <w:b/>
          <w:szCs w:val="24"/>
        </w:rPr>
      </w:pPr>
      <w:r w:rsidRPr="00FA38B2">
        <w:rPr>
          <w:rFonts w:cs="Times New Roman"/>
          <w:b/>
          <w:szCs w:val="24"/>
        </w:rPr>
        <w:t xml:space="preserve">Common Trends </w:t>
      </w:r>
    </w:p>
    <w:p w14:paraId="2962FACD" w14:textId="0D66AEAB" w:rsidR="00E33EF5" w:rsidRDefault="00827F97" w:rsidP="0015321A">
      <w:pPr>
        <w:spacing w:after="120"/>
        <w:ind w:firstLine="720"/>
        <w:rPr>
          <w:rFonts w:cs="Times New Roman"/>
          <w:szCs w:val="24"/>
        </w:rPr>
      </w:pPr>
      <w:r w:rsidRPr="00FA38B2">
        <w:rPr>
          <w:rFonts w:cs="Times New Roman"/>
          <w:szCs w:val="24"/>
        </w:rPr>
        <w:t xml:space="preserve">An important and often violated assumption for DiD is the common trends assumption (Cunningham, 2021). The common trends assumption requires that the treated group and non-treated group follow similar trends prior to the treatment (Angrist &amp; </w:t>
      </w:r>
      <w:proofErr w:type="spellStart"/>
      <w:r w:rsidRPr="00FA38B2">
        <w:rPr>
          <w:rFonts w:cs="Times New Roman"/>
          <w:szCs w:val="24"/>
        </w:rPr>
        <w:t>Pischke</w:t>
      </w:r>
      <w:proofErr w:type="spellEnd"/>
      <w:r w:rsidRPr="00FA38B2">
        <w:rPr>
          <w:rFonts w:cs="Times New Roman"/>
          <w:szCs w:val="24"/>
        </w:rPr>
        <w:t xml:space="preserve">, 2009; Cunningham, 2021). Prior to running the DiD analysis, I visually compared trends of postsecondary CTE student enrollment between 2011 and 2018 </w:t>
      </w:r>
      <w:r w:rsidR="005A462E" w:rsidRPr="00FA38B2">
        <w:rPr>
          <w:rFonts w:cs="Times New Roman"/>
          <w:szCs w:val="24"/>
        </w:rPr>
        <w:t>(see Figures 6 and 7</w:t>
      </w:r>
      <w:r w:rsidRPr="00FA38B2">
        <w:rPr>
          <w:rFonts w:cs="Times New Roman"/>
          <w:szCs w:val="24"/>
        </w:rPr>
        <w:t xml:space="preserve">). To account for the unequal trends in </w:t>
      </w:r>
      <w:r w:rsidR="005A0D63" w:rsidRPr="00FA38B2">
        <w:rPr>
          <w:rFonts w:cs="Times New Roman"/>
          <w:szCs w:val="24"/>
        </w:rPr>
        <w:t xml:space="preserve">national </w:t>
      </w:r>
      <w:r w:rsidRPr="00FA38B2">
        <w:rPr>
          <w:rFonts w:cs="Times New Roman"/>
          <w:szCs w:val="24"/>
        </w:rPr>
        <w:t xml:space="preserve">pre-treatment enrollment, </w:t>
      </w:r>
      <w:r w:rsidR="005A0D63" w:rsidRPr="00FA38B2">
        <w:rPr>
          <w:rFonts w:cs="Times New Roman"/>
          <w:szCs w:val="24"/>
        </w:rPr>
        <w:t xml:space="preserve">I </w:t>
      </w:r>
      <w:r w:rsidRPr="00FA38B2">
        <w:rPr>
          <w:rFonts w:cs="Times New Roman"/>
          <w:szCs w:val="24"/>
        </w:rPr>
        <w:t>ran the analysis against two samples (national and contiguous)</w:t>
      </w:r>
      <w:r w:rsidR="005A0D63" w:rsidRPr="00FA38B2">
        <w:rPr>
          <w:rFonts w:cs="Times New Roman"/>
          <w:szCs w:val="24"/>
        </w:rPr>
        <w:t xml:space="preserve">. The contiguous sample followed a similar </w:t>
      </w:r>
      <w:r w:rsidR="00100978" w:rsidRPr="00FA38B2">
        <w:rPr>
          <w:rFonts w:cs="Times New Roman"/>
          <w:szCs w:val="24"/>
        </w:rPr>
        <w:t xml:space="preserve">pre-treatment </w:t>
      </w:r>
      <w:r w:rsidR="005A0D63" w:rsidRPr="00FA38B2">
        <w:rPr>
          <w:rFonts w:cs="Times New Roman"/>
          <w:szCs w:val="24"/>
        </w:rPr>
        <w:t xml:space="preserve">trend in postsecondary career and technical education enrollment to Tennessee. </w:t>
      </w:r>
    </w:p>
    <w:p w14:paraId="37478028" w14:textId="77777777" w:rsidR="00E33EF5" w:rsidRDefault="00E33EF5">
      <w:pPr>
        <w:rPr>
          <w:rFonts w:cs="Times New Roman"/>
          <w:szCs w:val="24"/>
        </w:rPr>
      </w:pPr>
      <w:r>
        <w:rPr>
          <w:rFonts w:cs="Times New Roman"/>
          <w:szCs w:val="24"/>
        </w:rPr>
        <w:br w:type="page"/>
      </w:r>
    </w:p>
    <w:p w14:paraId="7E2BE98E" w14:textId="14F0422A" w:rsidR="00E33EF5" w:rsidRPr="00E33EF5" w:rsidRDefault="005A462E" w:rsidP="00E33EF5">
      <w:pPr>
        <w:spacing w:after="120"/>
      </w:pPr>
      <w:bookmarkStart w:id="48" w:name="_Toc70181179"/>
      <w:r w:rsidRPr="00FA38B2">
        <w:rPr>
          <w:rFonts w:cs="Times New Roman"/>
          <w:b/>
          <w:noProof/>
          <w:szCs w:val="24"/>
        </w:rPr>
        <w:lastRenderedPageBreak/>
        <w:drawing>
          <wp:anchor distT="0" distB="0" distL="114300" distR="114300" simplePos="0" relativeHeight="251683840" behindDoc="0" locked="0" layoutInCell="1" allowOverlap="1" wp14:anchorId="7E82A9D8" wp14:editId="0D08B364">
            <wp:simplePos x="0" y="0"/>
            <wp:positionH relativeFrom="column">
              <wp:posOffset>-1829</wp:posOffset>
            </wp:positionH>
            <wp:positionV relativeFrom="paragraph">
              <wp:posOffset>127</wp:posOffset>
            </wp:positionV>
            <wp:extent cx="3770060" cy="2743200"/>
            <wp:effectExtent l="0" t="0" r="1905" b="0"/>
            <wp:wrapTopAndBottom/>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770060" cy="2743200"/>
                    </a:xfrm>
                    <a:prstGeom prst="rect">
                      <a:avLst/>
                    </a:prstGeom>
                    <a:noFill/>
                  </pic:spPr>
                </pic:pic>
              </a:graphicData>
            </a:graphic>
          </wp:anchor>
        </w:drawing>
      </w:r>
      <w:r w:rsidR="00E33EF5">
        <w:t xml:space="preserve">Figure </w:t>
      </w:r>
      <w:fldSimple w:instr=" SEQ Figure \* ARABIC ">
        <w:r w:rsidR="00E33EF5">
          <w:rPr>
            <w:noProof/>
          </w:rPr>
          <w:t>6</w:t>
        </w:r>
      </w:fldSimple>
      <w:r w:rsidR="00E33EF5">
        <w:t>: Common Trend Plot Nationwide Sample</w:t>
      </w:r>
      <w:r w:rsidR="00E33EF5" w:rsidRPr="00E33EF5">
        <w:rPr>
          <w:i/>
          <w:iCs/>
          <w:szCs w:val="18"/>
          <w:vertAlign w:val="superscript"/>
        </w:rPr>
        <w:footnoteReference w:id="5"/>
      </w:r>
      <w:bookmarkEnd w:id="48"/>
    </w:p>
    <w:p w14:paraId="5DCCD14A" w14:textId="77777777" w:rsidR="005835C9" w:rsidRDefault="005835C9" w:rsidP="00E33EF5">
      <w:pPr>
        <w:pStyle w:val="Caption"/>
      </w:pPr>
    </w:p>
    <w:p w14:paraId="5A48AF9C" w14:textId="0C27614F" w:rsidR="00E33EF5" w:rsidRDefault="00E33EF5" w:rsidP="00E33EF5">
      <w:pPr>
        <w:pStyle w:val="Caption"/>
      </w:pPr>
      <w:r w:rsidRPr="00FA38B2">
        <w:rPr>
          <w:rFonts w:cs="Times New Roman"/>
          <w:b/>
          <w:noProof/>
          <w:szCs w:val="24"/>
        </w:rPr>
        <w:drawing>
          <wp:anchor distT="0" distB="0" distL="114300" distR="114300" simplePos="0" relativeHeight="251684864" behindDoc="0" locked="0" layoutInCell="1" allowOverlap="1" wp14:anchorId="74684176" wp14:editId="2BBAF2FF">
            <wp:simplePos x="0" y="0"/>
            <wp:positionH relativeFrom="column">
              <wp:posOffset>3810</wp:posOffset>
            </wp:positionH>
            <wp:positionV relativeFrom="paragraph">
              <wp:posOffset>435559</wp:posOffset>
            </wp:positionV>
            <wp:extent cx="3768090" cy="2743200"/>
            <wp:effectExtent l="0" t="0" r="3810" b="0"/>
            <wp:wrapTopAndBottom/>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768090" cy="2743200"/>
                    </a:xfrm>
                    <a:prstGeom prst="rect">
                      <a:avLst/>
                    </a:prstGeom>
                    <a:noFill/>
                  </pic:spPr>
                </pic:pic>
              </a:graphicData>
            </a:graphic>
          </wp:anchor>
        </w:drawing>
      </w:r>
    </w:p>
    <w:p w14:paraId="06E537BE" w14:textId="7DD8C820" w:rsidR="00E33EF5" w:rsidRDefault="00E33EF5" w:rsidP="005835C9">
      <w:pPr>
        <w:pStyle w:val="Caption"/>
        <w:rPr>
          <w:rFonts w:cs="Times New Roman"/>
          <w:b/>
          <w:szCs w:val="24"/>
        </w:rPr>
      </w:pPr>
      <w:bookmarkStart w:id="49" w:name="_Toc70181180"/>
      <w:r>
        <w:t xml:space="preserve">Figure </w:t>
      </w:r>
      <w:fldSimple w:instr=" SEQ Figure \* ARABIC ">
        <w:r>
          <w:rPr>
            <w:noProof/>
          </w:rPr>
          <w:t>7</w:t>
        </w:r>
      </w:fldSimple>
      <w:r>
        <w:t>: Common Trends Plot Contiguous States</w:t>
      </w:r>
      <w:r w:rsidRPr="00E33EF5">
        <w:rPr>
          <w:i/>
          <w:vertAlign w:val="superscript"/>
        </w:rPr>
        <w:footnoteReference w:id="6"/>
      </w:r>
      <w:bookmarkEnd w:id="49"/>
      <w:r>
        <w:rPr>
          <w:rFonts w:cs="Times New Roman"/>
          <w:b/>
          <w:szCs w:val="24"/>
        </w:rPr>
        <w:br w:type="page"/>
      </w:r>
    </w:p>
    <w:p w14:paraId="2A4DC2A5" w14:textId="13F05B24" w:rsidR="003A16BF" w:rsidRPr="00FA38B2" w:rsidRDefault="003A16BF" w:rsidP="0015321A">
      <w:pPr>
        <w:spacing w:after="120"/>
        <w:rPr>
          <w:rFonts w:cs="Times New Roman"/>
          <w:b/>
          <w:szCs w:val="24"/>
        </w:rPr>
      </w:pPr>
      <w:r w:rsidRPr="00FA38B2">
        <w:rPr>
          <w:rFonts w:cs="Times New Roman"/>
          <w:b/>
          <w:szCs w:val="24"/>
        </w:rPr>
        <w:lastRenderedPageBreak/>
        <w:t xml:space="preserve">Limitations </w:t>
      </w:r>
    </w:p>
    <w:p w14:paraId="791F9D87" w14:textId="7AB7A1EE" w:rsidR="003A16BF" w:rsidRPr="00FA38B2" w:rsidRDefault="003A16BF" w:rsidP="0015321A">
      <w:pPr>
        <w:spacing w:after="120"/>
        <w:rPr>
          <w:rFonts w:cs="Times New Roman"/>
          <w:szCs w:val="24"/>
        </w:rPr>
      </w:pPr>
      <w:r w:rsidRPr="00FA38B2">
        <w:rPr>
          <w:rFonts w:cs="Times New Roman"/>
          <w:b/>
          <w:szCs w:val="24"/>
        </w:rPr>
        <w:tab/>
      </w:r>
      <w:r w:rsidRPr="00FA38B2">
        <w:rPr>
          <w:rFonts w:cs="Times New Roman"/>
          <w:szCs w:val="24"/>
        </w:rPr>
        <w:t xml:space="preserve">This analysis was limited by the institutional level panel data available </w:t>
      </w:r>
      <w:r w:rsidR="00A65478" w:rsidRPr="00FA38B2">
        <w:rPr>
          <w:rFonts w:cs="Times New Roman"/>
          <w:szCs w:val="24"/>
        </w:rPr>
        <w:t xml:space="preserve">through CAR </w:t>
      </w:r>
      <w:r w:rsidRPr="00FA38B2">
        <w:rPr>
          <w:rFonts w:cs="Times New Roman"/>
          <w:szCs w:val="24"/>
        </w:rPr>
        <w:t xml:space="preserve">and the </w:t>
      </w:r>
      <w:r w:rsidR="00A65478" w:rsidRPr="00FA38B2">
        <w:rPr>
          <w:rFonts w:cs="Times New Roman"/>
          <w:szCs w:val="24"/>
        </w:rPr>
        <w:t>United States Census Bureau</w:t>
      </w:r>
      <w:r w:rsidRPr="00FA38B2">
        <w:rPr>
          <w:rFonts w:cs="Times New Roman"/>
          <w:szCs w:val="24"/>
        </w:rPr>
        <w:t>, and therefore could not account for individual level factors (e.g. socioeconomic background, location, high school factors, GPA) which may have affected student enrollment decisions.</w:t>
      </w:r>
      <w:r w:rsidR="00D7637C" w:rsidRPr="00FA38B2">
        <w:rPr>
          <w:rFonts w:cs="Times New Roman"/>
          <w:szCs w:val="24"/>
        </w:rPr>
        <w:t xml:space="preserve"> </w:t>
      </w:r>
      <w:r w:rsidR="00A65478" w:rsidRPr="00FA38B2">
        <w:rPr>
          <w:rFonts w:cs="Times New Roman"/>
          <w:szCs w:val="24"/>
        </w:rPr>
        <w:t>Further, this analysis was limited to state-level data and could not measure for institutional-level effects of the policy as Nguyen (2020) and Bell (2021) did in their analyses. Lastly, for this analysis I limited the scope to enrollment and did not explore whether TN Promise</w:t>
      </w:r>
      <w:r w:rsidR="00BA2AC8" w:rsidRPr="00FA38B2">
        <w:rPr>
          <w:rFonts w:cs="Times New Roman"/>
          <w:szCs w:val="24"/>
        </w:rPr>
        <w:t xml:space="preserve"> </w:t>
      </w:r>
      <w:r w:rsidR="00B649BF" w:rsidRPr="00FA38B2">
        <w:rPr>
          <w:rFonts w:cs="Times New Roman"/>
          <w:szCs w:val="24"/>
        </w:rPr>
        <w:t>impacted</w:t>
      </w:r>
      <w:r w:rsidR="00A65478" w:rsidRPr="00FA38B2">
        <w:rPr>
          <w:rFonts w:cs="Times New Roman"/>
          <w:szCs w:val="24"/>
        </w:rPr>
        <w:t xml:space="preserve"> other academic outcomes in </w:t>
      </w:r>
      <w:r w:rsidR="00FF572B">
        <w:rPr>
          <w:rFonts w:cs="Times New Roman"/>
          <w:szCs w:val="24"/>
        </w:rPr>
        <w:t xml:space="preserve">postsecondary </w:t>
      </w:r>
      <w:r w:rsidR="00A65478" w:rsidRPr="00FA38B2">
        <w:rPr>
          <w:rFonts w:cs="Times New Roman"/>
          <w:szCs w:val="24"/>
        </w:rPr>
        <w:t>CTE programs such as retention and graduation</w:t>
      </w:r>
      <w:r w:rsidR="00BA2AC8" w:rsidRPr="00FA38B2">
        <w:rPr>
          <w:rFonts w:cs="Times New Roman"/>
          <w:szCs w:val="24"/>
        </w:rPr>
        <w:t xml:space="preserve">. Future studies should expand on this analysis to investigate whether TN Promise had a causal relationship with other academic outcomes in </w:t>
      </w:r>
      <w:r w:rsidR="00FF572B">
        <w:rPr>
          <w:rFonts w:cs="Times New Roman"/>
          <w:szCs w:val="24"/>
        </w:rPr>
        <w:t xml:space="preserve">postsecondary </w:t>
      </w:r>
      <w:r w:rsidR="00BA2AC8" w:rsidRPr="00FA38B2">
        <w:rPr>
          <w:rFonts w:cs="Times New Roman"/>
          <w:szCs w:val="24"/>
        </w:rPr>
        <w:t xml:space="preserve">CTE programs other than enrollment. </w:t>
      </w:r>
    </w:p>
    <w:p w14:paraId="553C5E8B" w14:textId="05EE554A" w:rsidR="00827F97" w:rsidRPr="00FA38B2" w:rsidRDefault="00827F97" w:rsidP="0015321A">
      <w:pPr>
        <w:pStyle w:val="Heading2"/>
        <w:jc w:val="center"/>
        <w:rPr>
          <w:rFonts w:cs="Times New Roman"/>
          <w:szCs w:val="24"/>
        </w:rPr>
      </w:pPr>
      <w:bookmarkStart w:id="50" w:name="_Toc70181505"/>
      <w:r w:rsidRPr="00FA38B2">
        <w:rPr>
          <w:rFonts w:cs="Times New Roman"/>
          <w:szCs w:val="24"/>
        </w:rPr>
        <w:t>Results</w:t>
      </w:r>
      <w:bookmarkEnd w:id="50"/>
    </w:p>
    <w:p w14:paraId="0803CCB2" w14:textId="73ECE465" w:rsidR="00E33EF5" w:rsidRDefault="00827F97" w:rsidP="0015321A">
      <w:pPr>
        <w:spacing w:after="120"/>
        <w:rPr>
          <w:rFonts w:cs="Times New Roman"/>
          <w:bCs/>
          <w:szCs w:val="24"/>
        </w:rPr>
      </w:pPr>
      <w:r w:rsidRPr="00FA38B2">
        <w:rPr>
          <w:rFonts w:cs="Times New Roman"/>
          <w:bCs/>
          <w:szCs w:val="24"/>
        </w:rPr>
        <w:tab/>
        <w:t>Results from the DiD a</w:t>
      </w:r>
      <w:r w:rsidR="00E97879">
        <w:rPr>
          <w:rFonts w:cs="Times New Roman"/>
          <w:bCs/>
          <w:szCs w:val="24"/>
        </w:rPr>
        <w:t>nalyses are presented in table 6</w:t>
      </w:r>
      <w:r w:rsidRPr="00FA38B2">
        <w:rPr>
          <w:rFonts w:cs="Times New Roman"/>
          <w:bCs/>
          <w:szCs w:val="24"/>
        </w:rPr>
        <w:t>. Results are displayed for analyses which compared Tennessee to a national (non-promise) control group and a contiguous control group. The interacti</w:t>
      </w:r>
      <w:r w:rsidR="00E97879">
        <w:rPr>
          <w:rFonts w:cs="Times New Roman"/>
          <w:bCs/>
          <w:szCs w:val="24"/>
        </w:rPr>
        <w:t>on effects (TN*TREAT) in table 6</w:t>
      </w:r>
      <w:r w:rsidRPr="00FA38B2">
        <w:rPr>
          <w:rFonts w:cs="Times New Roman"/>
          <w:bCs/>
          <w:szCs w:val="24"/>
        </w:rPr>
        <w:t xml:space="preserve"> s</w:t>
      </w:r>
      <w:r w:rsidR="00D7637C" w:rsidRPr="00FA38B2">
        <w:rPr>
          <w:rFonts w:cs="Times New Roman"/>
          <w:bCs/>
          <w:szCs w:val="24"/>
        </w:rPr>
        <w:t>how the T</w:t>
      </w:r>
      <w:r w:rsidR="00FF572B">
        <w:rPr>
          <w:rFonts w:cs="Times New Roman"/>
          <w:bCs/>
          <w:szCs w:val="24"/>
        </w:rPr>
        <w:t>N</w:t>
      </w:r>
      <w:r w:rsidR="00D7637C" w:rsidRPr="00FA38B2">
        <w:rPr>
          <w:rFonts w:cs="Times New Roman"/>
          <w:bCs/>
          <w:szCs w:val="24"/>
        </w:rPr>
        <w:t xml:space="preserve"> Promise had a</w:t>
      </w:r>
      <w:r w:rsidRPr="00FA38B2">
        <w:rPr>
          <w:rFonts w:cs="Times New Roman"/>
          <w:bCs/>
          <w:szCs w:val="24"/>
        </w:rPr>
        <w:t xml:space="preserve"> </w:t>
      </w:r>
      <w:r w:rsidR="00C20C89" w:rsidRPr="00FA38B2">
        <w:rPr>
          <w:rFonts w:cs="Times New Roman"/>
          <w:bCs/>
          <w:szCs w:val="24"/>
        </w:rPr>
        <w:t>non-</w:t>
      </w:r>
      <w:r w:rsidR="00FF572B">
        <w:rPr>
          <w:rFonts w:cs="Times New Roman"/>
          <w:bCs/>
          <w:szCs w:val="24"/>
        </w:rPr>
        <w:t xml:space="preserve">statistically </w:t>
      </w:r>
      <w:r w:rsidRPr="00FA38B2">
        <w:rPr>
          <w:rFonts w:cs="Times New Roman"/>
          <w:bCs/>
          <w:szCs w:val="24"/>
        </w:rPr>
        <w:t xml:space="preserve">significant effect on enrollment in postsecondary </w:t>
      </w:r>
      <w:r w:rsidR="00FF572B">
        <w:rPr>
          <w:rFonts w:cs="Times New Roman"/>
          <w:bCs/>
          <w:szCs w:val="24"/>
        </w:rPr>
        <w:t>CTE</w:t>
      </w:r>
      <w:r w:rsidRPr="00FA38B2">
        <w:rPr>
          <w:rFonts w:cs="Times New Roman"/>
          <w:bCs/>
          <w:szCs w:val="24"/>
        </w:rPr>
        <w:t xml:space="preserve"> programs when compared to both the national control group and contiguous state control group. </w:t>
      </w:r>
    </w:p>
    <w:p w14:paraId="19AF44BE" w14:textId="625B2960" w:rsidR="00827F97" w:rsidRPr="00FA38B2" w:rsidRDefault="00E33EF5" w:rsidP="009F6602">
      <w:pPr>
        <w:rPr>
          <w:rFonts w:cs="Times New Roman"/>
          <w:bCs/>
          <w:szCs w:val="24"/>
        </w:rPr>
      </w:pPr>
      <w:r>
        <w:rPr>
          <w:rFonts w:cs="Times New Roman"/>
          <w:bCs/>
          <w:szCs w:val="24"/>
        </w:rPr>
        <w:br w:type="page"/>
      </w:r>
    </w:p>
    <w:p w14:paraId="4834D28C" w14:textId="72C1659C" w:rsidR="00E33EF5" w:rsidRPr="00E33EF5" w:rsidRDefault="00E33EF5" w:rsidP="00E33EF5">
      <w:pPr>
        <w:pStyle w:val="Caption"/>
        <w:keepNext/>
      </w:pPr>
      <w:bookmarkStart w:id="51" w:name="_Toc70181521"/>
      <w:r>
        <w:lastRenderedPageBreak/>
        <w:t xml:space="preserve">Table </w:t>
      </w:r>
      <w:fldSimple w:instr=" SEQ Table \* ARABIC ">
        <w:r>
          <w:rPr>
            <w:noProof/>
          </w:rPr>
          <w:t>6</w:t>
        </w:r>
      </w:fldSimple>
      <w:r>
        <w:t>: Differences-in-Differences Estimation Results for CTE Program Enrollment</w:t>
      </w:r>
      <w:r w:rsidR="00C067C2" w:rsidRPr="00FA38B2">
        <w:rPr>
          <w:rFonts w:cs="Times New Roman"/>
          <w:noProof/>
          <w:szCs w:val="24"/>
        </w:rPr>
        <w:drawing>
          <wp:anchor distT="0" distB="0" distL="114300" distR="114300" simplePos="0" relativeHeight="251672576" behindDoc="0" locked="0" layoutInCell="1" allowOverlap="1" wp14:anchorId="782C12A6" wp14:editId="1CDABBEB">
            <wp:simplePos x="0" y="0"/>
            <wp:positionH relativeFrom="column">
              <wp:posOffset>-247015</wp:posOffset>
            </wp:positionH>
            <wp:positionV relativeFrom="paragraph">
              <wp:posOffset>249886</wp:posOffset>
            </wp:positionV>
            <wp:extent cx="6227445" cy="2832100"/>
            <wp:effectExtent l="0" t="0" r="1905" b="6350"/>
            <wp:wrapTopAndBottom/>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9">
                      <a:extLst>
                        <a:ext uri="{28A0092B-C50C-407E-A947-70E740481C1C}">
                          <a14:useLocalDpi xmlns:a14="http://schemas.microsoft.com/office/drawing/2010/main" val="0"/>
                        </a:ext>
                      </a:extLst>
                    </a:blip>
                    <a:srcRect t="15832"/>
                    <a:stretch/>
                  </pic:blipFill>
                  <pic:spPr bwMode="auto">
                    <a:xfrm>
                      <a:off x="0" y="0"/>
                      <a:ext cx="6227445" cy="283210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bookmarkEnd w:id="51"/>
    </w:p>
    <w:p w14:paraId="3B6D57D5" w14:textId="737770F1" w:rsidR="00E33EF5" w:rsidRDefault="00E33EF5">
      <w:pPr>
        <w:contextualSpacing/>
        <w:rPr>
          <w:rFonts w:cs="Times New Roman"/>
          <w:bCs/>
          <w:szCs w:val="24"/>
        </w:rPr>
      </w:pPr>
      <w:r>
        <w:rPr>
          <w:rFonts w:cs="Times New Roman"/>
          <w:bCs/>
          <w:szCs w:val="24"/>
        </w:rPr>
        <w:br w:type="page"/>
      </w:r>
    </w:p>
    <w:p w14:paraId="1EB5918D" w14:textId="5F723523" w:rsidR="00827F97" w:rsidRPr="00FA38B2" w:rsidRDefault="00827F97" w:rsidP="0015321A">
      <w:pPr>
        <w:spacing w:after="120"/>
        <w:ind w:firstLine="720"/>
        <w:rPr>
          <w:rFonts w:cs="Times New Roman"/>
          <w:szCs w:val="24"/>
        </w:rPr>
      </w:pPr>
      <w:r w:rsidRPr="00FA38B2">
        <w:rPr>
          <w:rFonts w:cs="Times New Roman"/>
          <w:bCs/>
          <w:szCs w:val="24"/>
        </w:rPr>
        <w:lastRenderedPageBreak/>
        <w:t>The effect on postsecondary CTE enrollment due to TN Promise was calculated as 100 * (</w:t>
      </w:r>
      <w:r w:rsidRPr="00FA38B2">
        <w:rPr>
          <w:rFonts w:ascii="Cambria Math" w:hAnsi="Cambria Math" w:cs="Cambria Math"/>
          <w:szCs w:val="24"/>
        </w:rPr>
        <w:t>𝑒</w:t>
      </w:r>
      <w:r w:rsidRPr="00FA38B2">
        <w:rPr>
          <w:rFonts w:cs="Times New Roman"/>
          <w:szCs w:val="24"/>
        </w:rPr>
        <w:t xml:space="preserve">ᵟ– 1) or </w:t>
      </w:r>
      <w:r w:rsidRPr="00FA38B2">
        <w:rPr>
          <w:rFonts w:ascii="Cambria Math" w:hAnsi="Cambria Math" w:cs="Cambria Math"/>
          <w:szCs w:val="24"/>
        </w:rPr>
        <w:t>𝛿</w:t>
      </w:r>
      <w:r w:rsidRPr="00FA38B2">
        <w:rPr>
          <w:rFonts w:cs="Times New Roman"/>
          <w:szCs w:val="24"/>
        </w:rPr>
        <w:t>*100 percent on both the lower and upper 95% confidence interval coefficients</w:t>
      </w:r>
      <w:r w:rsidR="00C2341B" w:rsidRPr="00FA38B2">
        <w:rPr>
          <w:rFonts w:cs="Times New Roman"/>
          <w:szCs w:val="24"/>
        </w:rPr>
        <w:t xml:space="preserve"> (Nguyen, 2020)</w:t>
      </w:r>
      <w:r w:rsidRPr="00FA38B2">
        <w:rPr>
          <w:rFonts w:cs="Times New Roman"/>
          <w:szCs w:val="24"/>
        </w:rPr>
        <w:t xml:space="preserve">. As expected due to the </w:t>
      </w:r>
      <w:r w:rsidR="000528E2" w:rsidRPr="00FA38B2">
        <w:rPr>
          <w:rFonts w:cs="Times New Roman"/>
          <w:szCs w:val="24"/>
        </w:rPr>
        <w:t xml:space="preserve">observed </w:t>
      </w:r>
      <w:r w:rsidR="00C20C89" w:rsidRPr="00FA38B2">
        <w:rPr>
          <w:rFonts w:cs="Times New Roman"/>
          <w:szCs w:val="24"/>
        </w:rPr>
        <w:t>non-</w:t>
      </w:r>
      <w:r w:rsidRPr="00FA38B2">
        <w:rPr>
          <w:rFonts w:cs="Times New Roman"/>
          <w:szCs w:val="24"/>
        </w:rPr>
        <w:t>significant</w:t>
      </w:r>
      <w:r w:rsidR="000528E2" w:rsidRPr="00FA38B2">
        <w:rPr>
          <w:rFonts w:cs="Times New Roman"/>
          <w:szCs w:val="24"/>
        </w:rPr>
        <w:t xml:space="preserve"> effect</w:t>
      </w:r>
      <w:r w:rsidRPr="00FA38B2">
        <w:rPr>
          <w:rFonts w:cs="Times New Roman"/>
          <w:szCs w:val="24"/>
        </w:rPr>
        <w:t>, the</w:t>
      </w:r>
      <w:r w:rsidR="00C20C89" w:rsidRPr="00FA38B2">
        <w:rPr>
          <w:rFonts w:cs="Times New Roman"/>
          <w:szCs w:val="24"/>
        </w:rPr>
        <w:t>re was a broad</w:t>
      </w:r>
      <w:r w:rsidRPr="00FA38B2">
        <w:rPr>
          <w:rFonts w:cs="Times New Roman"/>
          <w:szCs w:val="24"/>
        </w:rPr>
        <w:t xml:space="preserve"> range of estimated enrollment changes attributable to TN Promise</w:t>
      </w:r>
      <w:r w:rsidR="00C20C89" w:rsidRPr="00FA38B2">
        <w:rPr>
          <w:rFonts w:cs="Times New Roman"/>
          <w:szCs w:val="24"/>
        </w:rPr>
        <w:t xml:space="preserve">; </w:t>
      </w:r>
      <w:r w:rsidRPr="00FA38B2">
        <w:rPr>
          <w:rFonts w:cs="Times New Roman"/>
          <w:szCs w:val="24"/>
        </w:rPr>
        <w:t>-4</w:t>
      </w:r>
      <w:r w:rsidR="00746DBB" w:rsidRPr="00FA38B2">
        <w:rPr>
          <w:rFonts w:cs="Times New Roman"/>
          <w:szCs w:val="24"/>
        </w:rPr>
        <w:t>7</w:t>
      </w:r>
      <w:r w:rsidR="00A878FC" w:rsidRPr="00FA38B2">
        <w:rPr>
          <w:rFonts w:cs="Times New Roman"/>
          <w:szCs w:val="24"/>
        </w:rPr>
        <w:t>%</w:t>
      </w:r>
      <w:r w:rsidRPr="00FA38B2">
        <w:rPr>
          <w:rFonts w:cs="Times New Roman"/>
          <w:szCs w:val="24"/>
        </w:rPr>
        <w:t xml:space="preserve"> to 4</w:t>
      </w:r>
      <w:r w:rsidR="00A878FC" w:rsidRPr="00FA38B2">
        <w:rPr>
          <w:rFonts w:cs="Times New Roman"/>
          <w:szCs w:val="24"/>
        </w:rPr>
        <w:t>0</w:t>
      </w:r>
      <w:r w:rsidRPr="00FA38B2">
        <w:rPr>
          <w:rFonts w:cs="Times New Roman"/>
          <w:szCs w:val="24"/>
        </w:rPr>
        <w:t>% when compared to the national sample</w:t>
      </w:r>
      <w:r w:rsidR="00A878FC" w:rsidRPr="00FA38B2">
        <w:rPr>
          <w:rFonts w:cs="Times New Roman"/>
          <w:szCs w:val="24"/>
        </w:rPr>
        <w:t>,</w:t>
      </w:r>
      <w:r w:rsidR="000528E2" w:rsidRPr="00FA38B2">
        <w:rPr>
          <w:rFonts w:cs="Times New Roman"/>
          <w:szCs w:val="24"/>
        </w:rPr>
        <w:t xml:space="preserve"> and </w:t>
      </w:r>
      <w:r w:rsidRPr="00FA38B2">
        <w:rPr>
          <w:rFonts w:cs="Times New Roman"/>
          <w:szCs w:val="24"/>
        </w:rPr>
        <w:t>-29</w:t>
      </w:r>
      <w:r w:rsidR="00A878FC" w:rsidRPr="00FA38B2">
        <w:rPr>
          <w:rFonts w:cs="Times New Roman"/>
          <w:szCs w:val="24"/>
        </w:rPr>
        <w:t>%</w:t>
      </w:r>
      <w:r w:rsidRPr="00FA38B2">
        <w:rPr>
          <w:rFonts w:cs="Times New Roman"/>
          <w:szCs w:val="24"/>
        </w:rPr>
        <w:t xml:space="preserve"> to 39% when compared to the contiguous state sample</w:t>
      </w:r>
      <w:r w:rsidR="000528E2" w:rsidRPr="00FA38B2">
        <w:rPr>
          <w:rFonts w:cs="Times New Roman"/>
          <w:szCs w:val="24"/>
        </w:rPr>
        <w:t xml:space="preserve">. The results from this study, therefore, do not </w:t>
      </w:r>
      <w:r w:rsidRPr="00FA38B2">
        <w:rPr>
          <w:rFonts w:cs="Times New Roman"/>
          <w:szCs w:val="24"/>
        </w:rPr>
        <w:t xml:space="preserve">establish a causal relationship between TN Promise and postsecondary CTE enrollment. </w:t>
      </w:r>
    </w:p>
    <w:p w14:paraId="369D9C99" w14:textId="77777777" w:rsidR="00827F97" w:rsidRPr="00FA38B2" w:rsidRDefault="00827F97" w:rsidP="00D7637C">
      <w:pPr>
        <w:pStyle w:val="Heading2"/>
        <w:jc w:val="center"/>
        <w:rPr>
          <w:rFonts w:cs="Times New Roman"/>
          <w:szCs w:val="24"/>
        </w:rPr>
      </w:pPr>
      <w:bookmarkStart w:id="52" w:name="_Toc70181506"/>
      <w:r w:rsidRPr="00FA38B2">
        <w:rPr>
          <w:rFonts w:cs="Times New Roman"/>
          <w:szCs w:val="24"/>
        </w:rPr>
        <w:t>Discussion</w:t>
      </w:r>
      <w:bookmarkEnd w:id="52"/>
    </w:p>
    <w:p w14:paraId="21FD223E" w14:textId="579B06A8" w:rsidR="005B26C8" w:rsidRDefault="00827F97" w:rsidP="0015321A">
      <w:pPr>
        <w:spacing w:after="120"/>
        <w:rPr>
          <w:rFonts w:cs="Times New Roman"/>
          <w:szCs w:val="24"/>
        </w:rPr>
      </w:pPr>
      <w:r w:rsidRPr="00FA38B2">
        <w:rPr>
          <w:rFonts w:cs="Times New Roman"/>
          <w:szCs w:val="24"/>
        </w:rPr>
        <w:tab/>
      </w:r>
      <w:r w:rsidR="004B1809">
        <w:rPr>
          <w:rFonts w:cs="Times New Roman"/>
          <w:szCs w:val="24"/>
        </w:rPr>
        <w:t xml:space="preserve">In this study I explored the effect of TN Promise on enrollment in postsecondary CTE programs in Tennessee using quasi-experimental methods. While descriptive statistics </w:t>
      </w:r>
      <w:r w:rsidR="005B26C8">
        <w:rPr>
          <w:rFonts w:cs="Times New Roman"/>
          <w:szCs w:val="24"/>
        </w:rPr>
        <w:t>showed</w:t>
      </w:r>
      <w:r w:rsidR="004B1809">
        <w:rPr>
          <w:rFonts w:cs="Times New Roman"/>
          <w:szCs w:val="24"/>
        </w:rPr>
        <w:t xml:space="preserve"> a small increase in postsecondary CTE enrollment in Tennessee when compared to both the national and contiguous samples, the results from the DiD analysis were not statistically significant</w:t>
      </w:r>
      <w:r w:rsidR="005B26C8">
        <w:rPr>
          <w:rFonts w:cs="Times New Roman"/>
          <w:szCs w:val="24"/>
        </w:rPr>
        <w:t xml:space="preserve"> and revealed no causal link between TN Promise and postsecondary CTE enrollment</w:t>
      </w:r>
      <w:r w:rsidR="004B1809">
        <w:rPr>
          <w:rFonts w:cs="Times New Roman"/>
          <w:szCs w:val="24"/>
        </w:rPr>
        <w:t xml:space="preserve">. </w:t>
      </w:r>
      <w:r w:rsidR="005B26C8">
        <w:rPr>
          <w:rFonts w:cs="Times New Roman"/>
          <w:szCs w:val="24"/>
        </w:rPr>
        <w:t>The findings from this study</w:t>
      </w:r>
      <w:r w:rsidR="005B26C8" w:rsidRPr="00FA38B2">
        <w:rPr>
          <w:rFonts w:cs="Times New Roman"/>
          <w:szCs w:val="24"/>
        </w:rPr>
        <w:t xml:space="preserve"> supported Carruthers and Welch’s (2020) </w:t>
      </w:r>
      <w:r w:rsidR="005B26C8">
        <w:rPr>
          <w:rFonts w:cs="Times New Roman"/>
          <w:szCs w:val="24"/>
        </w:rPr>
        <w:t>study</w:t>
      </w:r>
      <w:r w:rsidR="00810D7E">
        <w:rPr>
          <w:rFonts w:cs="Times New Roman"/>
          <w:szCs w:val="24"/>
        </w:rPr>
        <w:t>; w</w:t>
      </w:r>
      <w:r w:rsidR="005B26C8" w:rsidRPr="00FA38B2">
        <w:rPr>
          <w:rFonts w:cs="Times New Roman"/>
          <w:szCs w:val="24"/>
        </w:rPr>
        <w:t xml:space="preserve">hile many students who pursue postsecondary CTE programs or enroll in </w:t>
      </w:r>
      <w:r w:rsidR="005B26C8">
        <w:rPr>
          <w:rFonts w:cs="Times New Roman"/>
          <w:szCs w:val="24"/>
        </w:rPr>
        <w:t>TCATs</w:t>
      </w:r>
      <w:r w:rsidR="005B26C8" w:rsidRPr="00FA38B2">
        <w:rPr>
          <w:rFonts w:cs="Times New Roman"/>
          <w:szCs w:val="24"/>
        </w:rPr>
        <w:t xml:space="preserve"> may be eligible for funding through TN Promise, thus far the policy has had little to no impact on postsecondary CTE </w:t>
      </w:r>
      <w:r w:rsidR="005B26C8">
        <w:rPr>
          <w:rFonts w:cs="Times New Roman"/>
          <w:szCs w:val="24"/>
        </w:rPr>
        <w:t xml:space="preserve">enrollment </w:t>
      </w:r>
      <w:r w:rsidR="005B26C8" w:rsidRPr="00FA38B2">
        <w:rPr>
          <w:rFonts w:cs="Times New Roman"/>
          <w:szCs w:val="24"/>
        </w:rPr>
        <w:t>in the state.</w:t>
      </w:r>
      <w:r w:rsidR="005B26C8">
        <w:rPr>
          <w:rFonts w:cs="Times New Roman"/>
          <w:szCs w:val="24"/>
        </w:rPr>
        <w:t xml:space="preserve"> </w:t>
      </w:r>
    </w:p>
    <w:p w14:paraId="4F16BD57" w14:textId="77777777" w:rsidR="009F6602" w:rsidRDefault="005B26C8" w:rsidP="005B26C8">
      <w:pPr>
        <w:spacing w:after="120"/>
        <w:ind w:firstLine="720"/>
        <w:rPr>
          <w:rFonts w:cs="Times New Roman"/>
          <w:szCs w:val="24"/>
        </w:rPr>
      </w:pPr>
      <w:r>
        <w:rPr>
          <w:rFonts w:cs="Times New Roman"/>
          <w:szCs w:val="24"/>
        </w:rPr>
        <w:t xml:space="preserve">Due to the </w:t>
      </w:r>
      <w:r w:rsidR="004B1809">
        <w:rPr>
          <w:rFonts w:cs="Times New Roman"/>
          <w:szCs w:val="24"/>
        </w:rPr>
        <w:t>multiple limitations to this ana</w:t>
      </w:r>
      <w:r>
        <w:rPr>
          <w:rFonts w:cs="Times New Roman"/>
          <w:szCs w:val="24"/>
        </w:rPr>
        <w:t xml:space="preserve">lysis, I encourage researchers to replicate and expand upon this study to further investigate whether TN Promise effected enrollment in postsecondary CTE programs. </w:t>
      </w:r>
      <w:r w:rsidR="00810D7E">
        <w:rPr>
          <w:rFonts w:cs="Times New Roman"/>
          <w:szCs w:val="24"/>
        </w:rPr>
        <w:t xml:space="preserve">In the following section </w:t>
      </w:r>
      <w:r>
        <w:rPr>
          <w:rFonts w:cs="Times New Roman"/>
          <w:szCs w:val="24"/>
        </w:rPr>
        <w:t xml:space="preserve">I offer recommendations for future </w:t>
      </w:r>
      <w:r w:rsidR="009E7F8D">
        <w:rPr>
          <w:rFonts w:cs="Times New Roman"/>
          <w:szCs w:val="24"/>
        </w:rPr>
        <w:t>research, policy, and practice</w:t>
      </w:r>
      <w:r>
        <w:rPr>
          <w:rFonts w:cs="Times New Roman"/>
          <w:szCs w:val="24"/>
        </w:rPr>
        <w:t xml:space="preserve">. </w:t>
      </w:r>
    </w:p>
    <w:p w14:paraId="6664C081" w14:textId="1EEED6D3" w:rsidR="005B26C8" w:rsidRDefault="009F6602" w:rsidP="005835C9">
      <w:pPr>
        <w:rPr>
          <w:rFonts w:cs="Times New Roman"/>
          <w:szCs w:val="24"/>
        </w:rPr>
      </w:pPr>
      <w:r>
        <w:rPr>
          <w:rFonts w:cs="Times New Roman"/>
          <w:szCs w:val="24"/>
        </w:rPr>
        <w:br w:type="page"/>
      </w:r>
    </w:p>
    <w:p w14:paraId="6B1437E5" w14:textId="33928EA8" w:rsidR="005B26C8" w:rsidRPr="005B26C8" w:rsidRDefault="009E7F8D" w:rsidP="005B26C8">
      <w:pPr>
        <w:spacing w:after="120"/>
        <w:rPr>
          <w:rFonts w:cs="Times New Roman"/>
          <w:b/>
          <w:szCs w:val="24"/>
        </w:rPr>
      </w:pPr>
      <w:r>
        <w:rPr>
          <w:rFonts w:cs="Times New Roman"/>
          <w:b/>
          <w:szCs w:val="24"/>
        </w:rPr>
        <w:lastRenderedPageBreak/>
        <w:t xml:space="preserve">Recommendations for Research, Policy, and Practice </w:t>
      </w:r>
    </w:p>
    <w:p w14:paraId="578D7345" w14:textId="744522E2" w:rsidR="00827F97" w:rsidRPr="009E7F8D" w:rsidRDefault="00827F97" w:rsidP="009E7F8D">
      <w:pPr>
        <w:spacing w:after="120"/>
        <w:ind w:firstLine="720"/>
        <w:rPr>
          <w:rFonts w:cs="Times New Roman"/>
          <w:szCs w:val="24"/>
        </w:rPr>
      </w:pPr>
      <w:r w:rsidRPr="00FA38B2">
        <w:rPr>
          <w:rFonts w:cs="Times New Roman"/>
          <w:szCs w:val="24"/>
        </w:rPr>
        <w:t>As the United States continues to prioritize postsecondary credential and degree attainment, attention must be give</w:t>
      </w:r>
      <w:r w:rsidR="009E7F8D">
        <w:rPr>
          <w:rFonts w:cs="Times New Roman"/>
          <w:szCs w:val="24"/>
        </w:rPr>
        <w:t>n to how existing policies can be leveraged to meet stated</w:t>
      </w:r>
      <w:r w:rsidRPr="00FA38B2">
        <w:rPr>
          <w:rFonts w:cs="Times New Roman"/>
          <w:szCs w:val="24"/>
        </w:rPr>
        <w:t xml:space="preserve"> goals. Future research must be conducted to explore why students who pursue postsecondary CTE do not appear to use existing state funding such as TN Promise (Carruthers &amp; Welch, 2020). Further, researchers should explore existing pathways from secondary to postsecondary CTE programs in the state and determine whether such programs provide the necessary information and incentives for students to make informed choices regarding if and how they can use the FAFSA and federal/state funding to continue their education beyond high school in postsecondary CTE programs</w:t>
      </w:r>
      <w:r w:rsidR="009E7F8D">
        <w:rPr>
          <w:rFonts w:cs="Times New Roman"/>
          <w:szCs w:val="24"/>
        </w:rPr>
        <w:t xml:space="preserve"> (</w:t>
      </w:r>
      <w:r w:rsidR="00537D39">
        <w:rPr>
          <w:rFonts w:cs="Times New Roman"/>
          <w:szCs w:val="24"/>
        </w:rPr>
        <w:t xml:space="preserve">Carruthers &amp; Welch, 2020; </w:t>
      </w:r>
      <w:r w:rsidR="009E7F8D">
        <w:rPr>
          <w:rFonts w:cs="Times New Roman"/>
          <w:szCs w:val="24"/>
        </w:rPr>
        <w:t xml:space="preserve">Collom et al., forthcoming; </w:t>
      </w:r>
      <w:proofErr w:type="spellStart"/>
      <w:r w:rsidR="009E7F8D">
        <w:rPr>
          <w:rFonts w:cs="Times New Roman"/>
          <w:szCs w:val="24"/>
        </w:rPr>
        <w:t>Odle</w:t>
      </w:r>
      <w:proofErr w:type="spellEnd"/>
      <w:r w:rsidR="009E7F8D">
        <w:rPr>
          <w:rFonts w:cs="Times New Roman"/>
          <w:szCs w:val="24"/>
        </w:rPr>
        <w:t xml:space="preserve"> et al., 2021)</w:t>
      </w:r>
      <w:r w:rsidRPr="00FA38B2">
        <w:rPr>
          <w:rFonts w:cs="Times New Roman"/>
          <w:szCs w:val="24"/>
        </w:rPr>
        <w:t xml:space="preserve">. </w:t>
      </w:r>
      <w:r w:rsidR="009E7F8D" w:rsidRPr="009E7F8D">
        <w:rPr>
          <w:rFonts w:cs="Times New Roman"/>
          <w:szCs w:val="24"/>
        </w:rPr>
        <w:t xml:space="preserve">Further research must be conducted to determine if current guided pathways efforts in select community colleges are effective and whether such programs could be expanded statewide to all public community colleges and TCATs </w:t>
      </w:r>
      <w:r w:rsidR="009E7F8D">
        <w:rPr>
          <w:rFonts w:cs="Times New Roman"/>
          <w:szCs w:val="24"/>
        </w:rPr>
        <w:t xml:space="preserve">to further incentivize students who are pursuing postsecondary CTE to use the TN Promise </w:t>
      </w:r>
      <w:r w:rsidR="009E7F8D" w:rsidRPr="009E7F8D">
        <w:rPr>
          <w:rFonts w:cs="Times New Roman"/>
          <w:szCs w:val="24"/>
        </w:rPr>
        <w:t>(</w:t>
      </w:r>
      <w:r w:rsidR="00537D39">
        <w:rPr>
          <w:rFonts w:cs="Times New Roman"/>
          <w:szCs w:val="24"/>
        </w:rPr>
        <w:t xml:space="preserve">Carruthers &amp; Welch, 2020; </w:t>
      </w:r>
      <w:proofErr w:type="spellStart"/>
      <w:r w:rsidR="009E7F8D" w:rsidRPr="009E7F8D">
        <w:rPr>
          <w:rFonts w:cs="Times New Roman"/>
          <w:szCs w:val="24"/>
        </w:rPr>
        <w:t>Klempin</w:t>
      </w:r>
      <w:proofErr w:type="spellEnd"/>
      <w:r w:rsidR="009E7F8D" w:rsidRPr="009E7F8D">
        <w:rPr>
          <w:rFonts w:cs="Times New Roman"/>
          <w:szCs w:val="24"/>
        </w:rPr>
        <w:t xml:space="preserve"> &amp; Lahr, 2021).</w:t>
      </w:r>
      <w:r w:rsidR="00810D7E">
        <w:rPr>
          <w:rFonts w:cs="Times New Roman"/>
          <w:szCs w:val="24"/>
        </w:rPr>
        <w:t xml:space="preserve"> Lastly, future research should explore whether the TN Reconnect (Tennessee’s other promise program for adult students 24 and over) had a causal effect on CTE program enrollment. </w:t>
      </w:r>
    </w:p>
    <w:p w14:paraId="55BD39C7" w14:textId="0398B19F" w:rsidR="009E7F8D" w:rsidRDefault="00827F97" w:rsidP="009E7F8D">
      <w:pPr>
        <w:spacing w:after="120"/>
        <w:ind w:firstLine="720"/>
        <w:rPr>
          <w:rFonts w:cs="Times New Roman"/>
          <w:szCs w:val="24"/>
        </w:rPr>
      </w:pPr>
      <w:r w:rsidRPr="00FA38B2">
        <w:rPr>
          <w:rFonts w:cs="Times New Roman"/>
          <w:szCs w:val="24"/>
        </w:rPr>
        <w:t xml:space="preserve">From a policy perspective, as secondary CTE programs grow in Tennessee, state and local policymakers must ensure that postsecondary CTE is presented as an option to students from marginalized backgrounds and available in parts of the state where vocational education is not traditionally pursued. Furthermore, state policymakers should explore </w:t>
      </w:r>
      <w:r w:rsidR="00C67D20">
        <w:rPr>
          <w:rFonts w:cs="Times New Roman"/>
          <w:szCs w:val="24"/>
        </w:rPr>
        <w:t xml:space="preserve">whether </w:t>
      </w:r>
      <w:r w:rsidRPr="00FA38B2">
        <w:rPr>
          <w:rFonts w:cs="Times New Roman"/>
          <w:szCs w:val="24"/>
        </w:rPr>
        <w:t xml:space="preserve">the potential </w:t>
      </w:r>
      <w:r w:rsidR="00C67D20">
        <w:rPr>
          <w:rFonts w:cs="Times New Roman"/>
          <w:szCs w:val="24"/>
        </w:rPr>
        <w:t>expanded</w:t>
      </w:r>
      <w:r w:rsidRPr="00FA38B2">
        <w:rPr>
          <w:rFonts w:cs="Times New Roman"/>
          <w:szCs w:val="24"/>
        </w:rPr>
        <w:t xml:space="preserve"> funding</w:t>
      </w:r>
      <w:r w:rsidR="00C67D20">
        <w:rPr>
          <w:rFonts w:cs="Times New Roman"/>
          <w:szCs w:val="24"/>
        </w:rPr>
        <w:t xml:space="preserve"> currently piloted in the state,</w:t>
      </w:r>
      <w:r w:rsidRPr="00FA38B2">
        <w:rPr>
          <w:rFonts w:cs="Times New Roman"/>
          <w:szCs w:val="24"/>
        </w:rPr>
        <w:t xml:space="preserve"> which covers expenses beyond the tuiti</w:t>
      </w:r>
      <w:r w:rsidR="00C67D20">
        <w:rPr>
          <w:rFonts w:cs="Times New Roman"/>
          <w:szCs w:val="24"/>
        </w:rPr>
        <w:t>on covered by existing programs</w:t>
      </w:r>
      <w:r w:rsidRPr="00FA38B2">
        <w:rPr>
          <w:rFonts w:cs="Times New Roman"/>
          <w:szCs w:val="24"/>
        </w:rPr>
        <w:t xml:space="preserve"> such as books and living expenses, </w:t>
      </w:r>
      <w:r w:rsidR="00C67D20">
        <w:rPr>
          <w:rFonts w:cs="Times New Roman"/>
          <w:szCs w:val="24"/>
        </w:rPr>
        <w:t xml:space="preserve">is also an effective way to support </w:t>
      </w:r>
      <w:r w:rsidRPr="00FA38B2">
        <w:rPr>
          <w:rFonts w:cs="Times New Roman"/>
          <w:szCs w:val="24"/>
        </w:rPr>
        <w:t>low-income individuals who are pursui</w:t>
      </w:r>
      <w:r w:rsidR="009E7F8D">
        <w:rPr>
          <w:rFonts w:cs="Times New Roman"/>
          <w:szCs w:val="24"/>
        </w:rPr>
        <w:t>ng postsecondary CTE programs</w:t>
      </w:r>
      <w:r w:rsidR="00C67D20">
        <w:rPr>
          <w:rFonts w:cs="Times New Roman"/>
          <w:szCs w:val="24"/>
        </w:rPr>
        <w:t xml:space="preserve"> (</w:t>
      </w:r>
      <w:proofErr w:type="spellStart"/>
      <w:r w:rsidR="00C67D20" w:rsidRPr="00C67D20">
        <w:rPr>
          <w:rFonts w:cs="Times New Roman"/>
          <w:szCs w:val="24"/>
        </w:rPr>
        <w:t>Bohle</w:t>
      </w:r>
      <w:proofErr w:type="spellEnd"/>
      <w:r w:rsidR="00C67D20" w:rsidRPr="00C67D20">
        <w:rPr>
          <w:rFonts w:cs="Times New Roman"/>
          <w:szCs w:val="24"/>
        </w:rPr>
        <w:t>, 2021</w:t>
      </w:r>
      <w:r w:rsidR="00C67D20">
        <w:rPr>
          <w:rFonts w:cs="Times New Roman"/>
          <w:szCs w:val="24"/>
        </w:rPr>
        <w:t>)</w:t>
      </w:r>
      <w:r w:rsidR="009E7F8D">
        <w:rPr>
          <w:rFonts w:cs="Times New Roman"/>
          <w:szCs w:val="24"/>
        </w:rPr>
        <w:t xml:space="preserve">. </w:t>
      </w:r>
    </w:p>
    <w:p w14:paraId="5F2214E3" w14:textId="2719B9F9" w:rsidR="00827F97" w:rsidRPr="00FA38B2" w:rsidRDefault="009E7F8D" w:rsidP="009E7F8D">
      <w:pPr>
        <w:spacing w:after="120"/>
        <w:ind w:firstLine="720"/>
        <w:rPr>
          <w:rFonts w:cs="Times New Roman"/>
          <w:szCs w:val="24"/>
        </w:rPr>
      </w:pPr>
      <w:r>
        <w:rPr>
          <w:rFonts w:cs="Times New Roman"/>
          <w:szCs w:val="24"/>
        </w:rPr>
        <w:lastRenderedPageBreak/>
        <w:t xml:space="preserve">From a practical standpoint, the </w:t>
      </w:r>
      <w:r w:rsidR="00827F97" w:rsidRPr="00FA38B2">
        <w:rPr>
          <w:rFonts w:cs="Times New Roman"/>
          <w:szCs w:val="24"/>
        </w:rPr>
        <w:t xml:space="preserve">TN Promise presents an opportunity for TCAT institutions and non-degree CTE credential programs in public community colleges to recruit and admit students who may not be interested in enrolling in two-year non-CTE or four-year programs. Admissions representatives and institutional leaders at TCATs and within community college CTE programs can leverage the free-college policies available in Tennessee to expand their student body and increase postsecondary CTE attainment in the state. While TN Promise is widely marketed by community colleges in the state, TCATs and specific CTE non-degree programs within community colleges should use the availability of TN Promise in marketing efforts. </w:t>
      </w:r>
    </w:p>
    <w:p w14:paraId="1B099F6C" w14:textId="0A3248F8" w:rsidR="00827F97" w:rsidRPr="00FA38B2" w:rsidRDefault="00827F97" w:rsidP="0015321A">
      <w:pPr>
        <w:spacing w:after="120"/>
        <w:ind w:firstLine="720"/>
        <w:rPr>
          <w:rFonts w:cs="Times New Roman"/>
          <w:szCs w:val="24"/>
        </w:rPr>
      </w:pPr>
      <w:r w:rsidRPr="00FA38B2">
        <w:rPr>
          <w:rFonts w:cs="Times New Roman"/>
          <w:szCs w:val="24"/>
        </w:rPr>
        <w:t xml:space="preserve">The federal government and select states are beginning to realize the equity implications of increasing postsecondary CTE attainment. Findings from this study indicate there was little effect on postsecondary CTE enrollment in the state following the implementation of TN Promise. However, Tennessee has the opportunity to continue its role as a leader in postsecondary access by leveraging their current policies to expand postsecondary CTE outcomes and expand the number of students who pursue and succeed in postsecondary education.  </w:t>
      </w:r>
      <w:r w:rsidRPr="00FA38B2">
        <w:rPr>
          <w:rFonts w:cs="Times New Roman"/>
          <w:szCs w:val="24"/>
        </w:rPr>
        <w:br w:type="page"/>
      </w:r>
    </w:p>
    <w:p w14:paraId="5B35AFC0" w14:textId="77777777" w:rsidR="00827F97" w:rsidRPr="00FA38B2" w:rsidRDefault="00827F97" w:rsidP="005835C9">
      <w:pPr>
        <w:pStyle w:val="Heading2"/>
        <w:jc w:val="center"/>
        <w:rPr>
          <w:rFonts w:cs="Times New Roman"/>
          <w:szCs w:val="24"/>
        </w:rPr>
      </w:pPr>
      <w:bookmarkStart w:id="53" w:name="_Toc70181507"/>
      <w:r w:rsidRPr="00FA38B2">
        <w:rPr>
          <w:rFonts w:cs="Times New Roman"/>
          <w:szCs w:val="24"/>
        </w:rPr>
        <w:lastRenderedPageBreak/>
        <w:t>References</w:t>
      </w:r>
      <w:bookmarkEnd w:id="53"/>
    </w:p>
    <w:p w14:paraId="35A43776" w14:textId="77777777" w:rsidR="00827F97" w:rsidRPr="00FA38B2" w:rsidRDefault="00827F97" w:rsidP="0015321A">
      <w:pPr>
        <w:ind w:left="720" w:hanging="720"/>
        <w:rPr>
          <w:rFonts w:cs="Times New Roman"/>
          <w:szCs w:val="24"/>
        </w:rPr>
      </w:pPr>
      <w:r w:rsidRPr="00FA38B2">
        <w:rPr>
          <w:rFonts w:cs="Times New Roman"/>
          <w:szCs w:val="24"/>
        </w:rPr>
        <w:t xml:space="preserve">Angrist, J. D. &amp; </w:t>
      </w:r>
      <w:proofErr w:type="spellStart"/>
      <w:r w:rsidRPr="00FA38B2">
        <w:rPr>
          <w:rFonts w:cs="Times New Roman"/>
          <w:szCs w:val="24"/>
        </w:rPr>
        <w:t>Pischke</w:t>
      </w:r>
      <w:proofErr w:type="spellEnd"/>
      <w:r w:rsidRPr="00FA38B2">
        <w:rPr>
          <w:rFonts w:cs="Times New Roman"/>
          <w:szCs w:val="24"/>
        </w:rPr>
        <w:t xml:space="preserve">, J.S. (2009). </w:t>
      </w:r>
      <w:r w:rsidRPr="00FA38B2">
        <w:rPr>
          <w:rFonts w:cs="Times New Roman"/>
          <w:i/>
          <w:szCs w:val="24"/>
        </w:rPr>
        <w:t>Mostly Harmless Econometrics</w:t>
      </w:r>
      <w:r w:rsidRPr="00FA38B2">
        <w:rPr>
          <w:rFonts w:cs="Times New Roman"/>
          <w:szCs w:val="24"/>
        </w:rPr>
        <w:t>. Princeton University Press.</w:t>
      </w:r>
    </w:p>
    <w:p w14:paraId="77F0741E" w14:textId="77777777" w:rsidR="00827F97" w:rsidRPr="00FA38B2" w:rsidRDefault="00827F97" w:rsidP="0015321A">
      <w:pPr>
        <w:ind w:left="720" w:hanging="720"/>
        <w:rPr>
          <w:rFonts w:cs="Times New Roman"/>
          <w:szCs w:val="24"/>
        </w:rPr>
      </w:pPr>
      <w:r w:rsidRPr="00FA38B2">
        <w:rPr>
          <w:rFonts w:cs="Times New Roman"/>
          <w:szCs w:val="24"/>
        </w:rPr>
        <w:t xml:space="preserve">Bell, E. (2021). Estimating the spillover effects of the Tennessee Promise: Exploring changes in tuition, fees, and enrollment. </w:t>
      </w:r>
      <w:r w:rsidRPr="00FA38B2">
        <w:rPr>
          <w:rFonts w:cs="Times New Roman"/>
          <w:i/>
          <w:szCs w:val="24"/>
        </w:rPr>
        <w:t>Journal of Financial Aid</w:t>
      </w:r>
      <w:r w:rsidRPr="00FA38B2">
        <w:rPr>
          <w:rFonts w:cs="Times New Roman"/>
          <w:szCs w:val="24"/>
        </w:rPr>
        <w:t xml:space="preserve">, </w:t>
      </w:r>
      <w:r w:rsidRPr="00FA38B2">
        <w:rPr>
          <w:rFonts w:cs="Times New Roman"/>
          <w:i/>
          <w:szCs w:val="24"/>
        </w:rPr>
        <w:t>50</w:t>
      </w:r>
      <w:r w:rsidRPr="00FA38B2">
        <w:rPr>
          <w:rFonts w:cs="Times New Roman"/>
          <w:szCs w:val="24"/>
        </w:rPr>
        <w:t>(1), Article 4. https://ir.library.louisville.edu/jsfa/vol50/iss1/4</w:t>
      </w:r>
    </w:p>
    <w:p w14:paraId="18122A80" w14:textId="618F292B" w:rsidR="00C67D20" w:rsidRDefault="00C67D20" w:rsidP="00C67D20">
      <w:pPr>
        <w:ind w:left="720" w:hanging="720"/>
        <w:rPr>
          <w:rFonts w:cs="Times New Roman"/>
          <w:szCs w:val="24"/>
        </w:rPr>
      </w:pPr>
      <w:proofErr w:type="spellStart"/>
      <w:r w:rsidRPr="00C67D20">
        <w:rPr>
          <w:rFonts w:cs="Times New Roman"/>
          <w:szCs w:val="24"/>
        </w:rPr>
        <w:t>Bohle</w:t>
      </w:r>
      <w:proofErr w:type="spellEnd"/>
      <w:r w:rsidRPr="00C67D20">
        <w:rPr>
          <w:rFonts w:cs="Times New Roman"/>
          <w:szCs w:val="24"/>
        </w:rPr>
        <w:t xml:space="preserve">, A. (2021, March 10). Knox Promise programs helps students soar. </w:t>
      </w:r>
      <w:r w:rsidRPr="00C67D20">
        <w:rPr>
          <w:rFonts w:cs="Times New Roman"/>
          <w:i/>
          <w:szCs w:val="24"/>
        </w:rPr>
        <w:t>WVLT 8</w:t>
      </w:r>
      <w:r w:rsidRPr="00C67D20">
        <w:rPr>
          <w:rFonts w:cs="Times New Roman"/>
          <w:szCs w:val="24"/>
        </w:rPr>
        <w:t>. https://www.wvlt.tv/2021/03/10/knox-promise-program-helps-students-soar/</w:t>
      </w:r>
    </w:p>
    <w:p w14:paraId="5EA3A353" w14:textId="1847DDBC" w:rsidR="00827F97" w:rsidRPr="00FA38B2" w:rsidRDefault="00827F97" w:rsidP="0015321A">
      <w:pPr>
        <w:ind w:left="720" w:hanging="720"/>
        <w:rPr>
          <w:rFonts w:cs="Times New Roman"/>
          <w:szCs w:val="24"/>
        </w:rPr>
      </w:pPr>
      <w:r w:rsidRPr="00FA38B2">
        <w:rPr>
          <w:rFonts w:cs="Times New Roman"/>
          <w:szCs w:val="24"/>
        </w:rPr>
        <w:t xml:space="preserve">Bourdieu, P. (1984). </w:t>
      </w:r>
      <w:r w:rsidRPr="00FA38B2">
        <w:rPr>
          <w:rFonts w:cs="Times New Roman"/>
          <w:i/>
          <w:szCs w:val="24"/>
        </w:rPr>
        <w:t>Distinction: A social critique of the judgement of taste.</w:t>
      </w:r>
      <w:r w:rsidRPr="00FA38B2">
        <w:rPr>
          <w:rFonts w:cs="Times New Roman"/>
          <w:szCs w:val="24"/>
        </w:rPr>
        <w:t xml:space="preserve"> (R. Nice, trans.). Harvard University Press. (Original work published 1979)</w:t>
      </w:r>
    </w:p>
    <w:p w14:paraId="46BD8DE1" w14:textId="77777777" w:rsidR="00827F97" w:rsidRPr="00FA38B2" w:rsidRDefault="00827F97" w:rsidP="0015321A">
      <w:pPr>
        <w:ind w:left="720" w:hanging="720"/>
        <w:rPr>
          <w:rFonts w:cs="Times New Roman"/>
          <w:szCs w:val="24"/>
        </w:rPr>
      </w:pPr>
      <w:r w:rsidRPr="00FA38B2">
        <w:rPr>
          <w:rFonts w:cs="Times New Roman"/>
          <w:szCs w:val="24"/>
        </w:rPr>
        <w:t xml:space="preserve">Carruthers, C. K. &amp; Fox, W. F. (2016). Aid for all: College coaching, financial aid, and post-secondary persistence in Tennessee. </w:t>
      </w:r>
      <w:r w:rsidRPr="00FA38B2">
        <w:rPr>
          <w:rFonts w:cs="Times New Roman"/>
          <w:i/>
          <w:szCs w:val="24"/>
        </w:rPr>
        <w:t>Economics of Education Review</w:t>
      </w:r>
      <w:r w:rsidRPr="00FA38B2">
        <w:rPr>
          <w:rFonts w:cs="Times New Roman"/>
          <w:szCs w:val="24"/>
        </w:rPr>
        <w:t xml:space="preserve">, </w:t>
      </w:r>
      <w:r w:rsidRPr="00FA38B2">
        <w:rPr>
          <w:rFonts w:cs="Times New Roman"/>
          <w:i/>
          <w:iCs/>
          <w:szCs w:val="24"/>
        </w:rPr>
        <w:t>51</w:t>
      </w:r>
      <w:r w:rsidRPr="00FA38B2">
        <w:rPr>
          <w:rFonts w:cs="Times New Roman"/>
          <w:szCs w:val="24"/>
        </w:rPr>
        <w:t>, 97-112.</w:t>
      </w:r>
    </w:p>
    <w:p w14:paraId="70F8CBB3" w14:textId="77777777" w:rsidR="00827F97" w:rsidRPr="00FA38B2" w:rsidRDefault="00827F97" w:rsidP="0015321A">
      <w:pPr>
        <w:ind w:left="720" w:hanging="720"/>
        <w:rPr>
          <w:rFonts w:cs="Times New Roman"/>
          <w:szCs w:val="24"/>
        </w:rPr>
      </w:pPr>
      <w:r w:rsidRPr="00FA38B2">
        <w:rPr>
          <w:rFonts w:cs="Times New Roman"/>
          <w:szCs w:val="24"/>
        </w:rPr>
        <w:t xml:space="preserve">Carruthers, C. K. &amp; Welch, J. G. (2020). </w:t>
      </w:r>
      <w:r w:rsidRPr="00FA38B2">
        <w:rPr>
          <w:rFonts w:cs="Times New Roman"/>
          <w:i/>
          <w:szCs w:val="24"/>
        </w:rPr>
        <w:t>Can financial aid (Re)connect students to college? Evidence from Tennessee Colleges of Applied Technology</w:t>
      </w:r>
      <w:r w:rsidRPr="00FA38B2">
        <w:rPr>
          <w:rFonts w:cs="Times New Roman"/>
          <w:szCs w:val="24"/>
        </w:rPr>
        <w:t>. https://haslam.utk.edu/sites/default/files/TN%20Pearl.pdf</w:t>
      </w:r>
    </w:p>
    <w:p w14:paraId="13AB7F80" w14:textId="77777777" w:rsidR="00827F97" w:rsidRPr="00FA38B2" w:rsidRDefault="00827F97" w:rsidP="0015321A">
      <w:pPr>
        <w:ind w:left="720" w:hanging="720"/>
        <w:rPr>
          <w:rFonts w:cs="Times New Roman"/>
          <w:szCs w:val="24"/>
        </w:rPr>
      </w:pPr>
      <w:r w:rsidRPr="00FA38B2">
        <w:rPr>
          <w:rFonts w:cs="Times New Roman"/>
          <w:szCs w:val="24"/>
        </w:rPr>
        <w:t xml:space="preserve">Cowan, J., </w:t>
      </w:r>
      <w:proofErr w:type="spellStart"/>
      <w:r w:rsidRPr="00FA38B2">
        <w:rPr>
          <w:rFonts w:cs="Times New Roman"/>
          <w:szCs w:val="24"/>
        </w:rPr>
        <w:t>Goldhaber</w:t>
      </w:r>
      <w:proofErr w:type="spellEnd"/>
      <w:r w:rsidRPr="00FA38B2">
        <w:rPr>
          <w:rFonts w:cs="Times New Roman"/>
          <w:szCs w:val="24"/>
        </w:rPr>
        <w:t xml:space="preserve">, D., </w:t>
      </w:r>
      <w:proofErr w:type="spellStart"/>
      <w:r w:rsidRPr="00FA38B2">
        <w:rPr>
          <w:rFonts w:cs="Times New Roman"/>
          <w:szCs w:val="24"/>
        </w:rPr>
        <w:t>Holzer</w:t>
      </w:r>
      <w:proofErr w:type="spellEnd"/>
      <w:r w:rsidRPr="00FA38B2">
        <w:rPr>
          <w:rFonts w:cs="Times New Roman"/>
          <w:szCs w:val="24"/>
        </w:rPr>
        <w:t xml:space="preserve">, H. J., Naito, N., &amp; Xu, Z. (2020). </w:t>
      </w:r>
      <w:r w:rsidRPr="00FA38B2">
        <w:rPr>
          <w:rFonts w:cs="Times New Roman"/>
          <w:i/>
          <w:szCs w:val="24"/>
        </w:rPr>
        <w:t>Career and Technical Education in High School and Postsecondary Career Pathways in Washington State</w:t>
      </w:r>
      <w:r w:rsidRPr="00FA38B2">
        <w:rPr>
          <w:rFonts w:cs="Times New Roman"/>
          <w:szCs w:val="24"/>
        </w:rPr>
        <w:t>. http://hdl.handle.net/10419/227344</w:t>
      </w:r>
    </w:p>
    <w:p w14:paraId="35471383" w14:textId="77777777" w:rsidR="00827F97" w:rsidRPr="00FA38B2" w:rsidRDefault="00827F97" w:rsidP="0015321A">
      <w:pPr>
        <w:ind w:left="720" w:hanging="720"/>
        <w:rPr>
          <w:rFonts w:cs="Times New Roman"/>
          <w:szCs w:val="24"/>
        </w:rPr>
      </w:pPr>
      <w:r w:rsidRPr="00FA38B2">
        <w:rPr>
          <w:rFonts w:cs="Times New Roman"/>
          <w:szCs w:val="24"/>
        </w:rPr>
        <w:t xml:space="preserve">Cunningham, S. (2021). </w:t>
      </w:r>
      <w:r w:rsidRPr="00FA38B2">
        <w:rPr>
          <w:rFonts w:cs="Times New Roman"/>
          <w:i/>
          <w:szCs w:val="24"/>
        </w:rPr>
        <w:t>Causal Inference: The Mixtape</w:t>
      </w:r>
      <w:r w:rsidRPr="00FA38B2">
        <w:rPr>
          <w:rFonts w:cs="Times New Roman"/>
          <w:szCs w:val="24"/>
        </w:rPr>
        <w:t>. Yale University Press.</w:t>
      </w:r>
    </w:p>
    <w:p w14:paraId="02C46368" w14:textId="77777777" w:rsidR="00827F97" w:rsidRPr="00FA38B2" w:rsidRDefault="00827F97" w:rsidP="0015321A">
      <w:pPr>
        <w:ind w:left="720" w:hanging="720"/>
        <w:rPr>
          <w:rFonts w:cs="Times New Roman"/>
          <w:szCs w:val="24"/>
        </w:rPr>
      </w:pPr>
      <w:r w:rsidRPr="00FA38B2">
        <w:rPr>
          <w:rFonts w:cs="Times New Roman"/>
          <w:szCs w:val="24"/>
        </w:rPr>
        <w:t xml:space="preserve">Donald, S. G. &amp; Lang, K. (2007). Inference with difference-in-differences and other panel data. </w:t>
      </w:r>
      <w:r w:rsidRPr="00FA38B2">
        <w:rPr>
          <w:rFonts w:cs="Times New Roman"/>
          <w:i/>
          <w:szCs w:val="24"/>
        </w:rPr>
        <w:t>The Review of Economics and Statistics, 89</w:t>
      </w:r>
      <w:r w:rsidRPr="00FA38B2">
        <w:rPr>
          <w:rFonts w:cs="Times New Roman"/>
          <w:szCs w:val="24"/>
        </w:rPr>
        <w:t>(2), 221-233. https://doi.org/10.1162/rest.89.2.221</w:t>
      </w:r>
    </w:p>
    <w:p w14:paraId="432645F4" w14:textId="77777777" w:rsidR="00827F97" w:rsidRPr="00FA38B2" w:rsidRDefault="00827F97" w:rsidP="0015321A">
      <w:pPr>
        <w:ind w:left="720" w:hanging="720"/>
        <w:rPr>
          <w:rFonts w:cs="Times New Roman"/>
          <w:szCs w:val="24"/>
        </w:rPr>
      </w:pPr>
      <w:r w:rsidRPr="00FA38B2">
        <w:rPr>
          <w:rFonts w:cs="Times New Roman"/>
          <w:szCs w:val="24"/>
        </w:rPr>
        <w:lastRenderedPageBreak/>
        <w:t xml:space="preserve">Dougherty, S. M. &amp; Lombardi, A. R. (2016). </w:t>
      </w:r>
      <w:r w:rsidRPr="00FA38B2">
        <w:rPr>
          <w:rFonts w:cs="Times New Roman"/>
          <w:i/>
          <w:szCs w:val="24"/>
        </w:rPr>
        <w:t>Review of Research in Education</w:t>
      </w:r>
      <w:r w:rsidRPr="00FA38B2">
        <w:rPr>
          <w:rFonts w:cs="Times New Roman"/>
          <w:i/>
          <w:iCs/>
          <w:szCs w:val="24"/>
        </w:rPr>
        <w:t>, 40,</w:t>
      </w:r>
      <w:r w:rsidRPr="00FA38B2">
        <w:rPr>
          <w:rFonts w:cs="Times New Roman"/>
          <w:szCs w:val="24"/>
        </w:rPr>
        <w:t xml:space="preserve"> 326-355. 10.3102/0091732X16678602</w:t>
      </w:r>
    </w:p>
    <w:p w14:paraId="2E566BD3" w14:textId="77777777" w:rsidR="00827F97" w:rsidRPr="00FA38B2" w:rsidRDefault="00827F97" w:rsidP="0015321A">
      <w:pPr>
        <w:ind w:left="720" w:hanging="720"/>
        <w:rPr>
          <w:rFonts w:cs="Times New Roman"/>
          <w:szCs w:val="24"/>
        </w:rPr>
      </w:pPr>
      <w:proofErr w:type="spellStart"/>
      <w:r w:rsidRPr="00FA38B2">
        <w:rPr>
          <w:rFonts w:cs="Times New Roman"/>
          <w:szCs w:val="24"/>
        </w:rPr>
        <w:t>Hersperger</w:t>
      </w:r>
      <w:proofErr w:type="spellEnd"/>
      <w:r w:rsidRPr="00FA38B2">
        <w:rPr>
          <w:rFonts w:cs="Times New Roman"/>
          <w:szCs w:val="24"/>
        </w:rPr>
        <w:t xml:space="preserve">, S. L., Slate, J. R., &amp; Edmonson, S. L. (2013). A review of the career and technical education research literature. </w:t>
      </w:r>
      <w:r w:rsidRPr="00FA38B2">
        <w:rPr>
          <w:rFonts w:cs="Times New Roman"/>
          <w:i/>
          <w:szCs w:val="24"/>
        </w:rPr>
        <w:t>Journal of Education Research</w:t>
      </w:r>
      <w:r w:rsidRPr="00FA38B2">
        <w:rPr>
          <w:rFonts w:cs="Times New Roman"/>
          <w:szCs w:val="24"/>
        </w:rPr>
        <w:t>,</w:t>
      </w:r>
      <w:r w:rsidRPr="00FA38B2">
        <w:rPr>
          <w:rFonts w:cs="Times New Roman"/>
          <w:i/>
          <w:iCs/>
          <w:szCs w:val="24"/>
        </w:rPr>
        <w:t xml:space="preserve"> 7</w:t>
      </w:r>
      <w:r w:rsidRPr="00FA38B2">
        <w:rPr>
          <w:rFonts w:cs="Times New Roman"/>
          <w:szCs w:val="24"/>
        </w:rPr>
        <w:t>(3). https://eds.a.ebscohost.com/eds/detail/detail?vid=0&amp;sid=0c348be2-3ea2-4c35-9518-7cdad9c6f092%40sessionmgr4008&amp;bdata=JnNjb3BlPXNpdGU%3d#AN=93735878&amp;db=eue</w:t>
      </w:r>
    </w:p>
    <w:p w14:paraId="44734163" w14:textId="77777777" w:rsidR="00827F97" w:rsidRPr="00FA38B2" w:rsidRDefault="00827F97" w:rsidP="0015321A">
      <w:pPr>
        <w:ind w:left="720" w:hanging="720"/>
        <w:rPr>
          <w:rFonts w:cs="Times New Roman"/>
          <w:szCs w:val="24"/>
        </w:rPr>
      </w:pPr>
      <w:r w:rsidRPr="00FA38B2">
        <w:rPr>
          <w:rFonts w:cs="Times New Roman"/>
          <w:szCs w:val="24"/>
        </w:rPr>
        <w:t xml:space="preserve">Hillman, N. W., Tandberg, D. A., &amp; Fryar, A. H. (2015). Evaluating the impacts of “new” performance funding in higher education. </w:t>
      </w:r>
      <w:r w:rsidRPr="00FA38B2">
        <w:rPr>
          <w:rFonts w:cs="Times New Roman"/>
          <w:i/>
          <w:szCs w:val="24"/>
        </w:rPr>
        <w:t>Educational Evaluation and Policy Analysis, 37</w:t>
      </w:r>
      <w:r w:rsidRPr="00FA38B2">
        <w:rPr>
          <w:rFonts w:cs="Times New Roman"/>
          <w:szCs w:val="24"/>
        </w:rPr>
        <w:t>(4), 501-519. https://doi.org/10.3102/0162373714560224</w:t>
      </w:r>
    </w:p>
    <w:p w14:paraId="14A05499" w14:textId="77777777" w:rsidR="00827F97" w:rsidRPr="00FA38B2" w:rsidRDefault="00827F97" w:rsidP="0015321A">
      <w:pPr>
        <w:ind w:left="720" w:hanging="720"/>
        <w:rPr>
          <w:rFonts w:cs="Times New Roman"/>
          <w:szCs w:val="24"/>
        </w:rPr>
      </w:pPr>
      <w:r w:rsidRPr="00FA38B2">
        <w:rPr>
          <w:rFonts w:cs="Times New Roman"/>
          <w:szCs w:val="24"/>
        </w:rPr>
        <w:t xml:space="preserve">Hu, Y. &amp; Hoover, D. (2018). Simple power and sample size estimation for non-randomized longitudinal difference in differences studies. </w:t>
      </w:r>
      <w:r w:rsidRPr="00FA38B2">
        <w:rPr>
          <w:rFonts w:cs="Times New Roman"/>
          <w:i/>
          <w:iCs/>
          <w:szCs w:val="24"/>
        </w:rPr>
        <w:t>Journal of Biometrics and Biostatistics, 9</w:t>
      </w:r>
      <w:r w:rsidRPr="00FA38B2">
        <w:rPr>
          <w:rFonts w:cs="Times New Roman"/>
          <w:szCs w:val="24"/>
        </w:rPr>
        <w:t xml:space="preserve">(5). https://doi.org/10.4172/2155-6180.1000415  </w:t>
      </w:r>
    </w:p>
    <w:p w14:paraId="65DA3F0E" w14:textId="77777777" w:rsidR="00827F97" w:rsidRPr="00FA38B2" w:rsidRDefault="00827F97" w:rsidP="0015321A">
      <w:pPr>
        <w:ind w:left="720" w:hanging="720"/>
        <w:rPr>
          <w:rFonts w:cs="Times New Roman"/>
          <w:szCs w:val="24"/>
        </w:rPr>
      </w:pPr>
      <w:proofErr w:type="spellStart"/>
      <w:r w:rsidRPr="00FA38B2">
        <w:rPr>
          <w:rFonts w:cs="Times New Roman"/>
          <w:szCs w:val="24"/>
        </w:rPr>
        <w:t>Kelchen</w:t>
      </w:r>
      <w:proofErr w:type="spellEnd"/>
      <w:r w:rsidRPr="00FA38B2">
        <w:rPr>
          <w:rFonts w:cs="Times New Roman"/>
          <w:szCs w:val="24"/>
        </w:rPr>
        <w:t xml:space="preserve">, R. (2018). Do performance-based funding policies affect underrepresented student enrollment? </w:t>
      </w:r>
      <w:r w:rsidRPr="00FA38B2">
        <w:rPr>
          <w:rFonts w:cs="Times New Roman"/>
          <w:i/>
          <w:iCs/>
          <w:szCs w:val="24"/>
        </w:rPr>
        <w:t>The Journal of Higher Education, 89</w:t>
      </w:r>
      <w:r w:rsidRPr="00FA38B2">
        <w:rPr>
          <w:rFonts w:cs="Times New Roman"/>
          <w:szCs w:val="24"/>
        </w:rPr>
        <w:t>(5), 702-727. https://doi.org/10.1080/00221546.2018.1434282</w:t>
      </w:r>
    </w:p>
    <w:p w14:paraId="00B1F540" w14:textId="77777777" w:rsidR="00827F97" w:rsidRPr="00FA38B2" w:rsidRDefault="00827F97" w:rsidP="0015321A">
      <w:pPr>
        <w:ind w:left="720" w:hanging="720"/>
        <w:rPr>
          <w:rFonts w:cs="Times New Roman"/>
          <w:szCs w:val="24"/>
        </w:rPr>
      </w:pPr>
      <w:r w:rsidRPr="00FA38B2">
        <w:rPr>
          <w:rFonts w:cs="Times New Roman"/>
          <w:szCs w:val="24"/>
        </w:rPr>
        <w:t xml:space="preserve">Kim, Y. &amp; Steiner, P. (2016). Quasi-experimental designs for causal inference. </w:t>
      </w:r>
      <w:r w:rsidRPr="00FA38B2">
        <w:rPr>
          <w:rFonts w:cs="Times New Roman"/>
          <w:i/>
          <w:szCs w:val="24"/>
        </w:rPr>
        <w:t>Educational Psychologist</w:t>
      </w:r>
      <w:r w:rsidRPr="00FA38B2">
        <w:rPr>
          <w:rFonts w:cs="Times New Roman"/>
          <w:szCs w:val="24"/>
        </w:rPr>
        <w:t xml:space="preserve">, </w:t>
      </w:r>
      <w:r w:rsidRPr="00FA38B2">
        <w:rPr>
          <w:rFonts w:cs="Times New Roman"/>
          <w:i/>
          <w:szCs w:val="24"/>
        </w:rPr>
        <w:t>51</w:t>
      </w:r>
      <w:r w:rsidRPr="00FA38B2">
        <w:rPr>
          <w:rFonts w:cs="Times New Roman"/>
          <w:szCs w:val="24"/>
        </w:rPr>
        <w:t>(3-4), 395-405. https://doi.org/10.1080/00461520.2016.1207177</w:t>
      </w:r>
    </w:p>
    <w:p w14:paraId="461A40B6" w14:textId="77777777" w:rsidR="00827F97" w:rsidRPr="00FA38B2" w:rsidRDefault="00827F97" w:rsidP="0015321A">
      <w:pPr>
        <w:ind w:left="720" w:hanging="720"/>
        <w:rPr>
          <w:rFonts w:cs="Times New Roman"/>
          <w:szCs w:val="24"/>
        </w:rPr>
      </w:pPr>
      <w:proofErr w:type="spellStart"/>
      <w:r w:rsidRPr="00FA38B2">
        <w:rPr>
          <w:rFonts w:cs="Times New Roman"/>
          <w:szCs w:val="24"/>
        </w:rPr>
        <w:t>Klempin</w:t>
      </w:r>
      <w:proofErr w:type="spellEnd"/>
      <w:r w:rsidRPr="00FA38B2">
        <w:rPr>
          <w:rFonts w:cs="Times New Roman"/>
          <w:szCs w:val="24"/>
        </w:rPr>
        <w:t xml:space="preserve"> A. &amp; Lahr, H. (2021). </w:t>
      </w:r>
      <w:r w:rsidRPr="00FA38B2">
        <w:rPr>
          <w:rFonts w:cs="Times New Roman"/>
          <w:i/>
          <w:szCs w:val="24"/>
        </w:rPr>
        <w:t>How guided pathways reforms can improve support for adult students: Lessons from three Tennessee community colleges</w:t>
      </w:r>
      <w:r w:rsidRPr="00FA38B2">
        <w:rPr>
          <w:rFonts w:cs="Times New Roman"/>
          <w:szCs w:val="24"/>
        </w:rPr>
        <w:t>. https://ccrc.tc.columbia.edu/media/k2/attachments/guided-pathways-adult-students-tennessee.pdf</w:t>
      </w:r>
    </w:p>
    <w:p w14:paraId="78316340" w14:textId="77777777" w:rsidR="00827F97" w:rsidRPr="00FA38B2" w:rsidRDefault="00827F97" w:rsidP="0015321A">
      <w:pPr>
        <w:ind w:left="720" w:hanging="720"/>
        <w:rPr>
          <w:rFonts w:cs="Times New Roman"/>
          <w:szCs w:val="24"/>
        </w:rPr>
      </w:pPr>
      <w:proofErr w:type="spellStart"/>
      <w:r w:rsidRPr="00FA38B2">
        <w:rPr>
          <w:rFonts w:cs="Times New Roman"/>
          <w:szCs w:val="24"/>
        </w:rPr>
        <w:lastRenderedPageBreak/>
        <w:t>Luedke</w:t>
      </w:r>
      <w:proofErr w:type="spellEnd"/>
      <w:r w:rsidRPr="00FA38B2">
        <w:rPr>
          <w:rFonts w:cs="Times New Roman"/>
          <w:szCs w:val="24"/>
        </w:rPr>
        <w:t xml:space="preserve">, C. L., Collom, G. D., McCoy, D. L., Lee-Johnson, J., &amp; Winkle-Wagner, R. (2019). Connecting identity with research: Socializing Students of Color towards seeing themselves as scholars. </w:t>
      </w:r>
      <w:r w:rsidRPr="00FA38B2">
        <w:rPr>
          <w:rFonts w:cs="Times New Roman"/>
          <w:i/>
          <w:szCs w:val="24"/>
        </w:rPr>
        <w:t>The Review of Higher Education</w:t>
      </w:r>
      <w:r w:rsidRPr="00FA38B2">
        <w:rPr>
          <w:rFonts w:cs="Times New Roman"/>
          <w:szCs w:val="24"/>
        </w:rPr>
        <w:t xml:space="preserve">, </w:t>
      </w:r>
      <w:r w:rsidRPr="00FA38B2">
        <w:rPr>
          <w:rFonts w:cs="Times New Roman"/>
          <w:i/>
          <w:iCs/>
          <w:szCs w:val="24"/>
        </w:rPr>
        <w:t>42</w:t>
      </w:r>
      <w:r w:rsidRPr="00FA38B2">
        <w:rPr>
          <w:rFonts w:cs="Times New Roman"/>
          <w:szCs w:val="24"/>
        </w:rPr>
        <w:t>(4), 1529-1549. https://doi.org/10.1353/rhe.2019.0074</w:t>
      </w:r>
    </w:p>
    <w:p w14:paraId="19B99174" w14:textId="77777777" w:rsidR="00827F97" w:rsidRPr="00FA38B2" w:rsidRDefault="00827F97" w:rsidP="0015321A">
      <w:pPr>
        <w:ind w:left="720" w:hanging="720"/>
        <w:rPr>
          <w:rFonts w:cs="Times New Roman"/>
          <w:szCs w:val="24"/>
        </w:rPr>
      </w:pPr>
      <w:r w:rsidRPr="00FA38B2">
        <w:rPr>
          <w:rFonts w:cs="Times New Roman"/>
          <w:szCs w:val="24"/>
        </w:rPr>
        <w:t xml:space="preserve">Lumina Foundation (2019). </w:t>
      </w:r>
      <w:r w:rsidRPr="00FA38B2">
        <w:rPr>
          <w:rFonts w:cs="Times New Roman"/>
          <w:i/>
          <w:szCs w:val="24"/>
        </w:rPr>
        <w:t>A stronger nation: Learning beyond high school builds American talent (National report)</w:t>
      </w:r>
      <w:r w:rsidRPr="00FA38B2">
        <w:rPr>
          <w:rFonts w:cs="Times New Roman"/>
          <w:szCs w:val="24"/>
        </w:rPr>
        <w:t>. Retrieved from www.luminafoundation.org/2a0a02cb-bb8b-423d-9322-819778ade3d4</w:t>
      </w:r>
    </w:p>
    <w:p w14:paraId="7F0DC4B6" w14:textId="77777777" w:rsidR="00827F97" w:rsidRPr="00FA38B2" w:rsidRDefault="00827F97" w:rsidP="0015321A">
      <w:pPr>
        <w:ind w:left="720" w:hanging="720"/>
        <w:rPr>
          <w:rFonts w:cs="Times New Roman"/>
          <w:szCs w:val="24"/>
        </w:rPr>
      </w:pPr>
      <w:r w:rsidRPr="00FA38B2">
        <w:rPr>
          <w:rFonts w:cs="Times New Roman"/>
          <w:szCs w:val="24"/>
        </w:rPr>
        <w:t xml:space="preserve">Nguyen, H. (2019). Free tuition and college enrollment: Evidence from New York’s Excelsior program. </w:t>
      </w:r>
      <w:r w:rsidRPr="00FA38B2">
        <w:rPr>
          <w:rFonts w:cs="Times New Roman"/>
          <w:i/>
          <w:iCs/>
          <w:szCs w:val="24"/>
        </w:rPr>
        <w:t>Education Economics, 27</w:t>
      </w:r>
      <w:r w:rsidRPr="00FA38B2">
        <w:rPr>
          <w:rFonts w:cs="Times New Roman"/>
          <w:szCs w:val="24"/>
        </w:rPr>
        <w:t>(6), 573-587. https://doi.org/10.1080/09645292.2019.1652727</w:t>
      </w:r>
    </w:p>
    <w:p w14:paraId="4E407573" w14:textId="77777777" w:rsidR="00827F97" w:rsidRPr="00FA38B2" w:rsidRDefault="00827F97" w:rsidP="0015321A">
      <w:pPr>
        <w:ind w:left="720" w:hanging="720"/>
        <w:rPr>
          <w:rFonts w:cs="Times New Roman"/>
          <w:szCs w:val="24"/>
        </w:rPr>
      </w:pPr>
      <w:r w:rsidRPr="00FA38B2">
        <w:rPr>
          <w:rFonts w:cs="Times New Roman"/>
          <w:szCs w:val="24"/>
        </w:rPr>
        <w:t xml:space="preserve">Nguyen, H. (2020). Free college? Assessing enrollment responses to the Tennessee Promise program. </w:t>
      </w:r>
      <w:proofErr w:type="spellStart"/>
      <w:r w:rsidRPr="00FA38B2">
        <w:rPr>
          <w:rFonts w:cs="Times New Roman"/>
          <w:i/>
          <w:szCs w:val="24"/>
        </w:rPr>
        <w:t>Labour</w:t>
      </w:r>
      <w:proofErr w:type="spellEnd"/>
      <w:r w:rsidRPr="00FA38B2">
        <w:rPr>
          <w:rFonts w:cs="Times New Roman"/>
          <w:i/>
          <w:szCs w:val="24"/>
        </w:rPr>
        <w:t xml:space="preserve"> Economics</w:t>
      </w:r>
      <w:r w:rsidRPr="00FA38B2">
        <w:rPr>
          <w:rFonts w:cs="Times New Roman"/>
          <w:szCs w:val="24"/>
        </w:rPr>
        <w:t xml:space="preserve">, </w:t>
      </w:r>
      <w:r w:rsidRPr="00FA38B2">
        <w:rPr>
          <w:rFonts w:cs="Times New Roman"/>
          <w:i/>
          <w:iCs/>
          <w:szCs w:val="24"/>
        </w:rPr>
        <w:t>66</w:t>
      </w:r>
      <w:r w:rsidRPr="00FA38B2">
        <w:rPr>
          <w:rFonts w:cs="Times New Roman"/>
          <w:szCs w:val="24"/>
        </w:rPr>
        <w:t>. Advance online publication. https://doi.org/10.1016/j.labeco.2020.101882</w:t>
      </w:r>
    </w:p>
    <w:p w14:paraId="19E69605" w14:textId="77777777" w:rsidR="00827F97" w:rsidRPr="00FA38B2" w:rsidRDefault="00827F97" w:rsidP="0015321A">
      <w:pPr>
        <w:ind w:left="720" w:hanging="720"/>
        <w:rPr>
          <w:rFonts w:cs="Times New Roman"/>
          <w:i/>
          <w:szCs w:val="24"/>
        </w:rPr>
      </w:pPr>
      <w:r w:rsidRPr="00FA38B2">
        <w:rPr>
          <w:rFonts w:cs="Times New Roman"/>
          <w:szCs w:val="24"/>
        </w:rPr>
        <w:t xml:space="preserve">Obama, B. (2009, February). </w:t>
      </w:r>
      <w:r w:rsidRPr="00FA38B2">
        <w:rPr>
          <w:rFonts w:cs="Times New Roman"/>
          <w:i/>
          <w:szCs w:val="24"/>
        </w:rPr>
        <w:t>Remarks of President Barack Obama -- Address to Joint Session</w:t>
      </w:r>
    </w:p>
    <w:p w14:paraId="3E15FE1B" w14:textId="77777777" w:rsidR="00827F97" w:rsidRPr="00FA38B2" w:rsidRDefault="00827F97" w:rsidP="0015321A">
      <w:pPr>
        <w:ind w:left="720"/>
        <w:rPr>
          <w:rFonts w:cs="Times New Roman"/>
          <w:szCs w:val="24"/>
        </w:rPr>
      </w:pPr>
      <w:r w:rsidRPr="00FA38B2">
        <w:rPr>
          <w:rFonts w:cs="Times New Roman"/>
          <w:i/>
          <w:szCs w:val="24"/>
        </w:rPr>
        <w:t>of Congress</w:t>
      </w:r>
      <w:r w:rsidRPr="00FA38B2">
        <w:rPr>
          <w:rFonts w:cs="Times New Roman"/>
          <w:szCs w:val="24"/>
        </w:rPr>
        <w:t>. Washington, DC. https://obamawhitehouse.archives.gov/the-press-office/remarks-president-barack-obama-address-joint-session-congress</w:t>
      </w:r>
    </w:p>
    <w:p w14:paraId="6CC225CD" w14:textId="68E7C26F" w:rsidR="00827F97" w:rsidRPr="00FA38B2" w:rsidRDefault="00827F97" w:rsidP="0015321A">
      <w:pPr>
        <w:ind w:left="720" w:hanging="720"/>
        <w:rPr>
          <w:rFonts w:cs="Times New Roman"/>
          <w:szCs w:val="24"/>
        </w:rPr>
      </w:pPr>
      <w:proofErr w:type="spellStart"/>
      <w:r w:rsidRPr="00FA38B2">
        <w:rPr>
          <w:rFonts w:cs="Times New Roman"/>
          <w:szCs w:val="24"/>
        </w:rPr>
        <w:t>Odle</w:t>
      </w:r>
      <w:proofErr w:type="spellEnd"/>
      <w:r w:rsidRPr="00FA38B2">
        <w:rPr>
          <w:rFonts w:cs="Times New Roman"/>
          <w:szCs w:val="24"/>
        </w:rPr>
        <w:t>, T. K., Lee, J. C., &amp; Gentile, S. P. (</w:t>
      </w:r>
      <w:r w:rsidR="00232E7B">
        <w:rPr>
          <w:rFonts w:cs="Times New Roman"/>
          <w:szCs w:val="24"/>
        </w:rPr>
        <w:t>2021</w:t>
      </w:r>
      <w:r w:rsidRPr="00FA38B2">
        <w:rPr>
          <w:rFonts w:cs="Times New Roman"/>
          <w:szCs w:val="24"/>
        </w:rPr>
        <w:t xml:space="preserve">). Do promise programs reduce student loans? Evidence from Tennessee Promise. </w:t>
      </w:r>
      <w:r w:rsidRPr="00FA38B2">
        <w:rPr>
          <w:rFonts w:cs="Times New Roman"/>
          <w:i/>
          <w:szCs w:val="24"/>
        </w:rPr>
        <w:t>The Journal of Higher Education</w:t>
      </w:r>
      <w:r w:rsidRPr="00FA38B2">
        <w:rPr>
          <w:rFonts w:cs="Times New Roman"/>
          <w:szCs w:val="24"/>
        </w:rPr>
        <w:t xml:space="preserve">. </w:t>
      </w:r>
      <w:r w:rsidR="00232E7B">
        <w:rPr>
          <w:rFonts w:cs="Times New Roman"/>
          <w:szCs w:val="24"/>
        </w:rPr>
        <w:t xml:space="preserve">Advance online publication. </w:t>
      </w:r>
      <w:r w:rsidR="00232E7B" w:rsidRPr="00232E7B">
        <w:rPr>
          <w:rFonts w:cs="Times New Roman"/>
          <w:szCs w:val="24"/>
        </w:rPr>
        <w:t>https://doi.org/10.1080/00221546.2021.1888674</w:t>
      </w:r>
    </w:p>
    <w:p w14:paraId="6F311B10" w14:textId="77777777" w:rsidR="00827F97" w:rsidRPr="00FA38B2" w:rsidRDefault="00827F97" w:rsidP="0015321A">
      <w:pPr>
        <w:ind w:left="720" w:hanging="720"/>
        <w:rPr>
          <w:rFonts w:cs="Times New Roman"/>
          <w:szCs w:val="24"/>
        </w:rPr>
      </w:pPr>
      <w:r w:rsidRPr="00FA38B2">
        <w:rPr>
          <w:rFonts w:cs="Times New Roman"/>
          <w:szCs w:val="24"/>
        </w:rPr>
        <w:t xml:space="preserve">Office of Career, Technical, and Adult Education (2018). </w:t>
      </w:r>
      <w:r w:rsidRPr="00FA38B2">
        <w:rPr>
          <w:rFonts w:cs="Times New Roman"/>
          <w:i/>
          <w:szCs w:val="24"/>
        </w:rPr>
        <w:t>Strengthening Career and Technical Education for the 21st Century Act Signed into Law</w:t>
      </w:r>
      <w:r w:rsidRPr="00FA38B2">
        <w:rPr>
          <w:rFonts w:cs="Times New Roman"/>
          <w:szCs w:val="24"/>
        </w:rPr>
        <w:t xml:space="preserve">. https://blog.ed.gov/2018/08/strengthening-career-technical-education-21st-century-act-signed-law/ </w:t>
      </w:r>
    </w:p>
    <w:p w14:paraId="49E81CBD" w14:textId="32DB6572" w:rsidR="00827F97" w:rsidRPr="00FA38B2" w:rsidRDefault="00827F97" w:rsidP="0015321A">
      <w:pPr>
        <w:ind w:left="720" w:hanging="720"/>
        <w:rPr>
          <w:rFonts w:cs="Times New Roman"/>
          <w:szCs w:val="24"/>
        </w:rPr>
      </w:pPr>
      <w:proofErr w:type="spellStart"/>
      <w:r w:rsidRPr="00FA38B2">
        <w:rPr>
          <w:rFonts w:cs="Times New Roman"/>
          <w:szCs w:val="24"/>
        </w:rPr>
        <w:lastRenderedPageBreak/>
        <w:t>Perna</w:t>
      </w:r>
      <w:proofErr w:type="spellEnd"/>
      <w:r w:rsidRPr="00FA38B2">
        <w:rPr>
          <w:rFonts w:cs="Times New Roman"/>
          <w:szCs w:val="24"/>
        </w:rPr>
        <w:t xml:space="preserve">, L.W. (2006). Studying college access and choice: A proposed conceptual mode. In J. C. Smart (Ed.) </w:t>
      </w:r>
      <w:r w:rsidRPr="00FA38B2">
        <w:rPr>
          <w:rFonts w:cs="Times New Roman"/>
          <w:i/>
          <w:szCs w:val="24"/>
        </w:rPr>
        <w:t>Higher education: Handbook of theory and research, XXI</w:t>
      </w:r>
      <w:r w:rsidRPr="00FA38B2">
        <w:rPr>
          <w:rFonts w:cs="Times New Roman"/>
          <w:szCs w:val="24"/>
        </w:rPr>
        <w:t>, (pp.99-157). Springer.</w:t>
      </w:r>
    </w:p>
    <w:p w14:paraId="68A35619" w14:textId="521488B1" w:rsidR="00827F97" w:rsidRPr="00FA38B2" w:rsidRDefault="00827F97" w:rsidP="0015321A">
      <w:pPr>
        <w:ind w:left="720" w:hanging="720"/>
        <w:rPr>
          <w:rFonts w:cs="Times New Roman"/>
          <w:szCs w:val="24"/>
        </w:rPr>
      </w:pPr>
      <w:r w:rsidRPr="00FA38B2">
        <w:rPr>
          <w:rFonts w:cs="Times New Roman"/>
          <w:szCs w:val="24"/>
        </w:rPr>
        <w:t xml:space="preserve">Stevens, A. H., </w:t>
      </w:r>
      <w:proofErr w:type="spellStart"/>
      <w:r w:rsidRPr="00FA38B2">
        <w:rPr>
          <w:rFonts w:cs="Times New Roman"/>
          <w:szCs w:val="24"/>
        </w:rPr>
        <w:t>Kurlaender</w:t>
      </w:r>
      <w:proofErr w:type="spellEnd"/>
      <w:r w:rsidRPr="00FA38B2">
        <w:rPr>
          <w:rFonts w:cs="Times New Roman"/>
          <w:szCs w:val="24"/>
        </w:rPr>
        <w:t xml:space="preserve">, M., &amp; Grosz, M. (2019). Career technical education and labor market outcomes evidence from California community colleges. </w:t>
      </w:r>
      <w:r w:rsidRPr="00FA38B2">
        <w:rPr>
          <w:rFonts w:cs="Times New Roman"/>
          <w:i/>
          <w:szCs w:val="24"/>
        </w:rPr>
        <w:t>Journal of Human Resources</w:t>
      </w:r>
      <w:r w:rsidRPr="00FA38B2">
        <w:rPr>
          <w:rFonts w:cs="Times New Roman"/>
          <w:szCs w:val="24"/>
        </w:rPr>
        <w:t xml:space="preserve">, </w:t>
      </w:r>
      <w:r w:rsidRPr="00FA38B2">
        <w:rPr>
          <w:rFonts w:cs="Times New Roman"/>
          <w:i/>
          <w:iCs/>
          <w:szCs w:val="24"/>
        </w:rPr>
        <w:t>54</w:t>
      </w:r>
      <w:r w:rsidRPr="00FA38B2">
        <w:rPr>
          <w:rFonts w:cs="Times New Roman"/>
          <w:szCs w:val="24"/>
        </w:rPr>
        <w:t>(4), 986-1036. 10.3368/jhr.54.4.1015.7449R2</w:t>
      </w:r>
    </w:p>
    <w:p w14:paraId="5D2AFC4F" w14:textId="77777777" w:rsidR="00827F97" w:rsidRPr="00FA38B2" w:rsidRDefault="00827F97" w:rsidP="0015321A">
      <w:pPr>
        <w:ind w:left="720" w:hanging="720"/>
        <w:rPr>
          <w:rFonts w:cs="Times New Roman"/>
          <w:szCs w:val="24"/>
        </w:rPr>
      </w:pPr>
      <w:r w:rsidRPr="00FA38B2">
        <w:rPr>
          <w:rFonts w:cs="Times New Roman"/>
          <w:szCs w:val="24"/>
        </w:rPr>
        <w:t>Strengthening Career and Technical Education for the 21</w:t>
      </w:r>
      <w:r w:rsidRPr="00FA38B2">
        <w:rPr>
          <w:rFonts w:cs="Times New Roman"/>
          <w:szCs w:val="24"/>
          <w:vertAlign w:val="superscript"/>
        </w:rPr>
        <w:t>st</w:t>
      </w:r>
      <w:r w:rsidRPr="00FA38B2">
        <w:rPr>
          <w:rFonts w:cs="Times New Roman"/>
          <w:szCs w:val="24"/>
        </w:rPr>
        <w:t xml:space="preserve"> Century Act, 20 U.S.C. </w:t>
      </w:r>
      <w:r w:rsidRPr="00FA38B2">
        <w:rPr>
          <w:rFonts w:cs="Times New Roman"/>
          <w:color w:val="333333"/>
          <w:szCs w:val="24"/>
          <w:shd w:val="clear" w:color="auto" w:fill="FFFFFF"/>
        </w:rPr>
        <w:t>§ </w:t>
      </w:r>
      <w:r w:rsidRPr="00FA38B2">
        <w:rPr>
          <w:rFonts w:cs="Times New Roman"/>
          <w:szCs w:val="24"/>
        </w:rPr>
        <w:t>2301 (2019). https://www.congress.gov/bill/115th-congress/house-bill/2353</w:t>
      </w:r>
    </w:p>
    <w:p w14:paraId="5EB2756C" w14:textId="096EB7ED" w:rsidR="006755DA" w:rsidRPr="00FA38B2" w:rsidRDefault="006755DA" w:rsidP="0015321A">
      <w:pPr>
        <w:ind w:left="720" w:hanging="720"/>
        <w:rPr>
          <w:rFonts w:cs="Times New Roman"/>
          <w:szCs w:val="24"/>
        </w:rPr>
      </w:pPr>
      <w:r w:rsidRPr="00FA38B2">
        <w:rPr>
          <w:rFonts w:cs="Times New Roman"/>
          <w:szCs w:val="24"/>
        </w:rPr>
        <w:t>Tennessee Promise (</w:t>
      </w:r>
      <w:proofErr w:type="spellStart"/>
      <w:r w:rsidRPr="00FA38B2">
        <w:rPr>
          <w:rFonts w:cs="Times New Roman"/>
          <w:szCs w:val="24"/>
        </w:rPr>
        <w:t>n.d.</w:t>
      </w:r>
      <w:proofErr w:type="spellEnd"/>
      <w:r w:rsidRPr="00FA38B2">
        <w:rPr>
          <w:rFonts w:cs="Times New Roman"/>
          <w:szCs w:val="24"/>
        </w:rPr>
        <w:t>)</w:t>
      </w:r>
      <w:r w:rsidR="000311FD" w:rsidRPr="00FA38B2">
        <w:rPr>
          <w:rFonts w:cs="Times New Roman"/>
          <w:szCs w:val="24"/>
        </w:rPr>
        <w:t xml:space="preserve">. </w:t>
      </w:r>
      <w:r w:rsidR="000311FD" w:rsidRPr="00FA38B2">
        <w:rPr>
          <w:rFonts w:cs="Times New Roman"/>
          <w:i/>
          <w:szCs w:val="24"/>
        </w:rPr>
        <w:t>About</w:t>
      </w:r>
      <w:r w:rsidR="000311FD" w:rsidRPr="00FA38B2">
        <w:rPr>
          <w:rFonts w:cs="Times New Roman"/>
          <w:szCs w:val="24"/>
        </w:rPr>
        <w:t>. https://driveto55.org/initiatives/tennessee-promise/</w:t>
      </w:r>
    </w:p>
    <w:p w14:paraId="551E4CDF" w14:textId="5EF456CA" w:rsidR="00827F97" w:rsidRPr="00FA38B2" w:rsidRDefault="00827F97" w:rsidP="0015321A">
      <w:pPr>
        <w:ind w:left="720" w:hanging="720"/>
        <w:rPr>
          <w:rFonts w:cs="Times New Roman"/>
          <w:szCs w:val="24"/>
        </w:rPr>
      </w:pPr>
      <w:r w:rsidRPr="00FA38B2">
        <w:rPr>
          <w:rFonts w:cs="Times New Roman"/>
          <w:szCs w:val="24"/>
        </w:rPr>
        <w:t>U.S. Department of Education/Office of Career, Technical, and Adult Education. (2020). Consolidated Annual Report [Data set]. https://perkins.ed.gov/pims/dataExplorer</w:t>
      </w:r>
    </w:p>
    <w:p w14:paraId="42302364" w14:textId="2CE8D095" w:rsidR="00827F97" w:rsidRPr="00FA38B2" w:rsidRDefault="00827F97" w:rsidP="0015321A">
      <w:pPr>
        <w:ind w:left="720" w:hanging="720"/>
        <w:rPr>
          <w:rFonts w:cs="Times New Roman"/>
          <w:szCs w:val="24"/>
        </w:rPr>
      </w:pPr>
      <w:r w:rsidRPr="00FA38B2">
        <w:rPr>
          <w:rFonts w:cs="Times New Roman"/>
          <w:szCs w:val="24"/>
        </w:rPr>
        <w:t xml:space="preserve">Xu, D. &amp; Trimble, M. (2016). What about certificates? Evidence on the labor market returns to </w:t>
      </w:r>
      <w:proofErr w:type="spellStart"/>
      <w:r w:rsidRPr="00FA38B2">
        <w:rPr>
          <w:rFonts w:cs="Times New Roman"/>
          <w:szCs w:val="24"/>
        </w:rPr>
        <w:t>nondegree</w:t>
      </w:r>
      <w:proofErr w:type="spellEnd"/>
      <w:r w:rsidRPr="00FA38B2">
        <w:rPr>
          <w:rFonts w:cs="Times New Roman"/>
          <w:szCs w:val="24"/>
        </w:rPr>
        <w:t xml:space="preserve"> community college awards in two states. </w:t>
      </w:r>
      <w:r w:rsidRPr="00FA38B2">
        <w:rPr>
          <w:rFonts w:cs="Times New Roman"/>
          <w:i/>
          <w:szCs w:val="24"/>
        </w:rPr>
        <w:t>Educational Evaluation and Policy Analysis</w:t>
      </w:r>
      <w:r w:rsidRPr="00FA38B2">
        <w:rPr>
          <w:rFonts w:cs="Times New Roman"/>
          <w:szCs w:val="24"/>
        </w:rPr>
        <w:t xml:space="preserve">, </w:t>
      </w:r>
      <w:r w:rsidRPr="00FA38B2">
        <w:rPr>
          <w:rFonts w:cs="Times New Roman"/>
          <w:i/>
          <w:iCs/>
          <w:szCs w:val="24"/>
        </w:rPr>
        <w:t>38</w:t>
      </w:r>
      <w:r w:rsidRPr="00FA38B2">
        <w:rPr>
          <w:rFonts w:cs="Times New Roman"/>
          <w:szCs w:val="24"/>
        </w:rPr>
        <w:t xml:space="preserve">(2), 272-292. 10.3102/0162373715617827 </w:t>
      </w:r>
    </w:p>
    <w:p w14:paraId="684975B2" w14:textId="5E09227E" w:rsidR="00544A3B" w:rsidRPr="00FA38B2" w:rsidRDefault="00827F97" w:rsidP="00D7637C">
      <w:pPr>
        <w:rPr>
          <w:rFonts w:cs="Times New Roman"/>
          <w:szCs w:val="24"/>
        </w:rPr>
      </w:pPr>
      <w:r w:rsidRPr="00FA38B2">
        <w:rPr>
          <w:rFonts w:cs="Times New Roman"/>
          <w:szCs w:val="24"/>
        </w:rPr>
        <w:br w:type="page"/>
      </w:r>
    </w:p>
    <w:p w14:paraId="727BC4A5" w14:textId="07CB11FD" w:rsidR="00544A3B" w:rsidRPr="00FA38B2" w:rsidRDefault="00544A3B" w:rsidP="0015321A">
      <w:pPr>
        <w:pStyle w:val="Heading1"/>
        <w:spacing w:line="480" w:lineRule="auto"/>
        <w:rPr>
          <w:rFonts w:cs="Times New Roman"/>
          <w:szCs w:val="24"/>
        </w:rPr>
      </w:pPr>
      <w:bookmarkStart w:id="54" w:name="_Toc70181508"/>
      <w:r w:rsidRPr="00FA38B2">
        <w:rPr>
          <w:rFonts w:cs="Times New Roman"/>
          <w:szCs w:val="24"/>
        </w:rPr>
        <w:lastRenderedPageBreak/>
        <w:t>C</w:t>
      </w:r>
      <w:r w:rsidR="002011C1" w:rsidRPr="00FA38B2">
        <w:rPr>
          <w:rFonts w:cs="Times New Roman"/>
          <w:szCs w:val="24"/>
        </w:rPr>
        <w:t>hapter 5: Discussion and Implications</w:t>
      </w:r>
      <w:bookmarkEnd w:id="54"/>
    </w:p>
    <w:p w14:paraId="3CD4BA4B" w14:textId="70BE63D4" w:rsidR="00C94B6B" w:rsidRPr="00FA38B2" w:rsidRDefault="00E54698" w:rsidP="0015321A">
      <w:pPr>
        <w:ind w:firstLine="720"/>
        <w:rPr>
          <w:rFonts w:cs="Times New Roman"/>
          <w:szCs w:val="24"/>
        </w:rPr>
      </w:pPr>
      <w:r w:rsidRPr="00E54698">
        <w:rPr>
          <w:rFonts w:cs="Times New Roman"/>
          <w:szCs w:val="24"/>
        </w:rPr>
        <w:t>In this dissertation I expanded on previous promise program research and provided three novel studies exploring the Tennessee Promise and Tennessee Reconnect</w:t>
      </w:r>
      <w:r>
        <w:rPr>
          <w:rFonts w:cs="Times New Roman"/>
          <w:szCs w:val="24"/>
        </w:rPr>
        <w:t xml:space="preserve">. </w:t>
      </w:r>
      <w:r w:rsidR="00C94B6B" w:rsidRPr="00FA38B2">
        <w:rPr>
          <w:rFonts w:cs="Times New Roman"/>
          <w:szCs w:val="24"/>
        </w:rPr>
        <w:t xml:space="preserve">Promise programs are likely to </w:t>
      </w:r>
      <w:r w:rsidRPr="00FA38B2">
        <w:rPr>
          <w:rFonts w:cs="Times New Roman"/>
          <w:szCs w:val="24"/>
        </w:rPr>
        <w:t>persevere</w:t>
      </w:r>
      <w:r w:rsidR="00C94B6B" w:rsidRPr="00FA38B2">
        <w:rPr>
          <w:rFonts w:cs="Times New Roman"/>
          <w:szCs w:val="24"/>
        </w:rPr>
        <w:t xml:space="preserve"> in policy conversations at the state and federal levels (</w:t>
      </w:r>
      <w:proofErr w:type="spellStart"/>
      <w:r w:rsidR="00C94B6B" w:rsidRPr="00FA38B2">
        <w:rPr>
          <w:rFonts w:cs="Times New Roman"/>
          <w:szCs w:val="24"/>
        </w:rPr>
        <w:t>Perna</w:t>
      </w:r>
      <w:proofErr w:type="spellEnd"/>
      <w:r w:rsidR="00C94B6B" w:rsidRPr="00FA38B2">
        <w:rPr>
          <w:rFonts w:cs="Times New Roman"/>
          <w:szCs w:val="24"/>
        </w:rPr>
        <w:t xml:space="preserve"> &amp; Smith, 2020). Likewise, the United States’ need for an educated workforce will continue to grow, especially among professions included under the broad umbrella of career and technical education (Lumina Foundation, 2020). The higher education system must adapt to enroll and support non-traditional students and to provide postsecondary programs which are directly linked to workforce needs (Lumina Foundation, 2020). While </w:t>
      </w:r>
      <w:r w:rsidR="008B19B0" w:rsidRPr="00FA38B2">
        <w:rPr>
          <w:rFonts w:cs="Times New Roman"/>
          <w:szCs w:val="24"/>
        </w:rPr>
        <w:t>p</w:t>
      </w:r>
      <w:r w:rsidR="00C94B6B" w:rsidRPr="00FA38B2">
        <w:rPr>
          <w:rFonts w:cs="Times New Roman"/>
          <w:szCs w:val="24"/>
        </w:rPr>
        <w:t>romise programs may be an effective tool to meet the higher education and workforce needs in the United States, researchers must continue to rigorously evaluate s</w:t>
      </w:r>
      <w:r w:rsidR="00E43F18" w:rsidRPr="00FA38B2">
        <w:rPr>
          <w:rFonts w:cs="Times New Roman"/>
          <w:szCs w:val="24"/>
        </w:rPr>
        <w:t>uch</w:t>
      </w:r>
      <w:r w:rsidR="00C94B6B" w:rsidRPr="00FA38B2">
        <w:rPr>
          <w:rFonts w:cs="Times New Roman"/>
          <w:szCs w:val="24"/>
        </w:rPr>
        <w:t xml:space="preserve"> programs to ensure they are designed to benefit all students (</w:t>
      </w:r>
      <w:proofErr w:type="spellStart"/>
      <w:r w:rsidR="00C94B6B" w:rsidRPr="00FA38B2">
        <w:rPr>
          <w:rFonts w:cs="Times New Roman"/>
          <w:szCs w:val="24"/>
        </w:rPr>
        <w:t>Perna</w:t>
      </w:r>
      <w:proofErr w:type="spellEnd"/>
      <w:r w:rsidR="00C94B6B" w:rsidRPr="00FA38B2">
        <w:rPr>
          <w:rFonts w:cs="Times New Roman"/>
          <w:szCs w:val="24"/>
        </w:rPr>
        <w:t xml:space="preserve"> &amp; Smith, 2020).  </w:t>
      </w:r>
    </w:p>
    <w:p w14:paraId="47FBABC8" w14:textId="79AE6A24" w:rsidR="00C94B6B" w:rsidRPr="00FA38B2" w:rsidRDefault="00C94B6B" w:rsidP="0015321A">
      <w:pPr>
        <w:ind w:firstLine="720"/>
        <w:rPr>
          <w:rFonts w:cs="Times New Roman"/>
          <w:szCs w:val="24"/>
        </w:rPr>
      </w:pPr>
      <w:r w:rsidRPr="00FA38B2">
        <w:rPr>
          <w:rFonts w:cs="Times New Roman"/>
          <w:szCs w:val="24"/>
        </w:rPr>
        <w:t xml:space="preserve">Tennessee’s </w:t>
      </w:r>
      <w:r w:rsidR="00E43F18" w:rsidRPr="00FA38B2">
        <w:rPr>
          <w:rFonts w:cs="Times New Roman"/>
          <w:szCs w:val="24"/>
        </w:rPr>
        <w:t>p</w:t>
      </w:r>
      <w:r w:rsidRPr="00FA38B2">
        <w:rPr>
          <w:rFonts w:cs="Times New Roman"/>
          <w:szCs w:val="24"/>
        </w:rPr>
        <w:t>romise programs provide researchers with the ideal situation to leverage a natural experiment and explore causal relationships between the policies and student outcomes (Nguyen</w:t>
      </w:r>
      <w:r w:rsidR="00232E7B">
        <w:rPr>
          <w:rFonts w:cs="Times New Roman"/>
          <w:szCs w:val="24"/>
        </w:rPr>
        <w:t xml:space="preserve">, 2020; </w:t>
      </w:r>
      <w:proofErr w:type="spellStart"/>
      <w:r w:rsidR="00232E7B">
        <w:rPr>
          <w:rFonts w:cs="Times New Roman"/>
          <w:szCs w:val="24"/>
        </w:rPr>
        <w:t>Odle</w:t>
      </w:r>
      <w:proofErr w:type="spellEnd"/>
      <w:r w:rsidR="00232E7B">
        <w:rPr>
          <w:rFonts w:cs="Times New Roman"/>
          <w:szCs w:val="24"/>
        </w:rPr>
        <w:t xml:space="preserve"> et al., 2021</w:t>
      </w:r>
      <w:r w:rsidRPr="00FA38B2">
        <w:rPr>
          <w:rFonts w:cs="Times New Roman"/>
          <w:szCs w:val="24"/>
        </w:rPr>
        <w:t>). The current literature exploring Tennessee’s statewide promise programs is limited yet positive. Several studies have established causal links between Tennessee’s statewide promise polices and student outcomes, and revealed their potential to expand access for Black and Hispanic students and other students who would not have otherwise attended college (Nguyen, 2020), decrease students’ reliance on student loans (</w:t>
      </w:r>
      <w:proofErr w:type="spellStart"/>
      <w:r w:rsidRPr="00FA38B2">
        <w:rPr>
          <w:rFonts w:cs="Times New Roman"/>
          <w:szCs w:val="24"/>
        </w:rPr>
        <w:t>Odle</w:t>
      </w:r>
      <w:proofErr w:type="spellEnd"/>
      <w:r w:rsidRPr="00FA38B2">
        <w:rPr>
          <w:rFonts w:cs="Times New Roman"/>
          <w:szCs w:val="24"/>
        </w:rPr>
        <w:t xml:space="preserve"> et al., </w:t>
      </w:r>
      <w:r w:rsidR="00232E7B">
        <w:rPr>
          <w:rFonts w:cs="Times New Roman"/>
          <w:szCs w:val="24"/>
        </w:rPr>
        <w:t>2021</w:t>
      </w:r>
      <w:r w:rsidRPr="00FA38B2">
        <w:rPr>
          <w:rFonts w:cs="Times New Roman"/>
          <w:szCs w:val="24"/>
        </w:rPr>
        <w:t xml:space="preserve">), and divert enrollment from private colleges and toward public promise eligible institutions (Bell, 2021). </w:t>
      </w:r>
    </w:p>
    <w:p w14:paraId="1CF9FE03" w14:textId="618AB237" w:rsidR="00C94B6B" w:rsidRPr="00FA38B2" w:rsidRDefault="00C94B6B" w:rsidP="0015321A">
      <w:pPr>
        <w:ind w:firstLine="720"/>
        <w:rPr>
          <w:rFonts w:cs="Times New Roman"/>
          <w:szCs w:val="24"/>
        </w:rPr>
      </w:pPr>
      <w:r w:rsidRPr="00FA38B2">
        <w:rPr>
          <w:rFonts w:cs="Times New Roman"/>
          <w:szCs w:val="24"/>
        </w:rPr>
        <w:t>While research on Tennessee’s programs is encouraging, there are currently no existing studies exploring initial experiences and enrollment outcomes of T</w:t>
      </w:r>
      <w:r w:rsidR="00FE6934" w:rsidRPr="00FA38B2">
        <w:rPr>
          <w:rFonts w:cs="Times New Roman"/>
          <w:szCs w:val="24"/>
        </w:rPr>
        <w:t>ennessee</w:t>
      </w:r>
      <w:r w:rsidRPr="00FA38B2">
        <w:rPr>
          <w:rFonts w:cs="Times New Roman"/>
          <w:szCs w:val="24"/>
        </w:rPr>
        <w:t xml:space="preserve"> Reconnect, which </w:t>
      </w:r>
      <w:r w:rsidRPr="00FA38B2">
        <w:rPr>
          <w:rFonts w:cs="Times New Roman"/>
          <w:szCs w:val="24"/>
        </w:rPr>
        <w:lastRenderedPageBreak/>
        <w:t>made tuition-free college available to adult students. Furthermore, there is no research exploring how T</w:t>
      </w:r>
      <w:r w:rsidR="00FE6934" w:rsidRPr="00FA38B2">
        <w:rPr>
          <w:rFonts w:cs="Times New Roman"/>
          <w:szCs w:val="24"/>
        </w:rPr>
        <w:t>ennessee</w:t>
      </w:r>
      <w:r w:rsidRPr="00FA38B2">
        <w:rPr>
          <w:rFonts w:cs="Times New Roman"/>
          <w:szCs w:val="24"/>
        </w:rPr>
        <w:t xml:space="preserve"> Promise impacts programs that emphasize vocational college education, otherwise referred to as postsecondary career and technical education. </w:t>
      </w:r>
      <w:r w:rsidR="00E54698">
        <w:rPr>
          <w:rFonts w:cs="Times New Roman"/>
          <w:szCs w:val="24"/>
        </w:rPr>
        <w:t>I provide s</w:t>
      </w:r>
      <w:r w:rsidRPr="00FA38B2">
        <w:rPr>
          <w:rFonts w:cs="Times New Roman"/>
          <w:szCs w:val="24"/>
        </w:rPr>
        <w:t>ummaries and key findings from each study</w:t>
      </w:r>
      <w:r w:rsidR="00E54698">
        <w:rPr>
          <w:rFonts w:cs="Times New Roman"/>
          <w:szCs w:val="24"/>
        </w:rPr>
        <w:t xml:space="preserve"> below, and follow with implications for policy and research</w:t>
      </w:r>
      <w:r w:rsidR="00FE6934" w:rsidRPr="00FA38B2">
        <w:rPr>
          <w:rFonts w:cs="Times New Roman"/>
          <w:szCs w:val="24"/>
        </w:rPr>
        <w:t>.</w:t>
      </w:r>
      <w:r w:rsidRPr="00FA38B2">
        <w:rPr>
          <w:rFonts w:cs="Times New Roman"/>
          <w:szCs w:val="24"/>
        </w:rPr>
        <w:t xml:space="preserve"> </w:t>
      </w:r>
    </w:p>
    <w:p w14:paraId="3D927136" w14:textId="77777777" w:rsidR="00C94B6B" w:rsidRPr="00FA38B2" w:rsidRDefault="00C94B6B" w:rsidP="0015321A">
      <w:pPr>
        <w:rPr>
          <w:rFonts w:cs="Times New Roman"/>
          <w:b/>
          <w:szCs w:val="24"/>
        </w:rPr>
      </w:pPr>
      <w:r w:rsidRPr="00FA38B2">
        <w:rPr>
          <w:rFonts w:cs="Times New Roman"/>
          <w:b/>
          <w:szCs w:val="24"/>
        </w:rPr>
        <w:t>Study 1: “I’m not letting nothing stop me this time.”: Transitions among adult learners using the Tennessee Reconnect Grant</w:t>
      </w:r>
    </w:p>
    <w:p w14:paraId="360E0055" w14:textId="4F5CA16E" w:rsidR="00C94B6B" w:rsidRPr="00FA38B2" w:rsidRDefault="00C94B6B" w:rsidP="0015321A">
      <w:pPr>
        <w:ind w:firstLine="720"/>
        <w:rPr>
          <w:rFonts w:cs="Times New Roman"/>
          <w:szCs w:val="24"/>
        </w:rPr>
      </w:pPr>
      <w:r w:rsidRPr="00FA38B2">
        <w:rPr>
          <w:rFonts w:cs="Times New Roman"/>
          <w:szCs w:val="24"/>
        </w:rPr>
        <w:t>In this study</w:t>
      </w:r>
      <w:r w:rsidR="00FE6934" w:rsidRPr="00FA38B2">
        <w:rPr>
          <w:rFonts w:cs="Times New Roman"/>
          <w:szCs w:val="24"/>
        </w:rPr>
        <w:t>,</w:t>
      </w:r>
      <w:r w:rsidRPr="00FA38B2">
        <w:rPr>
          <w:rFonts w:cs="Times New Roman"/>
          <w:szCs w:val="24"/>
        </w:rPr>
        <w:t xml:space="preserve"> I explored the experiences of adult students who received the Tennessee Reconnect </w:t>
      </w:r>
      <w:r w:rsidR="00E54698">
        <w:rPr>
          <w:rFonts w:cs="Times New Roman"/>
          <w:szCs w:val="24"/>
        </w:rPr>
        <w:t xml:space="preserve">funding </w:t>
      </w:r>
      <w:r w:rsidRPr="00FA38B2">
        <w:rPr>
          <w:rFonts w:cs="Times New Roman"/>
          <w:szCs w:val="24"/>
        </w:rPr>
        <w:t xml:space="preserve">in the initial two years of the policy. Longitudinal interviews were collected at three transition points from 23 adult students. I deployed Schlossberg’s (1981, 1984) Transition Theory as a theoretical framework to analyze qualitative data. The findings from this study revealed that the availability of tuition-free college encouraged adults to return to college, often following long absences from formal education settings. However, adult students within </w:t>
      </w:r>
      <w:r w:rsidR="00FE6934" w:rsidRPr="00FA38B2">
        <w:rPr>
          <w:rFonts w:cs="Times New Roman"/>
          <w:szCs w:val="24"/>
        </w:rPr>
        <w:t>the</w:t>
      </w:r>
      <w:r w:rsidRPr="00FA38B2">
        <w:rPr>
          <w:rFonts w:cs="Times New Roman"/>
          <w:szCs w:val="24"/>
        </w:rPr>
        <w:t xml:space="preserve"> sample still struggled to overcome the barriers often associated with adult, first-generation, and low-income students</w:t>
      </w:r>
      <w:r w:rsidR="00E54698">
        <w:rPr>
          <w:rFonts w:cs="Times New Roman"/>
          <w:szCs w:val="24"/>
        </w:rPr>
        <w:t xml:space="preserve"> such as expenses beyond tuition (i.e. books, childcare)</w:t>
      </w:r>
      <w:r w:rsidR="00755F46">
        <w:rPr>
          <w:rFonts w:cs="Times New Roman"/>
          <w:szCs w:val="24"/>
        </w:rPr>
        <w:t xml:space="preserve"> and navigating a postsecondary system not created to support </w:t>
      </w:r>
      <w:r w:rsidR="00E54698">
        <w:rPr>
          <w:rFonts w:cs="Times New Roman"/>
          <w:szCs w:val="24"/>
        </w:rPr>
        <w:t>adult students</w:t>
      </w:r>
      <w:r w:rsidR="00755F46">
        <w:rPr>
          <w:rFonts w:cs="Times New Roman"/>
          <w:szCs w:val="24"/>
        </w:rPr>
        <w:t xml:space="preserve"> effectively</w:t>
      </w:r>
      <w:r w:rsidRPr="00FA38B2">
        <w:rPr>
          <w:rFonts w:cs="Times New Roman"/>
          <w:szCs w:val="24"/>
        </w:rPr>
        <w:t xml:space="preserve">. </w:t>
      </w:r>
    </w:p>
    <w:p w14:paraId="522F7CF1" w14:textId="77777777" w:rsidR="00C94B6B" w:rsidRPr="00FA38B2" w:rsidRDefault="00C94B6B" w:rsidP="0015321A">
      <w:pPr>
        <w:rPr>
          <w:rFonts w:cs="Times New Roman"/>
          <w:b/>
          <w:szCs w:val="24"/>
        </w:rPr>
      </w:pPr>
      <w:r w:rsidRPr="00FA38B2">
        <w:rPr>
          <w:rFonts w:cs="Times New Roman"/>
          <w:b/>
          <w:szCs w:val="24"/>
        </w:rPr>
        <w:t>Study 2: A Quasi-Experimental Investigation of Adult Student Enrollment Responses to the Tennessee Reconnect Grant</w:t>
      </w:r>
    </w:p>
    <w:p w14:paraId="02D90F02" w14:textId="5E66A9F2" w:rsidR="00C94B6B" w:rsidRPr="00FA38B2" w:rsidRDefault="00C94B6B" w:rsidP="0015321A">
      <w:pPr>
        <w:ind w:firstLine="720"/>
        <w:rPr>
          <w:rFonts w:cs="Times New Roman"/>
          <w:szCs w:val="24"/>
        </w:rPr>
      </w:pPr>
      <w:r w:rsidRPr="00FA38B2">
        <w:rPr>
          <w:rFonts w:cs="Times New Roman"/>
          <w:szCs w:val="24"/>
        </w:rPr>
        <w:t>In this study</w:t>
      </w:r>
      <w:r w:rsidR="00FE6934" w:rsidRPr="00FA38B2">
        <w:rPr>
          <w:rFonts w:cs="Times New Roman"/>
          <w:szCs w:val="24"/>
        </w:rPr>
        <w:t>,</w:t>
      </w:r>
      <w:r w:rsidRPr="00FA38B2">
        <w:rPr>
          <w:rFonts w:cs="Times New Roman"/>
          <w:szCs w:val="24"/>
        </w:rPr>
        <w:t xml:space="preserve"> I leveraged a natural experiment to analyze the causal effect of Tennessee Reconnect on adult student enrollment. I gathered national adult student enrollment data at public two-year institutions from 2011 to 2019 from the Integrated Postsecondary Education Data Systems (IPEDS). Data provided by the U.S. Census Bureau were also included from the same timeframe to control for state median income. Following, I deployed a differences-in-differences framework to determine the causal relationship between T</w:t>
      </w:r>
      <w:r w:rsidR="00FE6934" w:rsidRPr="00FA38B2">
        <w:rPr>
          <w:rFonts w:cs="Times New Roman"/>
          <w:szCs w:val="24"/>
        </w:rPr>
        <w:t>ennessee</w:t>
      </w:r>
      <w:r w:rsidRPr="00FA38B2">
        <w:rPr>
          <w:rFonts w:cs="Times New Roman"/>
          <w:szCs w:val="24"/>
        </w:rPr>
        <w:t xml:space="preserve"> Reconnect and </w:t>
      </w:r>
      <w:r w:rsidRPr="00FA38B2">
        <w:rPr>
          <w:rFonts w:cs="Times New Roman"/>
          <w:szCs w:val="24"/>
        </w:rPr>
        <w:lastRenderedPageBreak/>
        <w:t>adult student enrollment within public two-year institutions. Results revealed a significant increase in adult student enrollment with a direct causal link to the T</w:t>
      </w:r>
      <w:r w:rsidR="00FE6934" w:rsidRPr="00FA38B2">
        <w:rPr>
          <w:rFonts w:cs="Times New Roman"/>
          <w:szCs w:val="24"/>
        </w:rPr>
        <w:t>ennessee</w:t>
      </w:r>
      <w:r w:rsidRPr="00FA38B2">
        <w:rPr>
          <w:rFonts w:cs="Times New Roman"/>
          <w:szCs w:val="24"/>
        </w:rPr>
        <w:t xml:space="preserve"> Reconnect. However, while the total number of adult students continued to increase in the second year of the program when compared to the national sample, there were noticeable drop-offs </w:t>
      </w:r>
      <w:r w:rsidR="00755F46">
        <w:rPr>
          <w:rFonts w:cs="Times New Roman"/>
          <w:szCs w:val="24"/>
        </w:rPr>
        <w:t>in the second year of the program in all categories except among</w:t>
      </w:r>
      <w:r w:rsidRPr="00FA38B2">
        <w:rPr>
          <w:rFonts w:cs="Times New Roman"/>
          <w:szCs w:val="24"/>
        </w:rPr>
        <w:t xml:space="preserve"> part-time and male students. </w:t>
      </w:r>
    </w:p>
    <w:p w14:paraId="5C2170F4" w14:textId="77777777" w:rsidR="00C94B6B" w:rsidRPr="00FA38B2" w:rsidRDefault="00C94B6B" w:rsidP="0015321A">
      <w:pPr>
        <w:rPr>
          <w:rFonts w:cs="Times New Roman"/>
          <w:b/>
          <w:szCs w:val="24"/>
        </w:rPr>
      </w:pPr>
      <w:r w:rsidRPr="00FA38B2">
        <w:rPr>
          <w:rFonts w:cs="Times New Roman"/>
          <w:b/>
          <w:szCs w:val="24"/>
        </w:rPr>
        <w:t>Study 3</w:t>
      </w:r>
      <w:r w:rsidRPr="00FA38B2">
        <w:rPr>
          <w:rFonts w:cs="Times New Roman"/>
          <w:szCs w:val="24"/>
        </w:rPr>
        <w:t xml:space="preserve">: </w:t>
      </w:r>
      <w:r w:rsidRPr="00FA38B2">
        <w:rPr>
          <w:rFonts w:cs="Times New Roman"/>
          <w:b/>
          <w:szCs w:val="24"/>
        </w:rPr>
        <w:t>A Quasi-Experimental Investigation of the Effect of Tennessee Promise on Postsecondary Career and Technical Education Enrollment Responses</w:t>
      </w:r>
    </w:p>
    <w:p w14:paraId="09F72773" w14:textId="2F4F45FC" w:rsidR="00C94B6B" w:rsidRPr="00FA38B2" w:rsidRDefault="00C94B6B" w:rsidP="0015321A">
      <w:pPr>
        <w:ind w:firstLine="720"/>
        <w:rPr>
          <w:rFonts w:cs="Times New Roman"/>
          <w:szCs w:val="24"/>
        </w:rPr>
      </w:pPr>
      <w:r w:rsidRPr="00FA38B2">
        <w:rPr>
          <w:rFonts w:cs="Times New Roman"/>
          <w:szCs w:val="24"/>
        </w:rPr>
        <w:t>In this study</w:t>
      </w:r>
      <w:r w:rsidR="00FE6934" w:rsidRPr="00FA38B2">
        <w:rPr>
          <w:rFonts w:cs="Times New Roman"/>
          <w:szCs w:val="24"/>
        </w:rPr>
        <w:t>,</w:t>
      </w:r>
      <w:r w:rsidRPr="00FA38B2">
        <w:rPr>
          <w:rFonts w:cs="Times New Roman"/>
          <w:szCs w:val="24"/>
        </w:rPr>
        <w:t xml:space="preserve"> I leveraged a natural experiment to analyze the causal effect of Tennessee Promise on enrollment in postsecondary career and technical education programs. I gathered enrollment data from the Consolidated Annual Report (CAR) from the U.S. Department of Education/Department of Career, Technical, and Adult Education (2020). Data available through the U.S. Census Bureau were also included to control for state median income. The analysis wa</w:t>
      </w:r>
      <w:r w:rsidR="00755F46">
        <w:rPr>
          <w:rFonts w:cs="Times New Roman"/>
          <w:szCs w:val="24"/>
        </w:rPr>
        <w:t xml:space="preserve">s conducted twice, once comparing Tennessee </w:t>
      </w:r>
      <w:r w:rsidRPr="00FA38B2">
        <w:rPr>
          <w:rFonts w:cs="Times New Roman"/>
          <w:szCs w:val="24"/>
        </w:rPr>
        <w:t xml:space="preserve">to a national sample and again </w:t>
      </w:r>
      <w:r w:rsidR="00755F46">
        <w:rPr>
          <w:rFonts w:cs="Times New Roman"/>
          <w:szCs w:val="24"/>
        </w:rPr>
        <w:t>comparing Tennessee</w:t>
      </w:r>
      <w:r w:rsidRPr="00FA38B2">
        <w:rPr>
          <w:rFonts w:cs="Times New Roman"/>
          <w:szCs w:val="24"/>
        </w:rPr>
        <w:t xml:space="preserve"> to a sample of contiguous states. Findings from both analyses revealed a small but </w:t>
      </w:r>
      <w:r w:rsidR="00755F46">
        <w:rPr>
          <w:rFonts w:cs="Times New Roman"/>
          <w:szCs w:val="24"/>
        </w:rPr>
        <w:t xml:space="preserve">non-statistically </w:t>
      </w:r>
      <w:r w:rsidRPr="00FA38B2">
        <w:rPr>
          <w:rFonts w:cs="Times New Roman"/>
          <w:szCs w:val="24"/>
        </w:rPr>
        <w:t xml:space="preserve">significant increase Tennessee’s postsecondary career and technical education programs after the implementation of Tennessee Promise.   </w:t>
      </w:r>
    </w:p>
    <w:p w14:paraId="69B112FC" w14:textId="77777777" w:rsidR="00C94B6B" w:rsidRPr="00FA38B2" w:rsidRDefault="00C94B6B" w:rsidP="0015321A">
      <w:pPr>
        <w:jc w:val="center"/>
        <w:rPr>
          <w:rFonts w:cs="Times New Roman"/>
          <w:b/>
          <w:szCs w:val="24"/>
        </w:rPr>
      </w:pPr>
      <w:r w:rsidRPr="00FA38B2">
        <w:rPr>
          <w:rFonts w:cs="Times New Roman"/>
          <w:b/>
          <w:szCs w:val="24"/>
        </w:rPr>
        <w:t>Implications for Policy and Research</w:t>
      </w:r>
    </w:p>
    <w:p w14:paraId="2AEB7608" w14:textId="17B2E356" w:rsidR="00D13F0D" w:rsidRPr="00FA38B2" w:rsidRDefault="00D13F0D" w:rsidP="0015321A">
      <w:pPr>
        <w:ind w:firstLine="720"/>
        <w:rPr>
          <w:rFonts w:cs="Times New Roman"/>
          <w:szCs w:val="24"/>
        </w:rPr>
      </w:pPr>
      <w:r w:rsidRPr="00FA38B2">
        <w:rPr>
          <w:rFonts w:cs="Times New Roman"/>
          <w:szCs w:val="24"/>
        </w:rPr>
        <w:t>Findings from all three studies provide a novel exploration of how Tennessee’s promise programs</w:t>
      </w:r>
      <w:r w:rsidR="001C0C4B">
        <w:rPr>
          <w:rFonts w:cs="Times New Roman"/>
          <w:szCs w:val="24"/>
        </w:rPr>
        <w:t>, Promise and Reconnect,</w:t>
      </w:r>
      <w:r w:rsidRPr="00FA38B2">
        <w:rPr>
          <w:rFonts w:cs="Times New Roman"/>
          <w:szCs w:val="24"/>
        </w:rPr>
        <w:t xml:space="preserve"> impact important but under-researched areas of higher education; adult students within promise programs and postsecondary career and technical education programs. While the findings from these studies warrant further exploration, I provide several implications for policy and research below. </w:t>
      </w:r>
    </w:p>
    <w:p w14:paraId="6AC3549C" w14:textId="77777777" w:rsidR="0006753F" w:rsidRPr="00FA38B2" w:rsidRDefault="0006753F">
      <w:pPr>
        <w:rPr>
          <w:rFonts w:cs="Times New Roman"/>
          <w:b/>
          <w:szCs w:val="24"/>
        </w:rPr>
      </w:pPr>
      <w:r w:rsidRPr="00FA38B2">
        <w:rPr>
          <w:rFonts w:cs="Times New Roman"/>
          <w:b/>
          <w:szCs w:val="24"/>
        </w:rPr>
        <w:br w:type="page"/>
      </w:r>
    </w:p>
    <w:p w14:paraId="25150784" w14:textId="2C483FC6" w:rsidR="00C94B6B" w:rsidRPr="00FA38B2" w:rsidRDefault="00C94B6B" w:rsidP="0015321A">
      <w:pPr>
        <w:rPr>
          <w:rFonts w:cs="Times New Roman"/>
          <w:b/>
          <w:szCs w:val="24"/>
        </w:rPr>
      </w:pPr>
      <w:r w:rsidRPr="00FA38B2">
        <w:rPr>
          <w:rFonts w:cs="Times New Roman"/>
          <w:b/>
          <w:szCs w:val="24"/>
        </w:rPr>
        <w:lastRenderedPageBreak/>
        <w:t>Policy Implication 1: Include Adult Students in Existing or In-Development Statewide or Federal Promise Program Policies</w:t>
      </w:r>
    </w:p>
    <w:p w14:paraId="32CE2334" w14:textId="65A42020" w:rsidR="00C94B6B" w:rsidRPr="00FA38B2" w:rsidRDefault="00C94B6B" w:rsidP="0015321A">
      <w:pPr>
        <w:ind w:firstLine="720"/>
        <w:rPr>
          <w:rFonts w:cs="Times New Roman"/>
          <w:szCs w:val="24"/>
        </w:rPr>
      </w:pPr>
      <w:r w:rsidRPr="00FA38B2">
        <w:rPr>
          <w:rFonts w:cs="Times New Roman"/>
          <w:szCs w:val="24"/>
        </w:rPr>
        <w:t xml:space="preserve">The results of </w:t>
      </w:r>
      <w:r w:rsidR="00FE6934" w:rsidRPr="00FA38B2">
        <w:rPr>
          <w:rFonts w:cs="Times New Roman"/>
          <w:szCs w:val="24"/>
        </w:rPr>
        <w:t xml:space="preserve">the first two </w:t>
      </w:r>
      <w:r w:rsidRPr="00FA38B2">
        <w:rPr>
          <w:rFonts w:cs="Times New Roman"/>
          <w:szCs w:val="24"/>
        </w:rPr>
        <w:t>studies in this dissertation indicate that an adult promise program can substantially increase adult student participation in college. As state and federal policymakers explore strategies for increasing postsecondary credential and degree attainment and the possibility of implementing a large promise program, they must consider adult students. Since the T</w:t>
      </w:r>
      <w:r w:rsidR="00FE6934" w:rsidRPr="00FA38B2">
        <w:rPr>
          <w:rFonts w:cs="Times New Roman"/>
          <w:szCs w:val="24"/>
        </w:rPr>
        <w:t>ennessee</w:t>
      </w:r>
      <w:r w:rsidRPr="00FA38B2">
        <w:rPr>
          <w:rFonts w:cs="Times New Roman"/>
          <w:szCs w:val="24"/>
        </w:rPr>
        <w:t xml:space="preserve"> Reconnect was implemented, only Michigan has started </w:t>
      </w:r>
      <w:r w:rsidR="001C0C4B">
        <w:rPr>
          <w:rFonts w:cs="Times New Roman"/>
          <w:szCs w:val="24"/>
        </w:rPr>
        <w:t>a similar</w:t>
      </w:r>
      <w:r w:rsidRPr="00FA38B2">
        <w:rPr>
          <w:rFonts w:cs="Times New Roman"/>
          <w:szCs w:val="24"/>
        </w:rPr>
        <w:t xml:space="preserve"> Reconnect program. Other state or federal policymakers and educational leaders discussing possible promise program legislation should explore the feasibility of expanding eligibility beyond traditional</w:t>
      </w:r>
      <w:r w:rsidR="00FE6934" w:rsidRPr="00FA38B2">
        <w:rPr>
          <w:rFonts w:cs="Times New Roman"/>
          <w:szCs w:val="24"/>
        </w:rPr>
        <w:t>-</w:t>
      </w:r>
      <w:r w:rsidRPr="00FA38B2">
        <w:rPr>
          <w:rFonts w:cs="Times New Roman"/>
          <w:szCs w:val="24"/>
        </w:rPr>
        <w:t xml:space="preserve">aged college students. </w:t>
      </w:r>
      <w:r w:rsidR="001C0C4B">
        <w:rPr>
          <w:rFonts w:cs="Times New Roman"/>
          <w:szCs w:val="24"/>
        </w:rPr>
        <w:t xml:space="preserve">Policy researchers must determine if potential state or federal promise policies should include adult students in their eligibility, and the cost-benefit implications of doing so. </w:t>
      </w:r>
    </w:p>
    <w:p w14:paraId="292949F9" w14:textId="77777777" w:rsidR="00C94B6B" w:rsidRPr="00FA38B2" w:rsidRDefault="00C94B6B" w:rsidP="0015321A">
      <w:pPr>
        <w:rPr>
          <w:rFonts w:cs="Times New Roman"/>
          <w:b/>
          <w:szCs w:val="24"/>
        </w:rPr>
      </w:pPr>
      <w:r w:rsidRPr="00FA38B2">
        <w:rPr>
          <w:rFonts w:cs="Times New Roman"/>
          <w:b/>
          <w:szCs w:val="24"/>
        </w:rPr>
        <w:t>Policy Implication 2: Provide Increased Financial Support Available to Low-Income Adult Students</w:t>
      </w:r>
    </w:p>
    <w:p w14:paraId="3007A542" w14:textId="218285F0" w:rsidR="00C94B6B" w:rsidRPr="00FA38B2" w:rsidRDefault="00C94B6B" w:rsidP="0015321A">
      <w:pPr>
        <w:ind w:firstLine="720"/>
        <w:rPr>
          <w:rFonts w:cs="Times New Roman"/>
          <w:szCs w:val="24"/>
        </w:rPr>
      </w:pPr>
      <w:r w:rsidRPr="00FA38B2">
        <w:rPr>
          <w:rFonts w:cs="Times New Roman"/>
          <w:szCs w:val="24"/>
        </w:rPr>
        <w:t xml:space="preserve">Findings from </w:t>
      </w:r>
      <w:r w:rsidR="00FE6934" w:rsidRPr="00FA38B2">
        <w:rPr>
          <w:rFonts w:cs="Times New Roman"/>
          <w:szCs w:val="24"/>
        </w:rPr>
        <w:t xml:space="preserve">the first two </w:t>
      </w:r>
      <w:r w:rsidRPr="00FA38B2">
        <w:rPr>
          <w:rFonts w:cs="Times New Roman"/>
          <w:szCs w:val="24"/>
        </w:rPr>
        <w:t>studies revealed that the Tennessee Reconnect successfully increased enrollment among adult students who would not have otherwise considered college. However, both studies point to a potential levelling off in program participation in the second year potentially due to expenses other than tuition. State policymakers should consider expanding funding available to individual adult students</w:t>
      </w:r>
      <w:r w:rsidR="001C0C4B">
        <w:rPr>
          <w:rFonts w:cs="Times New Roman"/>
          <w:szCs w:val="24"/>
        </w:rPr>
        <w:t xml:space="preserve"> to cover expenses beyond tuition, such as living expenses, books, and childcare</w:t>
      </w:r>
      <w:r w:rsidRPr="00FA38B2">
        <w:rPr>
          <w:rFonts w:cs="Times New Roman"/>
          <w:szCs w:val="24"/>
        </w:rPr>
        <w:t xml:space="preserve">. </w:t>
      </w:r>
    </w:p>
    <w:p w14:paraId="305B999D" w14:textId="77777777" w:rsidR="00C94B6B" w:rsidRPr="00FA38B2" w:rsidRDefault="00C94B6B" w:rsidP="0015321A">
      <w:pPr>
        <w:ind w:firstLine="720"/>
        <w:rPr>
          <w:rFonts w:cs="Times New Roman"/>
          <w:szCs w:val="24"/>
        </w:rPr>
      </w:pPr>
      <w:r w:rsidRPr="00FA38B2">
        <w:rPr>
          <w:rFonts w:cs="Times New Roman"/>
          <w:szCs w:val="24"/>
        </w:rPr>
        <w:t xml:space="preserve">Individual funding for at-need students is already available through a pilot program for Tennessee Promise students in Knoxville through the Knox Promise. State legislators are considering expanding the program statewide after positive results from the first year of the </w:t>
      </w:r>
      <w:r w:rsidRPr="00FA38B2">
        <w:rPr>
          <w:rFonts w:cs="Times New Roman"/>
          <w:szCs w:val="24"/>
        </w:rPr>
        <w:lastRenderedPageBreak/>
        <w:t>program (</w:t>
      </w:r>
      <w:proofErr w:type="spellStart"/>
      <w:r w:rsidRPr="00FA38B2">
        <w:rPr>
          <w:rFonts w:cs="Times New Roman"/>
          <w:szCs w:val="24"/>
        </w:rPr>
        <w:t>Bohle</w:t>
      </w:r>
      <w:proofErr w:type="spellEnd"/>
      <w:r w:rsidRPr="00FA38B2">
        <w:rPr>
          <w:rFonts w:cs="Times New Roman"/>
          <w:szCs w:val="24"/>
        </w:rPr>
        <w:t xml:space="preserve">, 2021). Findings from this dissertation revealed that adult students would likely similarly benefit from a program that assists with costs above tuition, especially considering the potential economic impacts of COVID-19. </w:t>
      </w:r>
    </w:p>
    <w:p w14:paraId="4520DE32" w14:textId="77777777" w:rsidR="00C94B6B" w:rsidRPr="00FA38B2" w:rsidRDefault="00C94B6B" w:rsidP="0015321A">
      <w:pPr>
        <w:rPr>
          <w:rFonts w:cs="Times New Roman"/>
          <w:b/>
          <w:szCs w:val="24"/>
        </w:rPr>
      </w:pPr>
      <w:r w:rsidRPr="00FA38B2">
        <w:rPr>
          <w:rFonts w:cs="Times New Roman"/>
          <w:b/>
          <w:szCs w:val="24"/>
        </w:rPr>
        <w:t>Policy Implication 3: Improve, Expand, and Focus Marketing Efforts in Tennessee</w:t>
      </w:r>
    </w:p>
    <w:p w14:paraId="18F90CEB" w14:textId="5DAF1B18" w:rsidR="00C94B6B" w:rsidRPr="00FA38B2" w:rsidRDefault="00C94B6B" w:rsidP="0015321A">
      <w:pPr>
        <w:ind w:firstLine="720"/>
        <w:rPr>
          <w:rFonts w:cs="Times New Roman"/>
          <w:szCs w:val="24"/>
        </w:rPr>
      </w:pPr>
      <w:r w:rsidRPr="00FA38B2">
        <w:rPr>
          <w:rFonts w:cs="Times New Roman"/>
          <w:szCs w:val="24"/>
        </w:rPr>
        <w:t>Tennessee Promise is widely marketed in Tennessee and received nationwide attention when it was implemented. However, there is minimal marketing in the state and at publically funded institutions focused on T</w:t>
      </w:r>
      <w:r w:rsidR="00FE6934" w:rsidRPr="00FA38B2">
        <w:rPr>
          <w:rFonts w:cs="Times New Roman"/>
          <w:szCs w:val="24"/>
        </w:rPr>
        <w:t>ennessee</w:t>
      </w:r>
      <w:r w:rsidRPr="00FA38B2">
        <w:rPr>
          <w:rFonts w:cs="Times New Roman"/>
          <w:szCs w:val="24"/>
        </w:rPr>
        <w:t xml:space="preserve"> Reconnect. Nor is there substantial marketing that targets students interested in pursuing alternative programs that are covered by both T</w:t>
      </w:r>
      <w:r w:rsidR="00FE6934" w:rsidRPr="00FA38B2">
        <w:rPr>
          <w:rFonts w:cs="Times New Roman"/>
          <w:szCs w:val="24"/>
        </w:rPr>
        <w:t>ennessee</w:t>
      </w:r>
      <w:r w:rsidRPr="00FA38B2">
        <w:rPr>
          <w:rFonts w:cs="Times New Roman"/>
          <w:szCs w:val="24"/>
        </w:rPr>
        <w:t xml:space="preserve"> Promise and T</w:t>
      </w:r>
      <w:r w:rsidR="00FE6934" w:rsidRPr="00FA38B2">
        <w:rPr>
          <w:rFonts w:cs="Times New Roman"/>
          <w:szCs w:val="24"/>
        </w:rPr>
        <w:t>ennessee</w:t>
      </w:r>
      <w:r w:rsidRPr="00FA38B2">
        <w:rPr>
          <w:rFonts w:cs="Times New Roman"/>
          <w:szCs w:val="24"/>
        </w:rPr>
        <w:t xml:space="preserve"> Reconnect, such as postsecondary career and technical education programs</w:t>
      </w:r>
      <w:r w:rsidR="001C0C4B">
        <w:rPr>
          <w:rFonts w:cs="Times New Roman"/>
          <w:szCs w:val="24"/>
        </w:rPr>
        <w:t xml:space="preserve"> (Carruthers &amp; Welch, 2020; Collom et al., forthcoming)</w:t>
      </w:r>
      <w:r w:rsidRPr="00FA38B2">
        <w:rPr>
          <w:rFonts w:cs="Times New Roman"/>
          <w:szCs w:val="24"/>
        </w:rPr>
        <w:t xml:space="preserve">. </w:t>
      </w:r>
    </w:p>
    <w:p w14:paraId="2571444D" w14:textId="26B7376F" w:rsidR="00C94B6B" w:rsidRPr="00FA38B2" w:rsidRDefault="00C94B6B" w:rsidP="0015321A">
      <w:pPr>
        <w:ind w:firstLine="720"/>
        <w:rPr>
          <w:rFonts w:cs="Times New Roman"/>
          <w:szCs w:val="24"/>
        </w:rPr>
      </w:pPr>
      <w:r w:rsidRPr="00FA38B2">
        <w:rPr>
          <w:rFonts w:cs="Times New Roman"/>
          <w:szCs w:val="24"/>
        </w:rPr>
        <w:t>Both private non-profit and for-profit institutions in Tennessee are increasingly creating two-year degree and certificate programs and highlighting the T</w:t>
      </w:r>
      <w:r w:rsidR="00FE6934" w:rsidRPr="00FA38B2">
        <w:rPr>
          <w:rFonts w:cs="Times New Roman"/>
          <w:szCs w:val="24"/>
        </w:rPr>
        <w:t>ennessee</w:t>
      </w:r>
      <w:r w:rsidRPr="00FA38B2">
        <w:rPr>
          <w:rFonts w:cs="Times New Roman"/>
          <w:szCs w:val="24"/>
        </w:rPr>
        <w:t xml:space="preserve"> Promise and T</w:t>
      </w:r>
      <w:r w:rsidR="00FE6934" w:rsidRPr="00FA38B2">
        <w:rPr>
          <w:rFonts w:cs="Times New Roman"/>
          <w:szCs w:val="24"/>
        </w:rPr>
        <w:t>ennessee</w:t>
      </w:r>
      <w:r w:rsidRPr="00FA38B2">
        <w:rPr>
          <w:rFonts w:cs="Times New Roman"/>
          <w:szCs w:val="24"/>
        </w:rPr>
        <w:t xml:space="preserve"> Reconnect in their marketing efforts. Public institutions, such as the Tennessee Colleges of Applied Technology and the state’s 13 public community colleges, may benefit from adopting similar strategies to recruit and enroll adult students, and students who may have otherwise not considered college. </w:t>
      </w:r>
    </w:p>
    <w:p w14:paraId="055608E8" w14:textId="77777777" w:rsidR="00C94B6B" w:rsidRPr="00FA38B2" w:rsidRDefault="00C94B6B" w:rsidP="0015321A">
      <w:pPr>
        <w:rPr>
          <w:rFonts w:cs="Times New Roman"/>
          <w:b/>
          <w:szCs w:val="24"/>
        </w:rPr>
      </w:pPr>
      <w:r w:rsidRPr="00FA38B2">
        <w:rPr>
          <w:rFonts w:cs="Times New Roman"/>
          <w:b/>
          <w:szCs w:val="24"/>
        </w:rPr>
        <w:t>Policy Implication 4: Improve Student Pathways in Postsecondary Career and Technical Education</w:t>
      </w:r>
    </w:p>
    <w:p w14:paraId="50A051F8" w14:textId="257DE376" w:rsidR="00C94B6B" w:rsidRPr="00FA38B2" w:rsidRDefault="00C94B6B" w:rsidP="0015321A">
      <w:pPr>
        <w:ind w:firstLine="720"/>
        <w:rPr>
          <w:rFonts w:cs="Times New Roman"/>
          <w:szCs w:val="24"/>
        </w:rPr>
      </w:pPr>
      <w:r w:rsidRPr="00FA38B2">
        <w:rPr>
          <w:rFonts w:cs="Times New Roman"/>
          <w:szCs w:val="24"/>
        </w:rPr>
        <w:t>State business leaders, policymakers, and public institutions should partner to identify and offer certificate or degree programs for potential T</w:t>
      </w:r>
      <w:r w:rsidR="00FE6934" w:rsidRPr="00FA38B2">
        <w:rPr>
          <w:rFonts w:cs="Times New Roman"/>
          <w:szCs w:val="24"/>
        </w:rPr>
        <w:t>ennessee</w:t>
      </w:r>
      <w:r w:rsidRPr="00FA38B2">
        <w:rPr>
          <w:rFonts w:cs="Times New Roman"/>
          <w:szCs w:val="24"/>
        </w:rPr>
        <w:t xml:space="preserve"> Promise and T</w:t>
      </w:r>
      <w:r w:rsidR="00FE6934" w:rsidRPr="00FA38B2">
        <w:rPr>
          <w:rFonts w:cs="Times New Roman"/>
          <w:szCs w:val="24"/>
        </w:rPr>
        <w:t>ennessee</w:t>
      </w:r>
      <w:r w:rsidRPr="00FA38B2">
        <w:rPr>
          <w:rFonts w:cs="Times New Roman"/>
          <w:szCs w:val="24"/>
        </w:rPr>
        <w:t xml:space="preserve"> Reconnect students that are directly linked to employment and/or transfer pathways. There is a nationwide push for improving and expanding upon postsecondary career and technical education programs (Lumina Foundation, 2019). By offering nearly universal tuition-free </w:t>
      </w:r>
      <w:r w:rsidRPr="00FA38B2">
        <w:rPr>
          <w:rFonts w:cs="Times New Roman"/>
          <w:szCs w:val="24"/>
        </w:rPr>
        <w:lastRenderedPageBreak/>
        <w:t>college, Tennessee is in an ideal position to also be a national leader in postsecondary career and technical education. Policy efforts in the state could focus on creating streamlined, creative, and clear pathways to both employment and transfer that are attractive and accessible to potential T</w:t>
      </w:r>
      <w:r w:rsidR="00FE6934" w:rsidRPr="00FA38B2">
        <w:rPr>
          <w:rFonts w:cs="Times New Roman"/>
          <w:szCs w:val="24"/>
        </w:rPr>
        <w:t>ennessee</w:t>
      </w:r>
      <w:r w:rsidRPr="00FA38B2">
        <w:rPr>
          <w:rFonts w:cs="Times New Roman"/>
          <w:szCs w:val="24"/>
        </w:rPr>
        <w:t xml:space="preserve"> Promise and T</w:t>
      </w:r>
      <w:r w:rsidR="00FE6934" w:rsidRPr="00FA38B2">
        <w:rPr>
          <w:rFonts w:cs="Times New Roman"/>
          <w:szCs w:val="24"/>
        </w:rPr>
        <w:t>ennessee</w:t>
      </w:r>
      <w:r w:rsidRPr="00FA38B2">
        <w:rPr>
          <w:rFonts w:cs="Times New Roman"/>
          <w:szCs w:val="24"/>
        </w:rPr>
        <w:t xml:space="preserve"> Reconnect students.   </w:t>
      </w:r>
    </w:p>
    <w:p w14:paraId="31757EF2" w14:textId="698BDB37" w:rsidR="00C94B6B" w:rsidRPr="00FA38B2" w:rsidRDefault="00C94B6B" w:rsidP="0015321A">
      <w:pPr>
        <w:rPr>
          <w:rFonts w:cs="Times New Roman"/>
          <w:b/>
          <w:szCs w:val="24"/>
        </w:rPr>
      </w:pPr>
      <w:r w:rsidRPr="00FA38B2">
        <w:rPr>
          <w:rFonts w:cs="Times New Roman"/>
          <w:b/>
          <w:szCs w:val="24"/>
        </w:rPr>
        <w:t>Research Implication 1: Longitudinal Investigation of T</w:t>
      </w:r>
      <w:r w:rsidR="00FE6934" w:rsidRPr="00FA38B2">
        <w:rPr>
          <w:rFonts w:cs="Times New Roman"/>
          <w:b/>
          <w:szCs w:val="24"/>
        </w:rPr>
        <w:t>ennessee</w:t>
      </w:r>
      <w:r w:rsidRPr="00FA38B2">
        <w:rPr>
          <w:rFonts w:cs="Times New Roman"/>
          <w:b/>
          <w:szCs w:val="24"/>
        </w:rPr>
        <w:t xml:space="preserve"> Reconnect </w:t>
      </w:r>
    </w:p>
    <w:p w14:paraId="0393DA51" w14:textId="6DC1E664" w:rsidR="00C94B6B" w:rsidRPr="00FA38B2" w:rsidRDefault="00C94B6B" w:rsidP="0015321A">
      <w:pPr>
        <w:ind w:firstLine="720"/>
        <w:rPr>
          <w:rFonts w:cs="Times New Roman"/>
          <w:szCs w:val="24"/>
        </w:rPr>
      </w:pPr>
      <w:r w:rsidRPr="00FA38B2">
        <w:rPr>
          <w:rFonts w:cs="Times New Roman"/>
          <w:szCs w:val="24"/>
        </w:rPr>
        <w:t>Researchers exploring T</w:t>
      </w:r>
      <w:r w:rsidR="00FE6934" w:rsidRPr="00FA38B2">
        <w:rPr>
          <w:rFonts w:cs="Times New Roman"/>
          <w:szCs w:val="24"/>
        </w:rPr>
        <w:t>ennessee</w:t>
      </w:r>
      <w:r w:rsidRPr="00FA38B2">
        <w:rPr>
          <w:rFonts w:cs="Times New Roman"/>
          <w:szCs w:val="24"/>
        </w:rPr>
        <w:t xml:space="preserve"> Reconnect must expand on the initial findings presented in this dissertation. Future research should explore the long-term effects of creating a statewide promise program to adult students and whether the initial enrollment increases observed are sustainable.</w:t>
      </w:r>
      <w:r w:rsidR="001C0C4B">
        <w:rPr>
          <w:rFonts w:cs="Times New Roman"/>
          <w:szCs w:val="24"/>
        </w:rPr>
        <w:t xml:space="preserve"> F</w:t>
      </w:r>
      <w:r w:rsidRPr="00FA38B2">
        <w:rPr>
          <w:rFonts w:cs="Times New Roman"/>
          <w:szCs w:val="24"/>
        </w:rPr>
        <w:t>uture longitudinal analysis of T</w:t>
      </w:r>
      <w:r w:rsidR="00FE6934" w:rsidRPr="00FA38B2">
        <w:rPr>
          <w:rFonts w:cs="Times New Roman"/>
          <w:szCs w:val="24"/>
        </w:rPr>
        <w:t>ennessee</w:t>
      </w:r>
      <w:r w:rsidRPr="00FA38B2">
        <w:rPr>
          <w:rFonts w:cs="Times New Roman"/>
          <w:szCs w:val="24"/>
        </w:rPr>
        <w:t xml:space="preserve"> Reconnect is especially imperative considering the potential long-term consequences of the COVID-19 pandemic and the initial negative effects on adult student community college enrollment (National Student Clearinghouse, 2020). Further, future research on T</w:t>
      </w:r>
      <w:r w:rsidR="00B5750E" w:rsidRPr="00FA38B2">
        <w:rPr>
          <w:rFonts w:cs="Times New Roman"/>
          <w:szCs w:val="24"/>
        </w:rPr>
        <w:t>ennessee</w:t>
      </w:r>
      <w:r w:rsidRPr="00FA38B2">
        <w:rPr>
          <w:rFonts w:cs="Times New Roman"/>
          <w:szCs w:val="24"/>
        </w:rPr>
        <w:t xml:space="preserve"> Reconnect should explore the long-term costs and benefits to the state, institutions, communities, and individuals impacted by the policy. </w:t>
      </w:r>
      <w:r w:rsidR="00CA5F11" w:rsidRPr="00FA38B2">
        <w:rPr>
          <w:rFonts w:cs="Times New Roman"/>
          <w:szCs w:val="24"/>
        </w:rPr>
        <w:t xml:space="preserve">Similar studies could also be conducted in Michigan to explore the potential differences or similarities in its reconnect policy, and whether the positive effects on enrollment observed in Tennessee are also observed in Michigan. </w:t>
      </w:r>
    </w:p>
    <w:p w14:paraId="5A2B0514" w14:textId="77777777" w:rsidR="00C94B6B" w:rsidRPr="00FA38B2" w:rsidRDefault="00C94B6B" w:rsidP="0015321A">
      <w:pPr>
        <w:rPr>
          <w:rFonts w:cs="Times New Roman"/>
          <w:b/>
          <w:szCs w:val="24"/>
        </w:rPr>
      </w:pPr>
      <w:r w:rsidRPr="00FA38B2">
        <w:rPr>
          <w:rFonts w:cs="Times New Roman"/>
          <w:b/>
          <w:szCs w:val="24"/>
        </w:rPr>
        <w:t xml:space="preserve">Research Implication 2: Map Postsecondary Career and Technical Education Pathways </w:t>
      </w:r>
    </w:p>
    <w:p w14:paraId="3F6EBE30" w14:textId="77777777" w:rsidR="00C94B6B" w:rsidRPr="00FA38B2" w:rsidRDefault="00C94B6B" w:rsidP="0015321A">
      <w:pPr>
        <w:ind w:firstLine="720"/>
        <w:rPr>
          <w:rFonts w:cs="Times New Roman"/>
          <w:szCs w:val="24"/>
        </w:rPr>
      </w:pPr>
      <w:r w:rsidRPr="00FA38B2">
        <w:rPr>
          <w:rFonts w:cs="Times New Roman"/>
          <w:szCs w:val="24"/>
        </w:rPr>
        <w:t xml:space="preserve">Future research should map the existing and potential pathways to employment and/or transfer currently existing in Tennessee for students who wish to pursue postsecondary career and technical education. A defining factor among successful postsecondary career and technical education programs is a clear path from secondary education to postsecondary education to employment (Breen &amp; </w:t>
      </w:r>
      <w:proofErr w:type="spellStart"/>
      <w:r w:rsidRPr="00FA38B2">
        <w:rPr>
          <w:rFonts w:cs="Times New Roman"/>
          <w:szCs w:val="24"/>
        </w:rPr>
        <w:t>Jonsson</w:t>
      </w:r>
      <w:proofErr w:type="spellEnd"/>
      <w:r w:rsidRPr="00FA38B2">
        <w:rPr>
          <w:rFonts w:cs="Times New Roman"/>
          <w:szCs w:val="24"/>
        </w:rPr>
        <w:t xml:space="preserve">, 2000). Future research should explore existing pathways and </w:t>
      </w:r>
      <w:r w:rsidRPr="00FA38B2">
        <w:rPr>
          <w:rFonts w:cs="Times New Roman"/>
          <w:szCs w:val="24"/>
        </w:rPr>
        <w:lastRenderedPageBreak/>
        <w:t xml:space="preserve">determine how Tennessee’s promise policies could be leveraged to improve or expand upon those pathways. </w:t>
      </w:r>
    </w:p>
    <w:p w14:paraId="1682FCD3" w14:textId="2AD185B4" w:rsidR="00C94B6B" w:rsidRPr="00FA38B2" w:rsidRDefault="00C94B6B" w:rsidP="0015321A">
      <w:pPr>
        <w:rPr>
          <w:rFonts w:cs="Times New Roman"/>
          <w:b/>
          <w:szCs w:val="24"/>
        </w:rPr>
      </w:pPr>
      <w:r w:rsidRPr="00FA38B2">
        <w:rPr>
          <w:rFonts w:cs="Times New Roman"/>
          <w:b/>
          <w:szCs w:val="24"/>
        </w:rPr>
        <w:t>Research Implication 3: Conduct</w:t>
      </w:r>
      <w:r w:rsidR="005E2D90" w:rsidRPr="00FA38B2">
        <w:rPr>
          <w:rFonts w:cs="Times New Roman"/>
          <w:b/>
          <w:szCs w:val="24"/>
        </w:rPr>
        <w:t xml:space="preserve"> Critical</w:t>
      </w:r>
      <w:r w:rsidRPr="00FA38B2">
        <w:rPr>
          <w:rFonts w:cs="Times New Roman"/>
          <w:b/>
          <w:szCs w:val="24"/>
        </w:rPr>
        <w:t xml:space="preserve"> Analysis of Statewide Promise Programs in Tennessee</w:t>
      </w:r>
    </w:p>
    <w:p w14:paraId="15C58CA8" w14:textId="77777777" w:rsidR="00797945" w:rsidRDefault="00C94B6B" w:rsidP="0015321A">
      <w:pPr>
        <w:ind w:firstLine="720"/>
        <w:rPr>
          <w:rFonts w:cs="Times New Roman"/>
          <w:szCs w:val="24"/>
        </w:rPr>
      </w:pPr>
      <w:r w:rsidRPr="00FA38B2">
        <w:rPr>
          <w:rFonts w:cs="Times New Roman"/>
          <w:szCs w:val="24"/>
        </w:rPr>
        <w:t>Lastly, all three studies in this dissertation highlight the need for analysis of statewide promise programs</w:t>
      </w:r>
      <w:r w:rsidR="00FA38B2">
        <w:rPr>
          <w:rFonts w:cs="Times New Roman"/>
          <w:szCs w:val="24"/>
        </w:rPr>
        <w:t xml:space="preserve"> in which researchers critically explore</w:t>
      </w:r>
      <w:r w:rsidR="005E2D90" w:rsidRPr="00FA38B2">
        <w:rPr>
          <w:rFonts w:cs="Times New Roman"/>
          <w:szCs w:val="24"/>
        </w:rPr>
        <w:t xml:space="preserve"> program </w:t>
      </w:r>
      <w:r w:rsidR="00FA38B2">
        <w:rPr>
          <w:rFonts w:cs="Times New Roman"/>
          <w:szCs w:val="24"/>
        </w:rPr>
        <w:t xml:space="preserve">structures and </w:t>
      </w:r>
      <w:r w:rsidR="005E2D90" w:rsidRPr="00FA38B2">
        <w:rPr>
          <w:rFonts w:cs="Times New Roman"/>
          <w:szCs w:val="24"/>
        </w:rPr>
        <w:t>outcomes</w:t>
      </w:r>
      <w:r w:rsidRPr="00FA38B2">
        <w:rPr>
          <w:rFonts w:cs="Times New Roman"/>
          <w:szCs w:val="24"/>
        </w:rPr>
        <w:t xml:space="preserve">. </w:t>
      </w:r>
      <w:r w:rsidR="00014BFB">
        <w:rPr>
          <w:rFonts w:cs="Times New Roman"/>
          <w:szCs w:val="24"/>
        </w:rPr>
        <w:t xml:space="preserve">Critical policy research </w:t>
      </w:r>
      <w:r w:rsidR="00E03664">
        <w:rPr>
          <w:rFonts w:cs="Times New Roman"/>
          <w:szCs w:val="24"/>
        </w:rPr>
        <w:t xml:space="preserve">allows for researchers to use a wide range of theories, methods, and approaches to probe the dynamics of power, race, and socioeconomic status when exploring policy formation (Diem et al., 2014). </w:t>
      </w:r>
      <w:r w:rsidRPr="00FA38B2">
        <w:rPr>
          <w:rFonts w:cs="Times New Roman"/>
          <w:szCs w:val="24"/>
        </w:rPr>
        <w:t xml:space="preserve">Rigorous, mixed-methods, in-depth studies </w:t>
      </w:r>
      <w:r w:rsidR="00E03664">
        <w:rPr>
          <w:rFonts w:cs="Times New Roman"/>
          <w:szCs w:val="24"/>
        </w:rPr>
        <w:t xml:space="preserve">from a critical approach </w:t>
      </w:r>
      <w:r w:rsidRPr="00FA38B2">
        <w:rPr>
          <w:rFonts w:cs="Times New Roman"/>
          <w:szCs w:val="24"/>
        </w:rPr>
        <w:t xml:space="preserve">are warranted to ensure that any faults in statewide promise programs are identified and improved upon in existing and future </w:t>
      </w:r>
      <w:r w:rsidR="00FA38B2">
        <w:rPr>
          <w:rFonts w:cs="Times New Roman"/>
          <w:szCs w:val="24"/>
        </w:rPr>
        <w:t xml:space="preserve">state or federal </w:t>
      </w:r>
      <w:r w:rsidRPr="00FA38B2">
        <w:rPr>
          <w:rFonts w:cs="Times New Roman"/>
          <w:szCs w:val="24"/>
        </w:rPr>
        <w:t xml:space="preserve">programs. However, </w:t>
      </w:r>
      <w:r w:rsidR="005E2D90" w:rsidRPr="00FA38B2">
        <w:rPr>
          <w:rFonts w:cs="Times New Roman"/>
          <w:szCs w:val="24"/>
        </w:rPr>
        <w:t xml:space="preserve">barriers to conducting such research exist due to restricted access to quality student-level data and limited funding provided </w:t>
      </w:r>
      <w:r w:rsidR="00FA38B2">
        <w:rPr>
          <w:rFonts w:cs="Times New Roman"/>
          <w:szCs w:val="24"/>
        </w:rPr>
        <w:t xml:space="preserve">to researchers who conduct purely </w:t>
      </w:r>
      <w:r w:rsidR="005E2D90" w:rsidRPr="00FA38B2">
        <w:rPr>
          <w:rFonts w:cs="Times New Roman"/>
          <w:szCs w:val="24"/>
        </w:rPr>
        <w:t xml:space="preserve">critical research. State policymakers, non-critical policy researchers, and critical policy researchers must be open to engaging in collaborative research that both critically examines statewide promise programs and </w:t>
      </w:r>
      <w:r w:rsidR="00FA38B2">
        <w:rPr>
          <w:rFonts w:cs="Times New Roman"/>
          <w:szCs w:val="24"/>
        </w:rPr>
        <w:t xml:space="preserve">also </w:t>
      </w:r>
      <w:r w:rsidR="005E2D90" w:rsidRPr="00FA38B2">
        <w:rPr>
          <w:rFonts w:cs="Times New Roman"/>
          <w:szCs w:val="24"/>
        </w:rPr>
        <w:t>provides constructive, actionable feedback to improve</w:t>
      </w:r>
      <w:r w:rsidR="00FA38B2">
        <w:rPr>
          <w:rFonts w:cs="Times New Roman"/>
          <w:szCs w:val="24"/>
        </w:rPr>
        <w:t xml:space="preserve"> promise</w:t>
      </w:r>
      <w:r w:rsidR="005E2D90" w:rsidRPr="00FA38B2">
        <w:rPr>
          <w:rFonts w:cs="Times New Roman"/>
          <w:szCs w:val="24"/>
        </w:rPr>
        <w:t xml:space="preserve"> policy and benefit all students.</w:t>
      </w:r>
    </w:p>
    <w:p w14:paraId="64DAFA2C" w14:textId="77777777" w:rsidR="00797945" w:rsidRDefault="00797945" w:rsidP="00797945">
      <w:pPr>
        <w:jc w:val="center"/>
        <w:rPr>
          <w:rFonts w:cs="Times New Roman"/>
          <w:b/>
          <w:szCs w:val="24"/>
        </w:rPr>
      </w:pPr>
      <w:r>
        <w:rPr>
          <w:rFonts w:cs="Times New Roman"/>
          <w:b/>
          <w:szCs w:val="24"/>
        </w:rPr>
        <w:t xml:space="preserve">Conclusion </w:t>
      </w:r>
    </w:p>
    <w:p w14:paraId="78D512A4" w14:textId="6671E401" w:rsidR="001B2053" w:rsidRDefault="009A254F" w:rsidP="00797945">
      <w:pPr>
        <w:rPr>
          <w:rFonts w:cs="Times New Roman"/>
          <w:szCs w:val="24"/>
        </w:rPr>
      </w:pPr>
      <w:r>
        <w:rPr>
          <w:rFonts w:cs="Times New Roman"/>
          <w:szCs w:val="24"/>
        </w:rPr>
        <w:tab/>
      </w:r>
      <w:r w:rsidR="009C2E40">
        <w:rPr>
          <w:rFonts w:cs="Times New Roman"/>
          <w:szCs w:val="24"/>
        </w:rPr>
        <w:t xml:space="preserve">In this dissertation I provided three unique studies </w:t>
      </w:r>
      <w:r w:rsidR="00990038">
        <w:rPr>
          <w:rFonts w:cs="Times New Roman"/>
          <w:szCs w:val="24"/>
        </w:rPr>
        <w:t>in which I</w:t>
      </w:r>
      <w:r w:rsidR="009C2E40">
        <w:rPr>
          <w:rFonts w:cs="Times New Roman"/>
          <w:szCs w:val="24"/>
        </w:rPr>
        <w:t xml:space="preserve"> explored Tennessee’s two promise programs – Tennessee Reconnect and Tennessee Promise. </w:t>
      </w:r>
      <w:r w:rsidR="00990038">
        <w:rPr>
          <w:rFonts w:cs="Times New Roman"/>
          <w:szCs w:val="24"/>
        </w:rPr>
        <w:t>In st</w:t>
      </w:r>
      <w:r w:rsidR="009C2E40">
        <w:rPr>
          <w:rFonts w:cs="Times New Roman"/>
          <w:szCs w:val="24"/>
        </w:rPr>
        <w:t>udy one</w:t>
      </w:r>
      <w:r w:rsidR="00990038">
        <w:rPr>
          <w:rFonts w:cs="Times New Roman"/>
          <w:szCs w:val="24"/>
        </w:rPr>
        <w:t xml:space="preserve"> I</w:t>
      </w:r>
      <w:r w:rsidR="009C2E40">
        <w:rPr>
          <w:rFonts w:cs="Times New Roman"/>
          <w:szCs w:val="24"/>
        </w:rPr>
        <w:t xml:space="preserve"> provided a qualitative exploration of a statewide promise program for adult students and highlighted their unique experiences</w:t>
      </w:r>
      <w:r w:rsidR="00B26E3C">
        <w:rPr>
          <w:rFonts w:cs="Times New Roman"/>
          <w:szCs w:val="24"/>
        </w:rPr>
        <w:t xml:space="preserve"> and barriers to success</w:t>
      </w:r>
      <w:r w:rsidR="009C2E40">
        <w:rPr>
          <w:rFonts w:cs="Times New Roman"/>
          <w:szCs w:val="24"/>
        </w:rPr>
        <w:t xml:space="preserve"> as returning college students. </w:t>
      </w:r>
      <w:r w:rsidR="00990038">
        <w:rPr>
          <w:rFonts w:cs="Times New Roman"/>
          <w:szCs w:val="24"/>
        </w:rPr>
        <w:t>In s</w:t>
      </w:r>
      <w:r w:rsidR="009C2E40">
        <w:rPr>
          <w:rFonts w:cs="Times New Roman"/>
          <w:szCs w:val="24"/>
        </w:rPr>
        <w:t xml:space="preserve">tudy two </w:t>
      </w:r>
      <w:r w:rsidR="00990038">
        <w:rPr>
          <w:rFonts w:cs="Times New Roman"/>
          <w:szCs w:val="24"/>
        </w:rPr>
        <w:t>I analyzed adult student enrollment responses during the first two years of Tennessee Reconnect</w:t>
      </w:r>
      <w:r w:rsidR="00B26E3C">
        <w:rPr>
          <w:rFonts w:cs="Times New Roman"/>
          <w:szCs w:val="24"/>
        </w:rPr>
        <w:t xml:space="preserve"> and established a positive causal increase in enrollment</w:t>
      </w:r>
      <w:r w:rsidR="00990038">
        <w:rPr>
          <w:rFonts w:cs="Times New Roman"/>
          <w:szCs w:val="24"/>
        </w:rPr>
        <w:t xml:space="preserve">. And in study three I analyzed enrollment </w:t>
      </w:r>
      <w:r w:rsidR="00990038">
        <w:rPr>
          <w:rFonts w:cs="Times New Roman"/>
          <w:szCs w:val="24"/>
        </w:rPr>
        <w:lastRenderedPageBreak/>
        <w:t>responses to Tennessee Promise within postsecondary career and technical education programs</w:t>
      </w:r>
      <w:r w:rsidR="00B26E3C">
        <w:rPr>
          <w:rFonts w:cs="Times New Roman"/>
          <w:szCs w:val="24"/>
        </w:rPr>
        <w:t xml:space="preserve"> and did not </w:t>
      </w:r>
      <w:r w:rsidR="001B2053">
        <w:rPr>
          <w:rFonts w:cs="Times New Roman"/>
          <w:szCs w:val="24"/>
        </w:rPr>
        <w:t xml:space="preserve">find a </w:t>
      </w:r>
      <w:r w:rsidR="00B26E3C">
        <w:rPr>
          <w:rFonts w:cs="Times New Roman"/>
          <w:szCs w:val="24"/>
        </w:rPr>
        <w:t>causal relationship</w:t>
      </w:r>
      <w:r w:rsidR="001B2053">
        <w:rPr>
          <w:rFonts w:cs="Times New Roman"/>
          <w:szCs w:val="24"/>
        </w:rPr>
        <w:t xml:space="preserve"> between the program and enrollment</w:t>
      </w:r>
      <w:r w:rsidR="00B26E3C">
        <w:rPr>
          <w:rFonts w:cs="Times New Roman"/>
          <w:szCs w:val="24"/>
        </w:rPr>
        <w:t xml:space="preserve">. </w:t>
      </w:r>
      <w:r w:rsidR="00B26E3C" w:rsidRPr="00B26E3C">
        <w:rPr>
          <w:rFonts w:cs="Times New Roman"/>
          <w:szCs w:val="24"/>
        </w:rPr>
        <w:t xml:space="preserve">Each of the three studies </w:t>
      </w:r>
      <w:r w:rsidR="001B2053">
        <w:rPr>
          <w:rFonts w:cs="Times New Roman"/>
          <w:szCs w:val="24"/>
        </w:rPr>
        <w:t xml:space="preserve">I conducted </w:t>
      </w:r>
      <w:r w:rsidR="00B26E3C" w:rsidRPr="00B26E3C">
        <w:rPr>
          <w:rFonts w:cs="Times New Roman"/>
          <w:szCs w:val="24"/>
        </w:rPr>
        <w:t>were novel approaches to researching statewide promise programs and can be used to inform</w:t>
      </w:r>
      <w:r w:rsidR="00B26E3C">
        <w:rPr>
          <w:rFonts w:cs="Times New Roman"/>
          <w:szCs w:val="24"/>
        </w:rPr>
        <w:t xml:space="preserve"> and improve</w:t>
      </w:r>
      <w:r w:rsidR="00B26E3C" w:rsidRPr="00B26E3C">
        <w:rPr>
          <w:rFonts w:cs="Times New Roman"/>
          <w:szCs w:val="24"/>
        </w:rPr>
        <w:t xml:space="preserve"> policy, practice, and future research</w:t>
      </w:r>
      <w:r w:rsidR="00B26E3C">
        <w:rPr>
          <w:rFonts w:cs="Times New Roman"/>
          <w:szCs w:val="24"/>
        </w:rPr>
        <w:t xml:space="preserve"> on statewide promise programs</w:t>
      </w:r>
      <w:r w:rsidR="00B26E3C" w:rsidRPr="00B26E3C">
        <w:rPr>
          <w:rFonts w:cs="Times New Roman"/>
          <w:szCs w:val="24"/>
        </w:rPr>
        <w:t>.</w:t>
      </w:r>
      <w:r w:rsidR="00B26E3C">
        <w:rPr>
          <w:rFonts w:cs="Times New Roman"/>
          <w:szCs w:val="24"/>
        </w:rPr>
        <w:t xml:space="preserve"> </w:t>
      </w:r>
    </w:p>
    <w:p w14:paraId="020BF57A" w14:textId="4D822FA4" w:rsidR="005F3ECB" w:rsidRPr="00CF588A" w:rsidRDefault="00C94B6B" w:rsidP="00CF588A">
      <w:pPr>
        <w:pStyle w:val="Heading1"/>
      </w:pPr>
      <w:r w:rsidRPr="00FA38B2">
        <w:rPr>
          <w:bCs/>
        </w:rPr>
        <w:br w:type="page"/>
      </w:r>
      <w:bookmarkStart w:id="55" w:name="_Toc70181509"/>
      <w:r w:rsidR="00544A3B" w:rsidRPr="00CF588A">
        <w:lastRenderedPageBreak/>
        <w:t>R</w:t>
      </w:r>
      <w:r w:rsidR="002011C1" w:rsidRPr="00CF588A">
        <w:t>eferences</w:t>
      </w:r>
      <w:bookmarkEnd w:id="55"/>
    </w:p>
    <w:p w14:paraId="62E94914" w14:textId="40F47A4F" w:rsidR="000F38AC" w:rsidRPr="00FA38B2" w:rsidRDefault="00544A3B" w:rsidP="001B2053">
      <w:pPr>
        <w:ind w:left="720" w:hanging="720"/>
        <w:rPr>
          <w:rFonts w:cs="Times New Roman"/>
          <w:szCs w:val="24"/>
        </w:rPr>
      </w:pPr>
      <w:r w:rsidRPr="00FA38B2">
        <w:rPr>
          <w:rFonts w:cs="Times New Roman"/>
          <w:b/>
          <w:bCs/>
          <w:szCs w:val="24"/>
        </w:rPr>
        <w:br w:type="page"/>
      </w:r>
      <w:r w:rsidR="000F38AC" w:rsidRPr="00FA38B2">
        <w:rPr>
          <w:rFonts w:cs="Times New Roman"/>
          <w:szCs w:val="24"/>
        </w:rPr>
        <w:lastRenderedPageBreak/>
        <w:t xml:space="preserve">Anderson, M., Goodman, J., &amp; Schlossberg, N. K. (2011). </w:t>
      </w:r>
      <w:r w:rsidR="000F38AC" w:rsidRPr="00FA38B2">
        <w:rPr>
          <w:rFonts w:cs="Times New Roman"/>
          <w:i/>
          <w:szCs w:val="24"/>
        </w:rPr>
        <w:t>Counseling adults in transition: Linking theory with practice in a diverse world.</w:t>
      </w:r>
      <w:r w:rsidR="000F38AC" w:rsidRPr="00FA38B2">
        <w:rPr>
          <w:rFonts w:cs="Times New Roman"/>
          <w:szCs w:val="24"/>
        </w:rPr>
        <w:t xml:space="preserve"> Springer Publishing Company. </w:t>
      </w:r>
    </w:p>
    <w:p w14:paraId="2AA56287" w14:textId="77777777" w:rsidR="000F38AC" w:rsidRPr="00FA38B2" w:rsidRDefault="000F38AC" w:rsidP="00FA38B2">
      <w:pPr>
        <w:ind w:left="720" w:hanging="720"/>
        <w:rPr>
          <w:rFonts w:cs="Times New Roman"/>
          <w:szCs w:val="24"/>
        </w:rPr>
      </w:pPr>
      <w:r w:rsidRPr="00FA38B2">
        <w:rPr>
          <w:rFonts w:cs="Times New Roman"/>
          <w:szCs w:val="24"/>
        </w:rPr>
        <w:t xml:space="preserve">Angrist, J. D. &amp; </w:t>
      </w:r>
      <w:proofErr w:type="spellStart"/>
      <w:r w:rsidRPr="00FA38B2">
        <w:rPr>
          <w:rFonts w:cs="Times New Roman"/>
          <w:szCs w:val="24"/>
        </w:rPr>
        <w:t>Pischke</w:t>
      </w:r>
      <w:proofErr w:type="spellEnd"/>
      <w:r w:rsidRPr="00FA38B2">
        <w:rPr>
          <w:rFonts w:cs="Times New Roman"/>
          <w:szCs w:val="24"/>
        </w:rPr>
        <w:t xml:space="preserve">, J.S. (2009). </w:t>
      </w:r>
      <w:r w:rsidRPr="00FA38B2">
        <w:rPr>
          <w:rFonts w:cs="Times New Roman"/>
          <w:i/>
          <w:szCs w:val="24"/>
        </w:rPr>
        <w:t>Mostly Harmless Econometrics</w:t>
      </w:r>
      <w:r w:rsidRPr="00FA38B2">
        <w:rPr>
          <w:rFonts w:cs="Times New Roman"/>
          <w:szCs w:val="24"/>
        </w:rPr>
        <w:t xml:space="preserve">. Princeton University Press. </w:t>
      </w:r>
    </w:p>
    <w:p w14:paraId="25C19BDA" w14:textId="77777777" w:rsidR="000F38AC" w:rsidRPr="00FA38B2" w:rsidRDefault="000F38AC" w:rsidP="00FA38B2">
      <w:pPr>
        <w:ind w:left="720" w:hanging="720"/>
        <w:rPr>
          <w:rFonts w:cs="Times New Roman"/>
          <w:szCs w:val="24"/>
        </w:rPr>
      </w:pPr>
      <w:r w:rsidRPr="00FA38B2">
        <w:rPr>
          <w:rFonts w:cs="Times New Roman"/>
          <w:szCs w:val="24"/>
        </w:rPr>
        <w:t xml:space="preserve">Archer, L. (2007). Diversity, equality and higher education: A critical reflection on the abuses of equity discourse within widening participation. </w:t>
      </w:r>
      <w:r w:rsidRPr="00FA38B2">
        <w:rPr>
          <w:rFonts w:cs="Times New Roman"/>
          <w:i/>
          <w:szCs w:val="24"/>
        </w:rPr>
        <w:t>Teaching in Higher Education</w:t>
      </w:r>
      <w:r w:rsidRPr="00FA38B2">
        <w:rPr>
          <w:rFonts w:cs="Times New Roman"/>
          <w:szCs w:val="24"/>
        </w:rPr>
        <w:t xml:space="preserve">, </w:t>
      </w:r>
      <w:r w:rsidRPr="00FA38B2">
        <w:rPr>
          <w:rFonts w:cs="Times New Roman"/>
          <w:i/>
          <w:szCs w:val="24"/>
        </w:rPr>
        <w:t>12</w:t>
      </w:r>
      <w:r w:rsidRPr="00FA38B2">
        <w:rPr>
          <w:rFonts w:cs="Times New Roman"/>
          <w:szCs w:val="24"/>
        </w:rPr>
        <w:t xml:space="preserve">(5-6), 635-653. https://doi.org/10.1080/13562510701595325 </w:t>
      </w:r>
    </w:p>
    <w:p w14:paraId="0F84C6A0" w14:textId="6048E44C" w:rsidR="000F38AC" w:rsidRPr="00FA38B2" w:rsidRDefault="000F38AC" w:rsidP="00FA38B2">
      <w:pPr>
        <w:ind w:left="720" w:hanging="720"/>
        <w:rPr>
          <w:rFonts w:cs="Times New Roman"/>
          <w:szCs w:val="24"/>
        </w:rPr>
      </w:pPr>
      <w:proofErr w:type="spellStart"/>
      <w:r w:rsidRPr="00FA38B2">
        <w:rPr>
          <w:rFonts w:cs="Times New Roman"/>
          <w:szCs w:val="24"/>
        </w:rPr>
        <w:t>Ausburn</w:t>
      </w:r>
      <w:proofErr w:type="spellEnd"/>
      <w:r w:rsidRPr="00FA38B2">
        <w:rPr>
          <w:rFonts w:cs="Times New Roman"/>
          <w:szCs w:val="24"/>
        </w:rPr>
        <w:t xml:space="preserve">, L. J. (2004). Course design elements most valued by adult learners in blended online education environments: An American perspective. </w:t>
      </w:r>
      <w:r w:rsidRPr="00FA38B2">
        <w:rPr>
          <w:rFonts w:cs="Times New Roman"/>
          <w:i/>
          <w:szCs w:val="24"/>
        </w:rPr>
        <w:t>Educational Media International</w:t>
      </w:r>
      <w:r w:rsidRPr="00FA38B2">
        <w:rPr>
          <w:rFonts w:cs="Times New Roman"/>
          <w:szCs w:val="24"/>
        </w:rPr>
        <w:t xml:space="preserve">, </w:t>
      </w:r>
      <w:r w:rsidRPr="00FA38B2">
        <w:rPr>
          <w:rFonts w:cs="Times New Roman"/>
          <w:i/>
          <w:szCs w:val="24"/>
        </w:rPr>
        <w:t>41</w:t>
      </w:r>
      <w:r w:rsidR="00311FDD" w:rsidRPr="00FA38B2">
        <w:rPr>
          <w:rFonts w:cs="Times New Roman"/>
          <w:szCs w:val="24"/>
        </w:rPr>
        <w:t>(4), 327-337. https://doi.org/</w:t>
      </w:r>
      <w:r w:rsidRPr="00FA38B2">
        <w:rPr>
          <w:rFonts w:cs="Times New Roman"/>
          <w:szCs w:val="24"/>
        </w:rPr>
        <w:t xml:space="preserve">10.1080/0952398042000314820  </w:t>
      </w:r>
    </w:p>
    <w:p w14:paraId="73C4A616" w14:textId="77777777" w:rsidR="000F38AC" w:rsidRPr="00FA38B2" w:rsidRDefault="000F38AC" w:rsidP="00FA38B2">
      <w:pPr>
        <w:ind w:left="720" w:hanging="720"/>
        <w:rPr>
          <w:rFonts w:cs="Times New Roman"/>
          <w:szCs w:val="24"/>
        </w:rPr>
      </w:pPr>
      <w:r w:rsidRPr="00FA38B2">
        <w:rPr>
          <w:rFonts w:cs="Times New Roman"/>
          <w:szCs w:val="24"/>
        </w:rPr>
        <w:t xml:space="preserve">Bell, E. (2020). The politics of designing tuition-free college: How socially constructed target populations influence policy support. </w:t>
      </w:r>
      <w:r w:rsidRPr="00FA38B2">
        <w:rPr>
          <w:rFonts w:cs="Times New Roman"/>
          <w:i/>
          <w:szCs w:val="24"/>
        </w:rPr>
        <w:t>The Journal of Higher Education, 91</w:t>
      </w:r>
      <w:r w:rsidRPr="00FA38B2">
        <w:rPr>
          <w:rFonts w:cs="Times New Roman"/>
          <w:szCs w:val="24"/>
        </w:rPr>
        <w:t>(6), 888-926. https://doi.org/10.1080/00221546.2019.1706015</w:t>
      </w:r>
    </w:p>
    <w:p w14:paraId="5A24A283" w14:textId="77777777" w:rsidR="000F38AC" w:rsidRPr="00FA38B2" w:rsidRDefault="000F38AC" w:rsidP="00FA38B2">
      <w:pPr>
        <w:ind w:left="720" w:hanging="720"/>
        <w:rPr>
          <w:rFonts w:cs="Times New Roman"/>
          <w:szCs w:val="24"/>
        </w:rPr>
      </w:pPr>
      <w:r w:rsidRPr="00FA38B2">
        <w:rPr>
          <w:rFonts w:cs="Times New Roman"/>
          <w:szCs w:val="24"/>
        </w:rPr>
        <w:t xml:space="preserve">Bell, E. (2021). Estimating the spillover effects of the Tennessee Promise: Exploring changes in tuition, fees, and enrollment. </w:t>
      </w:r>
      <w:r w:rsidRPr="00FA38B2">
        <w:rPr>
          <w:rFonts w:cs="Times New Roman"/>
          <w:i/>
          <w:szCs w:val="24"/>
        </w:rPr>
        <w:t>Journal of Financial Aid</w:t>
      </w:r>
      <w:r w:rsidRPr="00FA38B2">
        <w:rPr>
          <w:rFonts w:cs="Times New Roman"/>
          <w:szCs w:val="24"/>
        </w:rPr>
        <w:t xml:space="preserve">, </w:t>
      </w:r>
      <w:r w:rsidRPr="00FA38B2">
        <w:rPr>
          <w:rFonts w:cs="Times New Roman"/>
          <w:i/>
          <w:szCs w:val="24"/>
        </w:rPr>
        <w:t>50</w:t>
      </w:r>
      <w:r w:rsidRPr="00FA38B2">
        <w:rPr>
          <w:rFonts w:cs="Times New Roman"/>
          <w:szCs w:val="24"/>
        </w:rPr>
        <w:t>(1), Article 4. https://ir.library.louisville.edu/jsfa/vol50/iss1/4</w:t>
      </w:r>
    </w:p>
    <w:p w14:paraId="4A7B53A1" w14:textId="77777777" w:rsidR="000F38AC" w:rsidRPr="00FA38B2" w:rsidRDefault="000F38AC" w:rsidP="00FA38B2">
      <w:pPr>
        <w:ind w:left="720" w:hanging="720"/>
        <w:rPr>
          <w:rFonts w:cs="Times New Roman"/>
          <w:szCs w:val="24"/>
        </w:rPr>
      </w:pPr>
      <w:proofErr w:type="spellStart"/>
      <w:r w:rsidRPr="00FA38B2">
        <w:rPr>
          <w:rFonts w:cs="Times New Roman"/>
          <w:szCs w:val="24"/>
        </w:rPr>
        <w:t>Biddix</w:t>
      </w:r>
      <w:proofErr w:type="spellEnd"/>
      <w:r w:rsidRPr="00FA38B2">
        <w:rPr>
          <w:rFonts w:cs="Times New Roman"/>
          <w:szCs w:val="24"/>
        </w:rPr>
        <w:t xml:space="preserve">, J. P. (2018). </w:t>
      </w:r>
      <w:r w:rsidRPr="00FA38B2">
        <w:rPr>
          <w:rFonts w:cs="Times New Roman"/>
          <w:i/>
          <w:szCs w:val="24"/>
        </w:rPr>
        <w:t>Research methods and applications for student affairs.</w:t>
      </w:r>
      <w:r w:rsidRPr="00FA38B2">
        <w:rPr>
          <w:rFonts w:cs="Times New Roman"/>
          <w:szCs w:val="24"/>
        </w:rPr>
        <w:t xml:space="preserve"> </w:t>
      </w:r>
      <w:proofErr w:type="spellStart"/>
      <w:r w:rsidRPr="00FA38B2">
        <w:rPr>
          <w:rFonts w:cs="Times New Roman"/>
          <w:szCs w:val="24"/>
        </w:rPr>
        <w:t>Jossey</w:t>
      </w:r>
      <w:proofErr w:type="spellEnd"/>
      <w:r w:rsidRPr="00FA38B2">
        <w:rPr>
          <w:rFonts w:cs="Times New Roman"/>
          <w:szCs w:val="24"/>
        </w:rPr>
        <w:t xml:space="preserve"> Bass.</w:t>
      </w:r>
    </w:p>
    <w:p w14:paraId="784431BC" w14:textId="77777777" w:rsidR="000F38AC" w:rsidRPr="00FA38B2" w:rsidRDefault="000F38AC" w:rsidP="00FA38B2">
      <w:pPr>
        <w:ind w:left="720" w:hanging="720"/>
        <w:rPr>
          <w:rFonts w:cs="Times New Roman"/>
          <w:szCs w:val="24"/>
        </w:rPr>
      </w:pPr>
      <w:r w:rsidRPr="00FA38B2">
        <w:rPr>
          <w:rFonts w:cs="Times New Roman"/>
          <w:szCs w:val="24"/>
        </w:rPr>
        <w:t xml:space="preserve">Billings, M. (2018, September 18). </w:t>
      </w:r>
      <w:r w:rsidRPr="00FA38B2">
        <w:rPr>
          <w:rFonts w:cs="Times New Roman"/>
          <w:i/>
          <w:szCs w:val="24"/>
        </w:rPr>
        <w:t>Understanding the design of college promise programs, and where to go from here.</w:t>
      </w:r>
      <w:r w:rsidRPr="00FA38B2">
        <w:rPr>
          <w:rFonts w:cs="Times New Roman"/>
          <w:szCs w:val="24"/>
        </w:rPr>
        <w:t xml:space="preserve"> The Brookings Institute. https://www.brookings.edu/blog/brown-center-chalkboard/2018/09/18/understanding-the-design-of-college-promise-programs-and-where-to-go-from-here/</w:t>
      </w:r>
    </w:p>
    <w:p w14:paraId="3F898B35" w14:textId="4E93BD72" w:rsidR="005434A7" w:rsidRPr="00FA38B2" w:rsidRDefault="005434A7" w:rsidP="00FA38B2">
      <w:pPr>
        <w:ind w:left="720" w:hanging="720"/>
        <w:rPr>
          <w:rFonts w:cs="Times New Roman"/>
          <w:szCs w:val="24"/>
        </w:rPr>
      </w:pPr>
      <w:proofErr w:type="spellStart"/>
      <w:r w:rsidRPr="00FA38B2">
        <w:rPr>
          <w:rFonts w:cs="Times New Roman"/>
          <w:szCs w:val="24"/>
        </w:rPr>
        <w:t>Bohle</w:t>
      </w:r>
      <w:proofErr w:type="spellEnd"/>
      <w:r w:rsidRPr="00FA38B2">
        <w:rPr>
          <w:rFonts w:cs="Times New Roman"/>
          <w:szCs w:val="24"/>
        </w:rPr>
        <w:t xml:space="preserve">, A. (2021, March 10). Knox Promise programs helps students soar. </w:t>
      </w:r>
      <w:r w:rsidRPr="00FA38B2">
        <w:rPr>
          <w:rFonts w:cs="Times New Roman"/>
          <w:i/>
          <w:szCs w:val="24"/>
        </w:rPr>
        <w:t>WVLT 8</w:t>
      </w:r>
      <w:r w:rsidRPr="00FA38B2">
        <w:rPr>
          <w:rFonts w:cs="Times New Roman"/>
          <w:szCs w:val="24"/>
        </w:rPr>
        <w:t>. https://www.wvlt.tv/2021/03/10/knox-promise-program-helps-students-soar/</w:t>
      </w:r>
    </w:p>
    <w:p w14:paraId="6B34E8DD" w14:textId="154CD4B9" w:rsidR="000F38AC" w:rsidRPr="00FA38B2" w:rsidRDefault="000F38AC" w:rsidP="00FA38B2">
      <w:pPr>
        <w:ind w:left="720" w:hanging="720"/>
        <w:rPr>
          <w:rFonts w:cs="Times New Roman"/>
          <w:szCs w:val="24"/>
        </w:rPr>
      </w:pPr>
      <w:r w:rsidRPr="00FA38B2">
        <w:rPr>
          <w:rFonts w:cs="Times New Roman"/>
          <w:szCs w:val="24"/>
        </w:rPr>
        <w:lastRenderedPageBreak/>
        <w:t xml:space="preserve">Bourdieu, P. (1984). </w:t>
      </w:r>
      <w:r w:rsidRPr="00FA38B2">
        <w:rPr>
          <w:rFonts w:cs="Times New Roman"/>
          <w:i/>
          <w:szCs w:val="24"/>
        </w:rPr>
        <w:t>Distinction: A social critique of the judgement of taste</w:t>
      </w:r>
      <w:r w:rsidRPr="00FA38B2">
        <w:rPr>
          <w:rFonts w:cs="Times New Roman"/>
          <w:szCs w:val="24"/>
        </w:rPr>
        <w:t>. (R. Nice, trans.). Harvard University Press. (Original work published 1979)</w:t>
      </w:r>
    </w:p>
    <w:p w14:paraId="501612A8" w14:textId="15E959D9" w:rsidR="00845D96" w:rsidRPr="00FA38B2" w:rsidRDefault="00845D96" w:rsidP="00FA38B2">
      <w:pPr>
        <w:ind w:left="720" w:hanging="720"/>
        <w:rPr>
          <w:rFonts w:cs="Times New Roman"/>
          <w:szCs w:val="24"/>
        </w:rPr>
      </w:pPr>
      <w:r w:rsidRPr="00FA38B2">
        <w:rPr>
          <w:rFonts w:cs="Times New Roman"/>
          <w:szCs w:val="24"/>
        </w:rPr>
        <w:t xml:space="preserve">Breen, R., &amp; </w:t>
      </w:r>
      <w:proofErr w:type="spellStart"/>
      <w:r w:rsidRPr="00FA38B2">
        <w:rPr>
          <w:rFonts w:cs="Times New Roman"/>
          <w:szCs w:val="24"/>
        </w:rPr>
        <w:t>Jonsson</w:t>
      </w:r>
      <w:proofErr w:type="spellEnd"/>
      <w:r w:rsidRPr="00FA38B2">
        <w:rPr>
          <w:rFonts w:cs="Times New Roman"/>
          <w:szCs w:val="24"/>
        </w:rPr>
        <w:t>, J. O. (2000). Analyzing educational careers: A multinomial transition model. American sociological review, 754-772. https://doi.org/10.2307/2657545</w:t>
      </w:r>
    </w:p>
    <w:p w14:paraId="67D651F4" w14:textId="7453DB6E" w:rsidR="000F38AC" w:rsidRPr="00FA38B2" w:rsidRDefault="000F38AC" w:rsidP="00FA38B2">
      <w:pPr>
        <w:ind w:left="720" w:hanging="720"/>
        <w:rPr>
          <w:rFonts w:cs="Times New Roman"/>
          <w:szCs w:val="24"/>
        </w:rPr>
      </w:pPr>
      <w:proofErr w:type="spellStart"/>
      <w:r w:rsidRPr="00FA38B2">
        <w:rPr>
          <w:rFonts w:cs="Times New Roman"/>
          <w:szCs w:val="24"/>
        </w:rPr>
        <w:t>Callender</w:t>
      </w:r>
      <w:proofErr w:type="spellEnd"/>
      <w:r w:rsidRPr="00FA38B2">
        <w:rPr>
          <w:rFonts w:cs="Times New Roman"/>
          <w:szCs w:val="24"/>
        </w:rPr>
        <w:t xml:space="preserve">, C., &amp; Mason, G. (2017). Does student loan debt deter higher education participation? New evidence from England. </w:t>
      </w:r>
      <w:r w:rsidRPr="00FA38B2">
        <w:rPr>
          <w:rFonts w:cs="Times New Roman"/>
          <w:i/>
          <w:szCs w:val="24"/>
        </w:rPr>
        <w:t>The ANNALS of the American Academy of Political and Social Science, 671</w:t>
      </w:r>
      <w:r w:rsidRPr="00FA38B2">
        <w:rPr>
          <w:rFonts w:cs="Times New Roman"/>
          <w:szCs w:val="24"/>
        </w:rPr>
        <w:t>(1), 20-48. https://doi.org/10.1177/0002716217696041</w:t>
      </w:r>
    </w:p>
    <w:p w14:paraId="2412FE98" w14:textId="77777777" w:rsidR="000F38AC" w:rsidRPr="00FA38B2" w:rsidRDefault="000F38AC" w:rsidP="00FA38B2">
      <w:pPr>
        <w:ind w:left="720" w:hanging="720"/>
        <w:rPr>
          <w:rFonts w:cs="Times New Roman"/>
          <w:szCs w:val="24"/>
        </w:rPr>
      </w:pPr>
      <w:proofErr w:type="spellStart"/>
      <w:r w:rsidRPr="00FA38B2">
        <w:rPr>
          <w:rFonts w:cs="Times New Roman"/>
          <w:szCs w:val="24"/>
        </w:rPr>
        <w:t>Carnevale</w:t>
      </w:r>
      <w:proofErr w:type="spellEnd"/>
      <w:r w:rsidRPr="00FA38B2">
        <w:rPr>
          <w:rFonts w:cs="Times New Roman"/>
          <w:szCs w:val="24"/>
        </w:rPr>
        <w:t xml:space="preserve">, A. P., </w:t>
      </w:r>
      <w:proofErr w:type="spellStart"/>
      <w:r w:rsidRPr="00FA38B2">
        <w:rPr>
          <w:rFonts w:cs="Times New Roman"/>
          <w:szCs w:val="24"/>
        </w:rPr>
        <w:t>Jayasundara</w:t>
      </w:r>
      <w:proofErr w:type="spellEnd"/>
      <w:r w:rsidRPr="00FA38B2">
        <w:rPr>
          <w:rFonts w:cs="Times New Roman"/>
          <w:szCs w:val="24"/>
        </w:rPr>
        <w:t xml:space="preserve">, T., &amp; </w:t>
      </w:r>
      <w:proofErr w:type="spellStart"/>
      <w:r w:rsidRPr="00FA38B2">
        <w:rPr>
          <w:rFonts w:cs="Times New Roman"/>
          <w:szCs w:val="24"/>
        </w:rPr>
        <w:t>Cheah</w:t>
      </w:r>
      <w:proofErr w:type="spellEnd"/>
      <w:r w:rsidRPr="00FA38B2">
        <w:rPr>
          <w:rFonts w:cs="Times New Roman"/>
          <w:szCs w:val="24"/>
        </w:rPr>
        <w:t xml:space="preserve">, B. (2013). </w:t>
      </w:r>
      <w:r w:rsidRPr="00FA38B2">
        <w:rPr>
          <w:rFonts w:cs="Times New Roman"/>
          <w:i/>
          <w:szCs w:val="24"/>
        </w:rPr>
        <w:t>The college advantage: Weathering the economic storm</w:t>
      </w:r>
      <w:r w:rsidRPr="00FA38B2">
        <w:rPr>
          <w:rFonts w:cs="Times New Roman"/>
          <w:szCs w:val="24"/>
        </w:rPr>
        <w:t>. Georgetown University.</w:t>
      </w:r>
    </w:p>
    <w:p w14:paraId="07BDD7DA" w14:textId="77777777" w:rsidR="000F38AC" w:rsidRPr="00FA38B2" w:rsidRDefault="000F38AC" w:rsidP="00FA38B2">
      <w:pPr>
        <w:ind w:left="720" w:hanging="720"/>
        <w:rPr>
          <w:rFonts w:cs="Times New Roman"/>
          <w:szCs w:val="24"/>
        </w:rPr>
      </w:pPr>
      <w:r w:rsidRPr="00FA38B2">
        <w:rPr>
          <w:rFonts w:cs="Times New Roman"/>
          <w:szCs w:val="24"/>
        </w:rPr>
        <w:t xml:space="preserve">Carruthers, C. K. &amp; Welch, J. G. (2020). </w:t>
      </w:r>
      <w:r w:rsidRPr="00FA38B2">
        <w:rPr>
          <w:rFonts w:cs="Times New Roman"/>
          <w:i/>
          <w:szCs w:val="24"/>
        </w:rPr>
        <w:t>Can financial aid (Re)connect students to college? Evidence from Tennessee Colleges of Applied Technology</w:t>
      </w:r>
      <w:r w:rsidRPr="00FA38B2">
        <w:rPr>
          <w:rFonts w:cs="Times New Roman"/>
          <w:szCs w:val="24"/>
        </w:rPr>
        <w:t>. https://haslam.utk.edu/sites/default/files/TN%20Pearl.pdf</w:t>
      </w:r>
    </w:p>
    <w:p w14:paraId="190E7660" w14:textId="77777777" w:rsidR="000F38AC" w:rsidRPr="00FA38B2" w:rsidRDefault="000F38AC" w:rsidP="00FA38B2">
      <w:pPr>
        <w:ind w:left="720" w:hanging="720"/>
        <w:rPr>
          <w:rFonts w:cs="Times New Roman"/>
          <w:szCs w:val="24"/>
        </w:rPr>
      </w:pPr>
      <w:r w:rsidRPr="00FA38B2">
        <w:rPr>
          <w:rFonts w:cs="Times New Roman"/>
          <w:szCs w:val="24"/>
        </w:rPr>
        <w:t xml:space="preserve">Carruthers, C. K. &amp; Fox, W. F. (2016). Aid for all: College coaching, financial aid, and post-secondary persistence in Tennessee. </w:t>
      </w:r>
      <w:r w:rsidRPr="00FA38B2">
        <w:rPr>
          <w:rFonts w:cs="Times New Roman"/>
          <w:i/>
          <w:szCs w:val="24"/>
        </w:rPr>
        <w:t>Economics of Education Review</w:t>
      </w:r>
      <w:r w:rsidRPr="00FA38B2">
        <w:rPr>
          <w:rFonts w:cs="Times New Roman"/>
          <w:szCs w:val="24"/>
        </w:rPr>
        <w:t xml:space="preserve">, </w:t>
      </w:r>
      <w:r w:rsidRPr="00FA38B2">
        <w:rPr>
          <w:rFonts w:cs="Times New Roman"/>
          <w:i/>
          <w:iCs/>
          <w:szCs w:val="24"/>
        </w:rPr>
        <w:t>51</w:t>
      </w:r>
      <w:r w:rsidRPr="00FA38B2">
        <w:rPr>
          <w:rFonts w:cs="Times New Roman"/>
          <w:szCs w:val="24"/>
        </w:rPr>
        <w:t>, 97-112.</w:t>
      </w:r>
    </w:p>
    <w:p w14:paraId="5AE012D8" w14:textId="77777777" w:rsidR="000F38AC" w:rsidRPr="00FA38B2" w:rsidRDefault="000F38AC" w:rsidP="00FA38B2">
      <w:pPr>
        <w:ind w:left="720" w:hanging="720"/>
        <w:rPr>
          <w:rFonts w:cs="Times New Roman"/>
          <w:szCs w:val="24"/>
        </w:rPr>
      </w:pPr>
      <w:proofErr w:type="spellStart"/>
      <w:r w:rsidRPr="00FA38B2">
        <w:rPr>
          <w:rFonts w:cs="Times New Roman"/>
          <w:szCs w:val="24"/>
        </w:rPr>
        <w:t>Charmaz</w:t>
      </w:r>
      <w:proofErr w:type="spellEnd"/>
      <w:r w:rsidRPr="00FA38B2">
        <w:rPr>
          <w:rFonts w:cs="Times New Roman"/>
          <w:szCs w:val="24"/>
        </w:rPr>
        <w:t xml:space="preserve">, K. (2008). Constructionism and the grounded theory method. </w:t>
      </w:r>
      <w:r w:rsidRPr="00FA38B2">
        <w:rPr>
          <w:rFonts w:cs="Times New Roman"/>
          <w:i/>
          <w:szCs w:val="24"/>
        </w:rPr>
        <w:t>Handbook of Constructionist Research</w:t>
      </w:r>
      <w:r w:rsidRPr="00FA38B2">
        <w:rPr>
          <w:rFonts w:cs="Times New Roman"/>
          <w:szCs w:val="24"/>
        </w:rPr>
        <w:t xml:space="preserve">, 1, 397-412. </w:t>
      </w:r>
    </w:p>
    <w:p w14:paraId="613FDDBB" w14:textId="77777777" w:rsidR="000F38AC" w:rsidRPr="00FA38B2" w:rsidRDefault="000F38AC" w:rsidP="00FA38B2">
      <w:pPr>
        <w:ind w:left="720" w:hanging="720"/>
        <w:rPr>
          <w:rFonts w:cs="Times New Roman"/>
          <w:szCs w:val="24"/>
        </w:rPr>
      </w:pPr>
      <w:proofErr w:type="spellStart"/>
      <w:r w:rsidRPr="00FA38B2">
        <w:rPr>
          <w:rFonts w:cs="Times New Roman"/>
          <w:szCs w:val="24"/>
        </w:rPr>
        <w:t>Chesbrough</w:t>
      </w:r>
      <w:proofErr w:type="spellEnd"/>
      <w:r w:rsidRPr="00FA38B2">
        <w:rPr>
          <w:rFonts w:cs="Times New Roman"/>
          <w:szCs w:val="24"/>
        </w:rPr>
        <w:t xml:space="preserve">, R. D. (2011). College students and service: A mixed methods exploration of motivations, choices, and learning outcomes. </w:t>
      </w:r>
      <w:r w:rsidRPr="00FA38B2">
        <w:rPr>
          <w:rFonts w:cs="Times New Roman"/>
          <w:i/>
          <w:szCs w:val="24"/>
        </w:rPr>
        <w:t>Journal of College Student Development, 52</w:t>
      </w:r>
      <w:r w:rsidRPr="00FA38B2">
        <w:rPr>
          <w:rFonts w:cs="Times New Roman"/>
          <w:szCs w:val="24"/>
        </w:rPr>
        <w:t>(6), 687-705. https://doi.org/10.1353/csd.2011.0071</w:t>
      </w:r>
    </w:p>
    <w:p w14:paraId="6A2A3309" w14:textId="77777777" w:rsidR="000F38AC" w:rsidRPr="00FA38B2" w:rsidRDefault="000F38AC" w:rsidP="00FA38B2">
      <w:pPr>
        <w:ind w:left="720" w:hanging="720"/>
        <w:rPr>
          <w:rFonts w:cs="Times New Roman"/>
          <w:szCs w:val="24"/>
        </w:rPr>
      </w:pPr>
      <w:r w:rsidRPr="00FA38B2">
        <w:rPr>
          <w:rFonts w:cs="Times New Roman"/>
          <w:szCs w:val="24"/>
        </w:rPr>
        <w:t xml:space="preserve">Choy, S. (2002). </w:t>
      </w:r>
      <w:r w:rsidRPr="00FA38B2">
        <w:rPr>
          <w:rFonts w:cs="Times New Roman"/>
          <w:i/>
          <w:szCs w:val="24"/>
        </w:rPr>
        <w:t>Nontraditional Undergraduates: Findings from the Condition of Education 2002</w:t>
      </w:r>
      <w:r w:rsidRPr="00FA38B2">
        <w:rPr>
          <w:rFonts w:cs="Times New Roman"/>
          <w:szCs w:val="24"/>
        </w:rPr>
        <w:t xml:space="preserve"> (NCES 2002-012). National Center for Education Statistics.</w:t>
      </w:r>
    </w:p>
    <w:p w14:paraId="6FF4D3E2" w14:textId="77777777" w:rsidR="000F38AC" w:rsidRPr="00FA38B2" w:rsidRDefault="000F38AC" w:rsidP="00FA38B2">
      <w:pPr>
        <w:ind w:left="720" w:hanging="720"/>
        <w:rPr>
          <w:rFonts w:cs="Times New Roman"/>
          <w:szCs w:val="24"/>
        </w:rPr>
      </w:pPr>
      <w:r w:rsidRPr="00FA38B2">
        <w:rPr>
          <w:rFonts w:cs="Times New Roman"/>
          <w:szCs w:val="24"/>
        </w:rPr>
        <w:lastRenderedPageBreak/>
        <w:t xml:space="preserve">Christie, H., </w:t>
      </w:r>
      <w:proofErr w:type="spellStart"/>
      <w:r w:rsidRPr="00FA38B2">
        <w:rPr>
          <w:rFonts w:cs="Times New Roman"/>
          <w:szCs w:val="24"/>
        </w:rPr>
        <w:t>Tett</w:t>
      </w:r>
      <w:proofErr w:type="spellEnd"/>
      <w:r w:rsidRPr="00FA38B2">
        <w:rPr>
          <w:rFonts w:cs="Times New Roman"/>
          <w:szCs w:val="24"/>
        </w:rPr>
        <w:t xml:space="preserve">, L., Cree, V. E., </w:t>
      </w:r>
      <w:proofErr w:type="spellStart"/>
      <w:r w:rsidRPr="00FA38B2">
        <w:rPr>
          <w:rFonts w:cs="Times New Roman"/>
          <w:szCs w:val="24"/>
        </w:rPr>
        <w:t>Hounsell</w:t>
      </w:r>
      <w:proofErr w:type="spellEnd"/>
      <w:r w:rsidRPr="00FA38B2">
        <w:rPr>
          <w:rFonts w:cs="Times New Roman"/>
          <w:szCs w:val="24"/>
        </w:rPr>
        <w:t xml:space="preserve">, J., &amp; McCune, V. (2008). ‘A real rollercoaster of confidence and emotions’: Learning to be a university student. </w:t>
      </w:r>
      <w:r w:rsidRPr="00FA38B2">
        <w:rPr>
          <w:rFonts w:cs="Times New Roman"/>
          <w:i/>
          <w:szCs w:val="24"/>
        </w:rPr>
        <w:t>Studies in Higher Education</w:t>
      </w:r>
      <w:r w:rsidRPr="00FA38B2">
        <w:rPr>
          <w:rFonts w:cs="Times New Roman"/>
          <w:szCs w:val="24"/>
        </w:rPr>
        <w:t xml:space="preserve">, </w:t>
      </w:r>
      <w:r w:rsidRPr="00FA38B2">
        <w:rPr>
          <w:rFonts w:cs="Times New Roman"/>
          <w:i/>
          <w:szCs w:val="24"/>
        </w:rPr>
        <w:t>33</w:t>
      </w:r>
      <w:r w:rsidRPr="00FA38B2">
        <w:rPr>
          <w:rFonts w:cs="Times New Roman"/>
          <w:szCs w:val="24"/>
        </w:rPr>
        <w:t xml:space="preserve">(5), 567-581. https://doi.org/10.1080/03075070802373040 </w:t>
      </w:r>
    </w:p>
    <w:p w14:paraId="1E71695C" w14:textId="77777777" w:rsidR="000F38AC" w:rsidRPr="00FA38B2" w:rsidRDefault="000F38AC" w:rsidP="00FA38B2">
      <w:pPr>
        <w:ind w:left="720" w:hanging="720"/>
        <w:rPr>
          <w:rFonts w:cs="Times New Roman"/>
          <w:szCs w:val="24"/>
        </w:rPr>
      </w:pPr>
      <w:proofErr w:type="spellStart"/>
      <w:r w:rsidRPr="00FA38B2">
        <w:rPr>
          <w:rFonts w:cs="Times New Roman"/>
          <w:szCs w:val="24"/>
        </w:rPr>
        <w:t>Cilluffo</w:t>
      </w:r>
      <w:proofErr w:type="spellEnd"/>
      <w:r w:rsidRPr="00FA38B2">
        <w:rPr>
          <w:rFonts w:cs="Times New Roman"/>
          <w:szCs w:val="24"/>
        </w:rPr>
        <w:t xml:space="preserve">, A. (2019, August 13). </w:t>
      </w:r>
      <w:r w:rsidRPr="00FA38B2">
        <w:rPr>
          <w:rFonts w:cs="Times New Roman"/>
          <w:i/>
          <w:szCs w:val="24"/>
        </w:rPr>
        <w:t>5 facts about student loans</w:t>
      </w:r>
      <w:r w:rsidRPr="00FA38B2">
        <w:rPr>
          <w:rFonts w:cs="Times New Roman"/>
          <w:szCs w:val="24"/>
        </w:rPr>
        <w:t>. Pew Research Center. https://www.pewresearch.org/fact-tank/2019/08/13/facts-about-student-loans/</w:t>
      </w:r>
    </w:p>
    <w:p w14:paraId="7FE3A365" w14:textId="77777777" w:rsidR="000F38AC" w:rsidRPr="00FA38B2" w:rsidRDefault="000F38AC" w:rsidP="00FA38B2">
      <w:pPr>
        <w:ind w:left="720" w:hanging="720"/>
        <w:rPr>
          <w:rFonts w:cs="Times New Roman"/>
          <w:szCs w:val="24"/>
        </w:rPr>
      </w:pPr>
      <w:r w:rsidRPr="00FA38B2">
        <w:rPr>
          <w:rFonts w:cs="Times New Roman"/>
          <w:szCs w:val="24"/>
        </w:rPr>
        <w:t xml:space="preserve">Collom, G. D., </w:t>
      </w:r>
      <w:proofErr w:type="spellStart"/>
      <w:r w:rsidRPr="00FA38B2">
        <w:rPr>
          <w:rFonts w:cs="Times New Roman"/>
          <w:szCs w:val="24"/>
        </w:rPr>
        <w:t>Biddix</w:t>
      </w:r>
      <w:proofErr w:type="spellEnd"/>
      <w:r w:rsidRPr="00FA38B2">
        <w:rPr>
          <w:rFonts w:cs="Times New Roman"/>
          <w:szCs w:val="24"/>
        </w:rPr>
        <w:t xml:space="preserve">, J. P., &amp; Svoboda, B. L. (in press). “I’m not letting nothing stop me this time”: Transitions among adult learners using the Tennessee Reconnect Grant. </w:t>
      </w:r>
      <w:r w:rsidRPr="00FA38B2">
        <w:rPr>
          <w:rFonts w:cs="Times New Roman"/>
          <w:i/>
          <w:szCs w:val="24"/>
        </w:rPr>
        <w:t>Community College Review</w:t>
      </w:r>
      <w:r w:rsidRPr="00FA38B2">
        <w:rPr>
          <w:rFonts w:cs="Times New Roman"/>
          <w:szCs w:val="24"/>
        </w:rPr>
        <w:t xml:space="preserve">. </w:t>
      </w:r>
    </w:p>
    <w:p w14:paraId="5B0043A4" w14:textId="77777777" w:rsidR="000F38AC" w:rsidRPr="00FA38B2" w:rsidRDefault="000F38AC" w:rsidP="00FA38B2">
      <w:pPr>
        <w:ind w:left="720" w:hanging="720"/>
        <w:rPr>
          <w:rFonts w:cs="Times New Roman"/>
          <w:szCs w:val="24"/>
        </w:rPr>
      </w:pPr>
      <w:r w:rsidRPr="00FA38B2">
        <w:rPr>
          <w:rFonts w:cs="Times New Roman"/>
          <w:szCs w:val="24"/>
        </w:rPr>
        <w:t xml:space="preserve">Cowan, J., </w:t>
      </w:r>
      <w:proofErr w:type="spellStart"/>
      <w:r w:rsidRPr="00FA38B2">
        <w:rPr>
          <w:rFonts w:cs="Times New Roman"/>
          <w:szCs w:val="24"/>
        </w:rPr>
        <w:t>Goldhaber</w:t>
      </w:r>
      <w:proofErr w:type="spellEnd"/>
      <w:r w:rsidRPr="00FA38B2">
        <w:rPr>
          <w:rFonts w:cs="Times New Roman"/>
          <w:szCs w:val="24"/>
        </w:rPr>
        <w:t xml:space="preserve">, D., </w:t>
      </w:r>
      <w:proofErr w:type="spellStart"/>
      <w:r w:rsidRPr="00FA38B2">
        <w:rPr>
          <w:rFonts w:cs="Times New Roman"/>
          <w:szCs w:val="24"/>
        </w:rPr>
        <w:t>Holzer</w:t>
      </w:r>
      <w:proofErr w:type="spellEnd"/>
      <w:r w:rsidRPr="00FA38B2">
        <w:rPr>
          <w:rFonts w:cs="Times New Roman"/>
          <w:szCs w:val="24"/>
        </w:rPr>
        <w:t xml:space="preserve">, H. J., Naito, N., &amp; Xu, Z. (2020). </w:t>
      </w:r>
      <w:r w:rsidRPr="00FA38B2">
        <w:rPr>
          <w:rFonts w:cs="Times New Roman"/>
          <w:i/>
          <w:szCs w:val="24"/>
        </w:rPr>
        <w:t>Career and Technical Education in High School and Postsecondary Career Pathways in Washington State</w:t>
      </w:r>
      <w:r w:rsidRPr="00FA38B2">
        <w:rPr>
          <w:rFonts w:cs="Times New Roman"/>
          <w:szCs w:val="24"/>
        </w:rPr>
        <w:t>. http://hdl.handle.net/10419/227344</w:t>
      </w:r>
    </w:p>
    <w:p w14:paraId="342FBE6D" w14:textId="77777777" w:rsidR="000F38AC" w:rsidRPr="00FA38B2" w:rsidRDefault="000F38AC" w:rsidP="00FA38B2">
      <w:pPr>
        <w:ind w:left="720" w:hanging="720"/>
        <w:rPr>
          <w:rFonts w:cs="Times New Roman"/>
          <w:szCs w:val="24"/>
        </w:rPr>
      </w:pPr>
      <w:r w:rsidRPr="00FA38B2">
        <w:rPr>
          <w:rFonts w:cs="Times New Roman"/>
          <w:szCs w:val="24"/>
        </w:rPr>
        <w:t xml:space="preserve">Cunningham, S. (2021). </w:t>
      </w:r>
      <w:r w:rsidRPr="00FA38B2">
        <w:rPr>
          <w:rFonts w:cs="Times New Roman"/>
          <w:i/>
          <w:szCs w:val="24"/>
        </w:rPr>
        <w:t>Causal Inference: The Mixtape</w:t>
      </w:r>
      <w:r w:rsidRPr="00FA38B2">
        <w:rPr>
          <w:rFonts w:cs="Times New Roman"/>
          <w:szCs w:val="24"/>
        </w:rPr>
        <w:t xml:space="preserve">. Yale University Press. </w:t>
      </w:r>
    </w:p>
    <w:p w14:paraId="26A918E4" w14:textId="77777777" w:rsidR="000F38AC" w:rsidRPr="00FA38B2" w:rsidRDefault="000F38AC" w:rsidP="00FA38B2">
      <w:pPr>
        <w:ind w:left="720" w:hanging="720"/>
        <w:rPr>
          <w:rFonts w:cs="Times New Roman"/>
          <w:szCs w:val="24"/>
        </w:rPr>
      </w:pPr>
      <w:r w:rsidRPr="00FA38B2">
        <w:rPr>
          <w:rFonts w:cs="Times New Roman"/>
          <w:szCs w:val="24"/>
        </w:rPr>
        <w:t xml:space="preserve">Davidson, C. T., Ashby-King, D. T., &amp; </w:t>
      </w:r>
      <w:proofErr w:type="spellStart"/>
      <w:r w:rsidRPr="00FA38B2">
        <w:rPr>
          <w:rFonts w:cs="Times New Roman"/>
          <w:szCs w:val="24"/>
        </w:rPr>
        <w:t>Sciulli</w:t>
      </w:r>
      <w:proofErr w:type="spellEnd"/>
      <w:r w:rsidRPr="00FA38B2">
        <w:rPr>
          <w:rFonts w:cs="Times New Roman"/>
          <w:szCs w:val="24"/>
        </w:rPr>
        <w:t xml:space="preserve">, L. J. (2020). The higher education funding revolution: An exploration of statewide community college “free tuition” programs. </w:t>
      </w:r>
      <w:r w:rsidRPr="00FA38B2">
        <w:rPr>
          <w:rFonts w:cs="Times New Roman"/>
          <w:i/>
          <w:szCs w:val="24"/>
        </w:rPr>
        <w:t>Community College Journal of Research and Practice, 44</w:t>
      </w:r>
      <w:r w:rsidRPr="00FA38B2">
        <w:rPr>
          <w:rFonts w:cs="Times New Roman"/>
          <w:szCs w:val="24"/>
        </w:rPr>
        <w:t xml:space="preserve">(2), 117-132. https://doi.org/10.1080/10668926.2018.1558135 </w:t>
      </w:r>
    </w:p>
    <w:p w14:paraId="402CACA2" w14:textId="77777777" w:rsidR="000F38AC" w:rsidRPr="00FA38B2" w:rsidRDefault="000F38AC" w:rsidP="00FA38B2">
      <w:pPr>
        <w:ind w:left="720" w:hanging="720"/>
        <w:rPr>
          <w:rFonts w:cs="Times New Roman"/>
          <w:szCs w:val="24"/>
        </w:rPr>
      </w:pPr>
      <w:proofErr w:type="spellStart"/>
      <w:r w:rsidRPr="00FA38B2">
        <w:rPr>
          <w:rFonts w:cs="Times New Roman"/>
          <w:szCs w:val="24"/>
        </w:rPr>
        <w:t>Deil</w:t>
      </w:r>
      <w:proofErr w:type="spellEnd"/>
      <w:r w:rsidRPr="00FA38B2">
        <w:rPr>
          <w:rFonts w:cs="Times New Roman"/>
          <w:szCs w:val="24"/>
        </w:rPr>
        <w:t xml:space="preserve">-Amen, R. (2011). Socio-academic integrative moments: Rethinking academic and social integration among two-year college students in career-related programs. </w:t>
      </w:r>
      <w:r w:rsidRPr="00FA38B2">
        <w:rPr>
          <w:rFonts w:cs="Times New Roman"/>
          <w:i/>
          <w:szCs w:val="24"/>
        </w:rPr>
        <w:t>The Journal of Higher Education</w:t>
      </w:r>
      <w:r w:rsidRPr="00FA38B2">
        <w:rPr>
          <w:rFonts w:cs="Times New Roman"/>
          <w:szCs w:val="24"/>
        </w:rPr>
        <w:t xml:space="preserve">, </w:t>
      </w:r>
      <w:r w:rsidRPr="00FA38B2">
        <w:rPr>
          <w:rFonts w:cs="Times New Roman"/>
          <w:i/>
          <w:szCs w:val="24"/>
        </w:rPr>
        <w:t>82</w:t>
      </w:r>
      <w:r w:rsidRPr="00FA38B2">
        <w:rPr>
          <w:rFonts w:cs="Times New Roman"/>
          <w:szCs w:val="24"/>
        </w:rPr>
        <w:t xml:space="preserve">(1), 54-91. https://doi.org/10.1080/00221546.2011.11779085 </w:t>
      </w:r>
    </w:p>
    <w:p w14:paraId="0CE79979" w14:textId="77777777" w:rsidR="000F38AC" w:rsidRPr="00FA38B2" w:rsidRDefault="000F38AC" w:rsidP="00FA38B2">
      <w:pPr>
        <w:ind w:left="720" w:hanging="720"/>
        <w:rPr>
          <w:rFonts w:cs="Times New Roman"/>
          <w:szCs w:val="24"/>
        </w:rPr>
      </w:pPr>
      <w:proofErr w:type="spellStart"/>
      <w:r w:rsidRPr="00FA38B2">
        <w:rPr>
          <w:rFonts w:cs="Times New Roman"/>
          <w:szCs w:val="24"/>
        </w:rPr>
        <w:t>Derrington</w:t>
      </w:r>
      <w:proofErr w:type="spellEnd"/>
      <w:r w:rsidRPr="00FA38B2">
        <w:rPr>
          <w:rFonts w:cs="Times New Roman"/>
          <w:szCs w:val="24"/>
        </w:rPr>
        <w:t xml:space="preserve">, M. L. (2018). </w:t>
      </w:r>
      <w:r w:rsidRPr="00FA38B2">
        <w:rPr>
          <w:rFonts w:cs="Times New Roman"/>
          <w:i/>
          <w:szCs w:val="24"/>
        </w:rPr>
        <w:t>Qualitative longitudinal methods: Researching implementation and change.</w:t>
      </w:r>
      <w:r w:rsidRPr="00FA38B2">
        <w:rPr>
          <w:rFonts w:cs="Times New Roman"/>
          <w:szCs w:val="24"/>
        </w:rPr>
        <w:t xml:space="preserve"> Sage.</w:t>
      </w:r>
    </w:p>
    <w:p w14:paraId="1A7EAE5A" w14:textId="3FF26441" w:rsidR="00E03664" w:rsidRDefault="00E03664" w:rsidP="00FA38B2">
      <w:pPr>
        <w:ind w:left="720" w:hanging="720"/>
        <w:rPr>
          <w:rFonts w:cs="Times New Roman"/>
          <w:szCs w:val="24"/>
        </w:rPr>
      </w:pPr>
      <w:r>
        <w:rPr>
          <w:rFonts w:cs="Times New Roman"/>
          <w:szCs w:val="24"/>
        </w:rPr>
        <w:lastRenderedPageBreak/>
        <w:t xml:space="preserve">Diem, S., Young, M. D., </w:t>
      </w:r>
      <w:proofErr w:type="spellStart"/>
      <w:r>
        <w:rPr>
          <w:rFonts w:cs="Times New Roman"/>
          <w:szCs w:val="24"/>
        </w:rPr>
        <w:t>Welton</w:t>
      </w:r>
      <w:proofErr w:type="spellEnd"/>
      <w:r>
        <w:rPr>
          <w:rFonts w:cs="Times New Roman"/>
          <w:szCs w:val="24"/>
        </w:rPr>
        <w:t xml:space="preserve">, A. D., </w:t>
      </w:r>
      <w:proofErr w:type="spellStart"/>
      <w:r>
        <w:rPr>
          <w:rFonts w:cs="Times New Roman"/>
          <w:szCs w:val="24"/>
        </w:rPr>
        <w:t>Cumings</w:t>
      </w:r>
      <w:proofErr w:type="spellEnd"/>
      <w:r>
        <w:rPr>
          <w:rFonts w:cs="Times New Roman"/>
          <w:szCs w:val="24"/>
        </w:rPr>
        <w:t xml:space="preserve"> Mansfield, K., &amp; Lee, P. (2014). The intellectual landscape of critical policy analysis. International Journal of Qualitative Studies in Education, 27(9), 1068-1090. </w:t>
      </w:r>
      <w:r w:rsidRPr="00E03664">
        <w:rPr>
          <w:rFonts w:cs="Times New Roman"/>
          <w:szCs w:val="24"/>
        </w:rPr>
        <w:t>https://doi.org/10.1080/09518398.2014.916007</w:t>
      </w:r>
    </w:p>
    <w:p w14:paraId="2BF76989" w14:textId="7F6D2DB0" w:rsidR="000F38AC" w:rsidRPr="00FA38B2" w:rsidRDefault="000F38AC" w:rsidP="00FA38B2">
      <w:pPr>
        <w:ind w:left="720" w:hanging="720"/>
        <w:rPr>
          <w:rFonts w:cs="Times New Roman"/>
          <w:szCs w:val="24"/>
        </w:rPr>
      </w:pPr>
      <w:r w:rsidRPr="00FA38B2">
        <w:rPr>
          <w:rFonts w:cs="Times New Roman"/>
          <w:szCs w:val="24"/>
        </w:rPr>
        <w:t xml:space="preserve">Donald, S. G. &amp; Lang, K. (2007). Inference with difference-in-differences and other panel data. </w:t>
      </w:r>
      <w:r w:rsidRPr="00FA38B2">
        <w:rPr>
          <w:rFonts w:cs="Times New Roman"/>
          <w:i/>
          <w:szCs w:val="24"/>
        </w:rPr>
        <w:t>The Review of Economics and Statistics, 89</w:t>
      </w:r>
      <w:r w:rsidRPr="00FA38B2">
        <w:rPr>
          <w:rFonts w:cs="Times New Roman"/>
          <w:szCs w:val="24"/>
        </w:rPr>
        <w:t>(2), 221-233. https://doi.org/10.1162/rest.89.2.221</w:t>
      </w:r>
    </w:p>
    <w:p w14:paraId="4D98778C" w14:textId="77777777" w:rsidR="000F38AC" w:rsidRPr="00FA38B2" w:rsidRDefault="000F38AC" w:rsidP="00FA38B2">
      <w:pPr>
        <w:ind w:left="720" w:hanging="720"/>
        <w:rPr>
          <w:rFonts w:cs="Times New Roman"/>
          <w:szCs w:val="24"/>
        </w:rPr>
      </w:pPr>
      <w:r w:rsidRPr="00FA38B2">
        <w:rPr>
          <w:rFonts w:cs="Times New Roman"/>
          <w:szCs w:val="24"/>
        </w:rPr>
        <w:t xml:space="preserve">Dougherty, S. M. &amp; Lombardi, A. R. (2016). </w:t>
      </w:r>
      <w:r w:rsidRPr="00FA38B2">
        <w:rPr>
          <w:rFonts w:cs="Times New Roman"/>
          <w:i/>
          <w:szCs w:val="24"/>
        </w:rPr>
        <w:t>Review of Research in Education</w:t>
      </w:r>
      <w:r w:rsidRPr="00FA38B2">
        <w:rPr>
          <w:rFonts w:cs="Times New Roman"/>
          <w:i/>
          <w:iCs/>
          <w:szCs w:val="24"/>
        </w:rPr>
        <w:t>, 40,</w:t>
      </w:r>
      <w:r w:rsidRPr="00FA38B2">
        <w:rPr>
          <w:rFonts w:cs="Times New Roman"/>
          <w:szCs w:val="24"/>
        </w:rPr>
        <w:t xml:space="preserve"> 326-355. 10.3102/0091732X16678602</w:t>
      </w:r>
    </w:p>
    <w:p w14:paraId="6D2F1A56" w14:textId="77777777" w:rsidR="000F38AC" w:rsidRPr="00FA38B2" w:rsidRDefault="000F38AC" w:rsidP="00FA38B2">
      <w:pPr>
        <w:ind w:left="720" w:hanging="720"/>
        <w:rPr>
          <w:rFonts w:cs="Times New Roman"/>
          <w:szCs w:val="24"/>
        </w:rPr>
      </w:pPr>
      <w:proofErr w:type="spellStart"/>
      <w:r w:rsidRPr="00FA38B2">
        <w:rPr>
          <w:rFonts w:cs="Times New Roman"/>
          <w:szCs w:val="24"/>
        </w:rPr>
        <w:t>Gallacher</w:t>
      </w:r>
      <w:proofErr w:type="spellEnd"/>
      <w:r w:rsidRPr="00FA38B2">
        <w:rPr>
          <w:rFonts w:cs="Times New Roman"/>
          <w:szCs w:val="24"/>
        </w:rPr>
        <w:t xml:space="preserve">, J., </w:t>
      </w:r>
      <w:proofErr w:type="spellStart"/>
      <w:r w:rsidRPr="00FA38B2">
        <w:rPr>
          <w:rFonts w:cs="Times New Roman"/>
          <w:szCs w:val="24"/>
        </w:rPr>
        <w:t>Crossan</w:t>
      </w:r>
      <w:proofErr w:type="spellEnd"/>
      <w:r w:rsidRPr="00FA38B2">
        <w:rPr>
          <w:rFonts w:cs="Times New Roman"/>
          <w:szCs w:val="24"/>
        </w:rPr>
        <w:t xml:space="preserve">, B., Field, J., &amp; Merrill, B. (2002). Learning careers and the social space: Exploring the fragile identities of adult returners in the new further education. </w:t>
      </w:r>
      <w:r w:rsidRPr="00FA38B2">
        <w:rPr>
          <w:rFonts w:cs="Times New Roman"/>
          <w:i/>
          <w:szCs w:val="24"/>
        </w:rPr>
        <w:t>International Journal of Lifelong Education</w:t>
      </w:r>
      <w:r w:rsidRPr="00FA38B2">
        <w:rPr>
          <w:rFonts w:cs="Times New Roman"/>
          <w:szCs w:val="24"/>
        </w:rPr>
        <w:t xml:space="preserve">, </w:t>
      </w:r>
      <w:r w:rsidRPr="00FA38B2">
        <w:rPr>
          <w:rFonts w:cs="Times New Roman"/>
          <w:i/>
          <w:szCs w:val="24"/>
        </w:rPr>
        <w:t>21</w:t>
      </w:r>
      <w:r w:rsidRPr="00FA38B2">
        <w:rPr>
          <w:rFonts w:cs="Times New Roman"/>
          <w:szCs w:val="24"/>
        </w:rPr>
        <w:t xml:space="preserve">(6), 493-509. https://doi.org/10.1080/0260137022000016172 </w:t>
      </w:r>
    </w:p>
    <w:p w14:paraId="43124556" w14:textId="77777777" w:rsidR="000F38AC" w:rsidRPr="00FA38B2" w:rsidRDefault="000F38AC" w:rsidP="00FA38B2">
      <w:pPr>
        <w:ind w:left="720" w:hanging="720"/>
        <w:rPr>
          <w:rFonts w:cs="Times New Roman"/>
          <w:szCs w:val="24"/>
        </w:rPr>
      </w:pPr>
      <w:r w:rsidRPr="00FA38B2">
        <w:rPr>
          <w:rFonts w:cs="Times New Roman"/>
          <w:szCs w:val="24"/>
        </w:rPr>
        <w:t xml:space="preserve">Geiger, R. L. (2015). Does Higher Education Cause Inequality? </w:t>
      </w:r>
      <w:r w:rsidRPr="00FA38B2">
        <w:rPr>
          <w:rFonts w:cs="Times New Roman"/>
          <w:i/>
          <w:iCs/>
          <w:szCs w:val="24"/>
        </w:rPr>
        <w:t>American Journal of Education, 121</w:t>
      </w:r>
      <w:r w:rsidRPr="00FA38B2">
        <w:rPr>
          <w:rFonts w:cs="Times New Roman"/>
          <w:szCs w:val="24"/>
        </w:rPr>
        <w:t>(2), 299-310. https://doi.org/10.1086/679394</w:t>
      </w:r>
    </w:p>
    <w:p w14:paraId="2EFAC3E4" w14:textId="77777777" w:rsidR="000F38AC" w:rsidRPr="00FA38B2" w:rsidRDefault="000F38AC" w:rsidP="00FA38B2">
      <w:pPr>
        <w:ind w:left="720" w:hanging="720"/>
        <w:rPr>
          <w:rFonts w:cs="Times New Roman"/>
          <w:szCs w:val="24"/>
        </w:rPr>
      </w:pPr>
      <w:proofErr w:type="spellStart"/>
      <w:r w:rsidRPr="00FA38B2">
        <w:rPr>
          <w:rFonts w:cs="Times New Roman"/>
          <w:szCs w:val="24"/>
        </w:rPr>
        <w:t>Gershenfeld</w:t>
      </w:r>
      <w:proofErr w:type="spellEnd"/>
      <w:r w:rsidRPr="00FA38B2">
        <w:rPr>
          <w:rFonts w:cs="Times New Roman"/>
          <w:szCs w:val="24"/>
        </w:rPr>
        <w:t xml:space="preserve">, S., Zhan, M., &amp; Hood, D. W. (2019). The impact of a promise: A loan replacement grant, low-income students, and college graduation. </w:t>
      </w:r>
      <w:r w:rsidRPr="00FA38B2">
        <w:rPr>
          <w:rFonts w:cs="Times New Roman"/>
          <w:i/>
          <w:szCs w:val="24"/>
        </w:rPr>
        <w:t>The Review of Higher Education</w:t>
      </w:r>
      <w:r w:rsidRPr="00FA38B2">
        <w:rPr>
          <w:rFonts w:cs="Times New Roman"/>
          <w:szCs w:val="24"/>
        </w:rPr>
        <w:t xml:space="preserve">, </w:t>
      </w:r>
      <w:r w:rsidRPr="00FA38B2">
        <w:rPr>
          <w:rFonts w:cs="Times New Roman"/>
          <w:i/>
          <w:szCs w:val="24"/>
        </w:rPr>
        <w:t>42</w:t>
      </w:r>
      <w:r w:rsidRPr="00FA38B2">
        <w:rPr>
          <w:rFonts w:cs="Times New Roman"/>
          <w:szCs w:val="24"/>
        </w:rPr>
        <w:t>(3), 1073-1100. doi:10.1353/rhe.2019.0030.</w:t>
      </w:r>
    </w:p>
    <w:p w14:paraId="6539DEE3" w14:textId="77777777" w:rsidR="000F38AC" w:rsidRPr="00FA38B2" w:rsidRDefault="000F38AC" w:rsidP="00FA38B2">
      <w:pPr>
        <w:ind w:left="720" w:hanging="720"/>
        <w:rPr>
          <w:rFonts w:cs="Times New Roman"/>
          <w:szCs w:val="24"/>
        </w:rPr>
      </w:pPr>
      <w:proofErr w:type="spellStart"/>
      <w:r w:rsidRPr="00FA38B2">
        <w:rPr>
          <w:rFonts w:cs="Times New Roman"/>
          <w:szCs w:val="24"/>
        </w:rPr>
        <w:t>Goldhaber</w:t>
      </w:r>
      <w:proofErr w:type="spellEnd"/>
      <w:r w:rsidRPr="00FA38B2">
        <w:rPr>
          <w:rFonts w:cs="Times New Roman"/>
          <w:szCs w:val="24"/>
        </w:rPr>
        <w:t xml:space="preserve">, D., Long, M. C., Gratz, T., &amp; </w:t>
      </w:r>
      <w:proofErr w:type="spellStart"/>
      <w:r w:rsidRPr="00FA38B2">
        <w:rPr>
          <w:rFonts w:cs="Times New Roman"/>
          <w:szCs w:val="24"/>
        </w:rPr>
        <w:t>Rooklyn</w:t>
      </w:r>
      <w:proofErr w:type="spellEnd"/>
      <w:r w:rsidRPr="00FA38B2">
        <w:rPr>
          <w:rFonts w:cs="Times New Roman"/>
          <w:szCs w:val="24"/>
        </w:rPr>
        <w:t xml:space="preserve">, J. (2019). Pledging to do “good”: An early commitment pledge program, college scholarships, and high school outcomes in Washington state. </w:t>
      </w:r>
      <w:r w:rsidRPr="00FA38B2">
        <w:rPr>
          <w:rFonts w:cs="Times New Roman"/>
          <w:i/>
          <w:szCs w:val="24"/>
        </w:rPr>
        <w:t>Educational Evaluation and Policy Analysis</w:t>
      </w:r>
      <w:r w:rsidRPr="00FA38B2">
        <w:rPr>
          <w:rFonts w:cs="Times New Roman"/>
          <w:szCs w:val="24"/>
        </w:rPr>
        <w:t xml:space="preserve">, </w:t>
      </w:r>
      <w:r w:rsidRPr="00FA38B2">
        <w:rPr>
          <w:rFonts w:cs="Times New Roman"/>
          <w:i/>
          <w:iCs/>
          <w:szCs w:val="24"/>
        </w:rPr>
        <w:t>42</w:t>
      </w:r>
      <w:r w:rsidRPr="00FA38B2">
        <w:rPr>
          <w:rFonts w:cs="Times New Roman"/>
          <w:szCs w:val="24"/>
        </w:rPr>
        <w:t>(1), 110-133. https://doi.org/10.3102/0162373719889051</w:t>
      </w:r>
    </w:p>
    <w:p w14:paraId="78289B3B" w14:textId="77777777" w:rsidR="000F38AC" w:rsidRPr="00FA38B2" w:rsidRDefault="000F38AC" w:rsidP="00FA38B2">
      <w:pPr>
        <w:ind w:left="720" w:hanging="720"/>
        <w:rPr>
          <w:rFonts w:cs="Times New Roman"/>
          <w:szCs w:val="24"/>
        </w:rPr>
      </w:pPr>
      <w:proofErr w:type="spellStart"/>
      <w:r w:rsidRPr="00FA38B2">
        <w:rPr>
          <w:rFonts w:cs="Times New Roman"/>
          <w:szCs w:val="24"/>
        </w:rPr>
        <w:lastRenderedPageBreak/>
        <w:t>Goldrick-Rab</w:t>
      </w:r>
      <w:proofErr w:type="spellEnd"/>
      <w:r w:rsidRPr="00FA38B2">
        <w:rPr>
          <w:rFonts w:cs="Times New Roman"/>
          <w:szCs w:val="24"/>
        </w:rPr>
        <w:t xml:space="preserve">, S. (2010). Challenges and opportunities for improving community college student success. </w:t>
      </w:r>
      <w:r w:rsidRPr="00FA38B2">
        <w:rPr>
          <w:rFonts w:cs="Times New Roman"/>
          <w:i/>
          <w:szCs w:val="24"/>
        </w:rPr>
        <w:t>Review of Educational Research</w:t>
      </w:r>
      <w:r w:rsidRPr="00FA38B2">
        <w:rPr>
          <w:rFonts w:cs="Times New Roman"/>
          <w:szCs w:val="24"/>
        </w:rPr>
        <w:t xml:space="preserve">, </w:t>
      </w:r>
      <w:r w:rsidRPr="00FA38B2">
        <w:rPr>
          <w:rFonts w:cs="Times New Roman"/>
          <w:i/>
          <w:szCs w:val="24"/>
        </w:rPr>
        <w:t>80</w:t>
      </w:r>
      <w:r w:rsidRPr="00FA38B2">
        <w:rPr>
          <w:rFonts w:cs="Times New Roman"/>
          <w:szCs w:val="24"/>
        </w:rPr>
        <w:t xml:space="preserve">(3), 437-469. https://doi.org/10.3102/0034654310370163 </w:t>
      </w:r>
    </w:p>
    <w:p w14:paraId="48D80E6F" w14:textId="77777777" w:rsidR="000F38AC" w:rsidRPr="00FA38B2" w:rsidRDefault="000F38AC" w:rsidP="00FA38B2">
      <w:pPr>
        <w:ind w:left="720" w:hanging="720"/>
        <w:rPr>
          <w:rFonts w:cs="Times New Roman"/>
          <w:szCs w:val="24"/>
        </w:rPr>
      </w:pPr>
      <w:r w:rsidRPr="00FA38B2">
        <w:rPr>
          <w:rFonts w:cs="Times New Roman"/>
          <w:szCs w:val="24"/>
        </w:rPr>
        <w:t xml:space="preserve">Harper, S. R., Patton, L. D., &amp; Wooden, O. S. (2009). Access and equity for African American students in higher education: A critical race historical analysis of policy efforts. </w:t>
      </w:r>
      <w:r w:rsidRPr="00FA38B2">
        <w:rPr>
          <w:rFonts w:cs="Times New Roman"/>
          <w:i/>
          <w:szCs w:val="24"/>
        </w:rPr>
        <w:t>The Journal of Higher Education</w:t>
      </w:r>
      <w:r w:rsidRPr="00FA38B2">
        <w:rPr>
          <w:rFonts w:cs="Times New Roman"/>
          <w:szCs w:val="24"/>
        </w:rPr>
        <w:t xml:space="preserve">, </w:t>
      </w:r>
      <w:r w:rsidRPr="00FA38B2">
        <w:rPr>
          <w:rFonts w:cs="Times New Roman"/>
          <w:i/>
          <w:szCs w:val="24"/>
        </w:rPr>
        <w:t>80</w:t>
      </w:r>
      <w:r w:rsidRPr="00FA38B2">
        <w:rPr>
          <w:rFonts w:cs="Times New Roman"/>
          <w:szCs w:val="24"/>
        </w:rPr>
        <w:t xml:space="preserve">(4), 389-414. https://doi.org/10.1080/00221546.2009.11779022 </w:t>
      </w:r>
    </w:p>
    <w:p w14:paraId="23AE96A9" w14:textId="77777777" w:rsidR="000F38AC" w:rsidRPr="00FA38B2" w:rsidRDefault="000F38AC" w:rsidP="00FA38B2">
      <w:pPr>
        <w:ind w:left="720" w:hanging="720"/>
        <w:rPr>
          <w:rFonts w:cs="Times New Roman"/>
          <w:szCs w:val="24"/>
        </w:rPr>
      </w:pPr>
      <w:proofErr w:type="spellStart"/>
      <w:r w:rsidRPr="00FA38B2">
        <w:rPr>
          <w:rFonts w:cs="Times New Roman"/>
          <w:szCs w:val="24"/>
        </w:rPr>
        <w:t>Hersperger</w:t>
      </w:r>
      <w:proofErr w:type="spellEnd"/>
      <w:r w:rsidRPr="00FA38B2">
        <w:rPr>
          <w:rFonts w:cs="Times New Roman"/>
          <w:szCs w:val="24"/>
        </w:rPr>
        <w:t xml:space="preserve">, S. L., Slate, J. R., &amp; Edmonson, S. L. (2013). A review of the career and technical education research literature. </w:t>
      </w:r>
      <w:r w:rsidRPr="00FA38B2">
        <w:rPr>
          <w:rFonts w:cs="Times New Roman"/>
          <w:i/>
          <w:szCs w:val="24"/>
        </w:rPr>
        <w:t>Journal of Education Research</w:t>
      </w:r>
      <w:r w:rsidRPr="00FA38B2">
        <w:rPr>
          <w:rFonts w:cs="Times New Roman"/>
          <w:szCs w:val="24"/>
        </w:rPr>
        <w:t>,</w:t>
      </w:r>
      <w:r w:rsidRPr="00FA38B2">
        <w:rPr>
          <w:rFonts w:cs="Times New Roman"/>
          <w:i/>
          <w:iCs/>
          <w:szCs w:val="24"/>
        </w:rPr>
        <w:t xml:space="preserve"> 7</w:t>
      </w:r>
      <w:r w:rsidRPr="00FA38B2">
        <w:rPr>
          <w:rFonts w:cs="Times New Roman"/>
          <w:szCs w:val="24"/>
        </w:rPr>
        <w:t>(3). https://eds.a.ebscohost.com/eds/detail/detail?vid=0&amp;sid=0c348be2-3ea2-4c35-9518-7cdad9c6f092%40sessionmgr4008&amp;bdata=JnNjb3BlPXNpdGU%3d#AN=93735878&amp;db=eue</w:t>
      </w:r>
    </w:p>
    <w:p w14:paraId="5F899562" w14:textId="1F14380C" w:rsidR="000F38AC" w:rsidRPr="00FA38B2" w:rsidRDefault="000F38AC" w:rsidP="00FA38B2">
      <w:pPr>
        <w:ind w:left="720" w:hanging="720"/>
        <w:rPr>
          <w:rFonts w:cs="Times New Roman"/>
          <w:szCs w:val="24"/>
        </w:rPr>
      </w:pPr>
      <w:r w:rsidRPr="00FA38B2">
        <w:rPr>
          <w:rFonts w:cs="Times New Roman"/>
          <w:szCs w:val="24"/>
        </w:rPr>
        <w:t xml:space="preserve">Hillman, N. W., Tandberg, D. A., &amp; Fryar, A. H. (2015). Evaluating the impacts of “new” performance funding in higher education. </w:t>
      </w:r>
      <w:r w:rsidRPr="00FA38B2">
        <w:rPr>
          <w:rFonts w:cs="Times New Roman"/>
          <w:i/>
          <w:szCs w:val="24"/>
        </w:rPr>
        <w:t>Educational Evaluation and Policy Analysis, 37</w:t>
      </w:r>
      <w:r w:rsidRPr="00FA38B2">
        <w:rPr>
          <w:rFonts w:cs="Times New Roman"/>
          <w:szCs w:val="24"/>
        </w:rPr>
        <w:t>(4), 501-519. https://doi.org/10.3102/0162373714560224</w:t>
      </w:r>
    </w:p>
    <w:p w14:paraId="73A5234A" w14:textId="71E0FE52" w:rsidR="000F38AC" w:rsidRPr="00FA38B2" w:rsidRDefault="000F38AC" w:rsidP="00FA38B2">
      <w:pPr>
        <w:ind w:left="720" w:hanging="720"/>
        <w:rPr>
          <w:rFonts w:cs="Times New Roman"/>
          <w:szCs w:val="24"/>
        </w:rPr>
      </w:pPr>
      <w:r w:rsidRPr="00FA38B2">
        <w:rPr>
          <w:rFonts w:cs="Times New Roman"/>
          <w:szCs w:val="24"/>
        </w:rPr>
        <w:t xml:space="preserve">Hu, Y. &amp; Hoover, D. (2018). Simple power and sample size estimation for non-randomized longitudinal difference in differences studies. </w:t>
      </w:r>
      <w:r w:rsidRPr="00FA38B2">
        <w:rPr>
          <w:rFonts w:cs="Times New Roman"/>
          <w:i/>
          <w:szCs w:val="24"/>
        </w:rPr>
        <w:t>Journal of Biometrics and Biostatistics</w:t>
      </w:r>
      <w:r w:rsidRPr="00FA38B2">
        <w:rPr>
          <w:rFonts w:cs="Times New Roman"/>
          <w:szCs w:val="24"/>
        </w:rPr>
        <w:t xml:space="preserve">, </w:t>
      </w:r>
      <w:r w:rsidRPr="00FA38B2">
        <w:rPr>
          <w:rFonts w:cs="Times New Roman"/>
          <w:i/>
          <w:szCs w:val="24"/>
        </w:rPr>
        <w:t>9</w:t>
      </w:r>
      <w:r w:rsidRPr="00FA38B2">
        <w:rPr>
          <w:rFonts w:cs="Times New Roman"/>
          <w:szCs w:val="24"/>
        </w:rPr>
        <w:t xml:space="preserve">(5). https://doi.org/10.4172/2155-6180.1000415  </w:t>
      </w:r>
    </w:p>
    <w:p w14:paraId="2147B2AA" w14:textId="77777777" w:rsidR="000F38AC" w:rsidRPr="00FA38B2" w:rsidRDefault="000F38AC" w:rsidP="00FA38B2">
      <w:pPr>
        <w:ind w:left="720" w:hanging="720"/>
        <w:rPr>
          <w:rFonts w:cs="Times New Roman"/>
          <w:szCs w:val="24"/>
        </w:rPr>
      </w:pPr>
      <w:r w:rsidRPr="00FA38B2">
        <w:rPr>
          <w:rFonts w:cs="Times New Roman"/>
          <w:szCs w:val="24"/>
        </w:rPr>
        <w:t xml:space="preserve">Jones, T., &amp; Berger, K. (2018). </w:t>
      </w:r>
      <w:r w:rsidRPr="00FA38B2">
        <w:rPr>
          <w:rFonts w:cs="Times New Roman"/>
          <w:i/>
          <w:szCs w:val="24"/>
        </w:rPr>
        <w:t>A promise fulfilled: A framework for equitable free college programs</w:t>
      </w:r>
      <w:r w:rsidRPr="00FA38B2">
        <w:rPr>
          <w:rFonts w:cs="Times New Roman"/>
          <w:szCs w:val="24"/>
        </w:rPr>
        <w:t>. The Education Trust.</w:t>
      </w:r>
    </w:p>
    <w:p w14:paraId="569DE312" w14:textId="77777777" w:rsidR="000F38AC" w:rsidRPr="00FA38B2" w:rsidRDefault="000F38AC" w:rsidP="00FA38B2">
      <w:pPr>
        <w:ind w:left="720" w:hanging="720"/>
        <w:rPr>
          <w:rFonts w:cs="Times New Roman"/>
          <w:szCs w:val="24"/>
        </w:rPr>
      </w:pPr>
      <w:proofErr w:type="spellStart"/>
      <w:r w:rsidRPr="00FA38B2">
        <w:rPr>
          <w:rFonts w:cs="Times New Roman"/>
          <w:szCs w:val="24"/>
        </w:rPr>
        <w:t>Kelchen</w:t>
      </w:r>
      <w:proofErr w:type="spellEnd"/>
      <w:r w:rsidRPr="00FA38B2">
        <w:rPr>
          <w:rFonts w:cs="Times New Roman"/>
          <w:szCs w:val="24"/>
        </w:rPr>
        <w:t xml:space="preserve">, R. (2018). Do performance-based funding policies affect underrepresented student enrollment? </w:t>
      </w:r>
      <w:r w:rsidRPr="00FA38B2">
        <w:rPr>
          <w:rFonts w:cs="Times New Roman"/>
          <w:i/>
          <w:szCs w:val="24"/>
        </w:rPr>
        <w:t>The Journal of Higher Education</w:t>
      </w:r>
      <w:r w:rsidRPr="00FA38B2">
        <w:rPr>
          <w:rFonts w:cs="Times New Roman"/>
          <w:szCs w:val="24"/>
        </w:rPr>
        <w:t xml:space="preserve">, </w:t>
      </w:r>
      <w:r w:rsidRPr="00FA38B2">
        <w:rPr>
          <w:rFonts w:cs="Times New Roman"/>
          <w:i/>
          <w:szCs w:val="24"/>
        </w:rPr>
        <w:t>89</w:t>
      </w:r>
      <w:r w:rsidRPr="00FA38B2">
        <w:rPr>
          <w:rFonts w:cs="Times New Roman"/>
          <w:szCs w:val="24"/>
        </w:rPr>
        <w:t>(5), 702-727. https://doi.org/10.1080/00221546.2018.1434282</w:t>
      </w:r>
    </w:p>
    <w:p w14:paraId="021D160A" w14:textId="77777777" w:rsidR="000F38AC" w:rsidRPr="00FA38B2" w:rsidRDefault="000F38AC" w:rsidP="00FA38B2">
      <w:pPr>
        <w:ind w:left="720" w:hanging="720"/>
        <w:rPr>
          <w:rFonts w:cs="Times New Roman"/>
          <w:szCs w:val="24"/>
        </w:rPr>
      </w:pPr>
      <w:r w:rsidRPr="00FA38B2">
        <w:rPr>
          <w:rFonts w:cs="Times New Roman"/>
          <w:szCs w:val="24"/>
        </w:rPr>
        <w:lastRenderedPageBreak/>
        <w:t xml:space="preserve">Kim, Y. &amp; Steiner, P. (2016). Quasi-experimental designs for causal inference. </w:t>
      </w:r>
      <w:r w:rsidRPr="00FA38B2">
        <w:rPr>
          <w:rFonts w:cs="Times New Roman"/>
          <w:i/>
          <w:szCs w:val="24"/>
        </w:rPr>
        <w:t>Educational Psychologist, 51</w:t>
      </w:r>
      <w:r w:rsidRPr="00FA38B2">
        <w:rPr>
          <w:rFonts w:cs="Times New Roman"/>
          <w:szCs w:val="24"/>
        </w:rPr>
        <w:t>(3-4), 395-405. https://doi.org/10.1080/00461520.2016.1207177</w:t>
      </w:r>
    </w:p>
    <w:p w14:paraId="30E331B6" w14:textId="77777777" w:rsidR="000F38AC" w:rsidRPr="00FA38B2" w:rsidRDefault="000F38AC" w:rsidP="00FA38B2">
      <w:pPr>
        <w:ind w:left="720" w:hanging="720"/>
        <w:rPr>
          <w:rFonts w:cs="Times New Roman"/>
          <w:szCs w:val="24"/>
        </w:rPr>
      </w:pPr>
      <w:proofErr w:type="spellStart"/>
      <w:r w:rsidRPr="00FA38B2">
        <w:rPr>
          <w:rFonts w:cs="Times New Roman"/>
          <w:szCs w:val="24"/>
        </w:rPr>
        <w:t>Klempin</w:t>
      </w:r>
      <w:proofErr w:type="spellEnd"/>
      <w:r w:rsidRPr="00FA38B2">
        <w:rPr>
          <w:rFonts w:cs="Times New Roman"/>
          <w:szCs w:val="24"/>
        </w:rPr>
        <w:t xml:space="preserve"> A. &amp; Lahr, H. (2021). </w:t>
      </w:r>
      <w:r w:rsidRPr="00FA38B2">
        <w:rPr>
          <w:rFonts w:cs="Times New Roman"/>
          <w:i/>
          <w:szCs w:val="24"/>
        </w:rPr>
        <w:t>How guided pathways reforms can improve support for adult students: Lessons from three Tennessee community colleges</w:t>
      </w:r>
      <w:r w:rsidRPr="00FA38B2">
        <w:rPr>
          <w:rFonts w:cs="Times New Roman"/>
          <w:szCs w:val="24"/>
        </w:rPr>
        <w:t>. https://ccrc.tc.columbia.edu/media/k2/attachments/guided-pathways-adult-students-tennessee.pdf</w:t>
      </w:r>
    </w:p>
    <w:p w14:paraId="16F6CFD0" w14:textId="77777777" w:rsidR="000F38AC" w:rsidRPr="00FA38B2" w:rsidRDefault="000F38AC" w:rsidP="00FA38B2">
      <w:pPr>
        <w:ind w:left="720" w:hanging="720"/>
        <w:rPr>
          <w:rFonts w:cs="Times New Roman"/>
          <w:szCs w:val="24"/>
        </w:rPr>
      </w:pPr>
      <w:proofErr w:type="spellStart"/>
      <w:r w:rsidRPr="00FA38B2">
        <w:rPr>
          <w:rFonts w:cs="Times New Roman"/>
          <w:szCs w:val="24"/>
        </w:rPr>
        <w:t>Luedke</w:t>
      </w:r>
      <w:proofErr w:type="spellEnd"/>
      <w:r w:rsidRPr="00FA38B2">
        <w:rPr>
          <w:rFonts w:cs="Times New Roman"/>
          <w:szCs w:val="24"/>
        </w:rPr>
        <w:t xml:space="preserve">, C. L., Collom, G. D., McCoy, D. L., Lee-Johnson, J., &amp; Winkle-Wagner, R. (2019). Connecting identity with research: Socializing Students of Color towards seeing themselves as scholars. </w:t>
      </w:r>
      <w:r w:rsidRPr="00FA38B2">
        <w:rPr>
          <w:rFonts w:cs="Times New Roman"/>
          <w:i/>
          <w:szCs w:val="24"/>
        </w:rPr>
        <w:t>The Review of Higher Education</w:t>
      </w:r>
      <w:r w:rsidRPr="00FA38B2">
        <w:rPr>
          <w:rFonts w:cs="Times New Roman"/>
          <w:szCs w:val="24"/>
        </w:rPr>
        <w:t xml:space="preserve">, </w:t>
      </w:r>
      <w:r w:rsidRPr="00FA38B2">
        <w:rPr>
          <w:rFonts w:cs="Times New Roman"/>
          <w:i/>
          <w:szCs w:val="24"/>
        </w:rPr>
        <w:t>42</w:t>
      </w:r>
      <w:r w:rsidRPr="00FA38B2">
        <w:rPr>
          <w:rFonts w:cs="Times New Roman"/>
          <w:szCs w:val="24"/>
        </w:rPr>
        <w:t>(4), 1529-1549. doi:10.1353/rhe.2019.0074.</w:t>
      </w:r>
    </w:p>
    <w:p w14:paraId="3323A9CD" w14:textId="77777777" w:rsidR="000F38AC" w:rsidRPr="00FA38B2" w:rsidRDefault="000F38AC" w:rsidP="00FA38B2">
      <w:pPr>
        <w:ind w:left="720" w:hanging="720"/>
        <w:rPr>
          <w:rFonts w:cs="Times New Roman"/>
          <w:szCs w:val="24"/>
        </w:rPr>
      </w:pPr>
      <w:r w:rsidRPr="00FA38B2">
        <w:rPr>
          <w:rFonts w:cs="Times New Roman"/>
          <w:szCs w:val="24"/>
        </w:rPr>
        <w:t xml:space="preserve">Lumina Foundation (2019). </w:t>
      </w:r>
      <w:r w:rsidRPr="00FA38B2">
        <w:rPr>
          <w:rFonts w:cs="Times New Roman"/>
          <w:i/>
          <w:szCs w:val="24"/>
        </w:rPr>
        <w:t>A stronger nation: Learning beyond high school builds American talent (National report)</w:t>
      </w:r>
      <w:r w:rsidRPr="00FA38B2">
        <w:rPr>
          <w:rFonts w:cs="Times New Roman"/>
          <w:szCs w:val="24"/>
        </w:rPr>
        <w:t>. www.luminafoundation.org/2a0a02cb-bb8b-423d-9322-819778ade3d4</w:t>
      </w:r>
    </w:p>
    <w:p w14:paraId="7A35E134" w14:textId="77777777" w:rsidR="000F38AC" w:rsidRPr="00FA38B2" w:rsidRDefault="000F38AC" w:rsidP="00FA38B2">
      <w:pPr>
        <w:ind w:left="720" w:hanging="720"/>
        <w:rPr>
          <w:rFonts w:cs="Times New Roman"/>
          <w:szCs w:val="24"/>
        </w:rPr>
      </w:pPr>
      <w:r w:rsidRPr="00FA38B2">
        <w:rPr>
          <w:rFonts w:cs="Times New Roman"/>
          <w:szCs w:val="24"/>
        </w:rPr>
        <w:t xml:space="preserve">McCoy, D. L. (2014). A phenomenological approach to understanding first-generation college students of color transitions to one “extreme” predominantly white institution. </w:t>
      </w:r>
      <w:r w:rsidRPr="00FA38B2">
        <w:rPr>
          <w:rFonts w:cs="Times New Roman"/>
          <w:i/>
          <w:szCs w:val="24"/>
        </w:rPr>
        <w:t>College Student Affairs Journal</w:t>
      </w:r>
      <w:r w:rsidRPr="00FA38B2">
        <w:rPr>
          <w:rFonts w:cs="Times New Roman"/>
          <w:szCs w:val="24"/>
        </w:rPr>
        <w:t xml:space="preserve">, </w:t>
      </w:r>
      <w:r w:rsidRPr="00FA38B2">
        <w:rPr>
          <w:rFonts w:cs="Times New Roman"/>
          <w:i/>
          <w:szCs w:val="24"/>
        </w:rPr>
        <w:t>32</w:t>
      </w:r>
      <w:r w:rsidRPr="00FA38B2">
        <w:rPr>
          <w:rFonts w:cs="Times New Roman"/>
          <w:szCs w:val="24"/>
        </w:rPr>
        <w:t>(1), 155-169.</w:t>
      </w:r>
    </w:p>
    <w:p w14:paraId="000D8FE4" w14:textId="77777777" w:rsidR="000F38AC" w:rsidRPr="00FA38B2" w:rsidRDefault="000F38AC" w:rsidP="00FA38B2">
      <w:pPr>
        <w:ind w:left="720" w:hanging="720"/>
        <w:rPr>
          <w:rFonts w:cs="Times New Roman"/>
          <w:szCs w:val="24"/>
        </w:rPr>
      </w:pPr>
      <w:r w:rsidRPr="00FA38B2">
        <w:rPr>
          <w:rFonts w:cs="Times New Roman"/>
          <w:szCs w:val="24"/>
        </w:rPr>
        <w:t xml:space="preserve">Merriam, S. B., &amp; </w:t>
      </w:r>
      <w:proofErr w:type="spellStart"/>
      <w:r w:rsidRPr="00FA38B2">
        <w:rPr>
          <w:rFonts w:cs="Times New Roman"/>
          <w:szCs w:val="24"/>
        </w:rPr>
        <w:t>Tisdell</w:t>
      </w:r>
      <w:proofErr w:type="spellEnd"/>
      <w:r w:rsidRPr="00FA38B2">
        <w:rPr>
          <w:rFonts w:cs="Times New Roman"/>
          <w:szCs w:val="24"/>
        </w:rPr>
        <w:t xml:space="preserve">, E. J. (2015). </w:t>
      </w:r>
      <w:r w:rsidRPr="00FA38B2">
        <w:rPr>
          <w:rFonts w:cs="Times New Roman"/>
          <w:i/>
          <w:szCs w:val="24"/>
        </w:rPr>
        <w:t xml:space="preserve">Qualitative research: A guide to design and implementation. </w:t>
      </w:r>
      <w:r w:rsidRPr="00FA38B2">
        <w:rPr>
          <w:rFonts w:cs="Times New Roman"/>
          <w:szCs w:val="24"/>
        </w:rPr>
        <w:t>John Wiley &amp; Sons.</w:t>
      </w:r>
    </w:p>
    <w:p w14:paraId="2355C505" w14:textId="77777777" w:rsidR="000F38AC" w:rsidRPr="00FA38B2" w:rsidRDefault="000F38AC" w:rsidP="00FA38B2">
      <w:pPr>
        <w:ind w:left="720" w:hanging="720"/>
        <w:rPr>
          <w:rFonts w:cs="Times New Roman"/>
          <w:szCs w:val="24"/>
        </w:rPr>
      </w:pPr>
      <w:r w:rsidRPr="00FA38B2">
        <w:rPr>
          <w:rFonts w:cs="Times New Roman"/>
          <w:szCs w:val="24"/>
        </w:rPr>
        <w:t xml:space="preserve">Miller-Adams, M., &amp; Smith, E. (2018). </w:t>
      </w:r>
      <w:r w:rsidRPr="00FA38B2">
        <w:rPr>
          <w:rFonts w:cs="Times New Roman"/>
          <w:i/>
          <w:szCs w:val="24"/>
        </w:rPr>
        <w:t>Promise scholarship programs and local prosperity.</w:t>
      </w:r>
      <w:r w:rsidRPr="00FA38B2">
        <w:rPr>
          <w:rFonts w:cs="Times New Roman"/>
          <w:szCs w:val="24"/>
        </w:rPr>
        <w:t xml:space="preserve"> (Policy Paper No. 2018-019). Upjohn Institute for Employment Research. https://research.upjohn.org/up_policypapers/19</w:t>
      </w:r>
    </w:p>
    <w:p w14:paraId="2C740438" w14:textId="77777777" w:rsidR="000F38AC" w:rsidRPr="00FA38B2" w:rsidRDefault="000F38AC" w:rsidP="00FA38B2">
      <w:pPr>
        <w:ind w:left="720" w:hanging="720"/>
        <w:rPr>
          <w:rFonts w:cs="Times New Roman"/>
          <w:szCs w:val="24"/>
        </w:rPr>
      </w:pPr>
      <w:proofErr w:type="spellStart"/>
      <w:r w:rsidRPr="00FA38B2">
        <w:rPr>
          <w:rFonts w:cs="Times New Roman"/>
          <w:szCs w:val="24"/>
        </w:rPr>
        <w:t>Mishory</w:t>
      </w:r>
      <w:proofErr w:type="spellEnd"/>
      <w:r w:rsidRPr="00FA38B2">
        <w:rPr>
          <w:rFonts w:cs="Times New Roman"/>
          <w:szCs w:val="24"/>
        </w:rPr>
        <w:t xml:space="preserve">, J. (2018). </w:t>
      </w:r>
      <w:r w:rsidRPr="00FA38B2">
        <w:rPr>
          <w:rFonts w:cs="Times New Roman"/>
          <w:i/>
          <w:szCs w:val="24"/>
        </w:rPr>
        <w:t>The future of statewide college promise programs.</w:t>
      </w:r>
      <w:r w:rsidRPr="00FA38B2">
        <w:rPr>
          <w:rFonts w:cs="Times New Roman"/>
          <w:szCs w:val="24"/>
        </w:rPr>
        <w:t xml:space="preserve"> The Century Foundation.</w:t>
      </w:r>
    </w:p>
    <w:p w14:paraId="79D2B0AE" w14:textId="77777777" w:rsidR="000F38AC" w:rsidRPr="00FA38B2" w:rsidRDefault="000F38AC" w:rsidP="00FA38B2">
      <w:pPr>
        <w:ind w:left="720" w:hanging="720"/>
        <w:rPr>
          <w:rFonts w:cs="Times New Roman"/>
          <w:szCs w:val="24"/>
        </w:rPr>
      </w:pPr>
      <w:r w:rsidRPr="00FA38B2">
        <w:rPr>
          <w:rFonts w:cs="Times New Roman"/>
          <w:szCs w:val="24"/>
        </w:rPr>
        <w:lastRenderedPageBreak/>
        <w:t xml:space="preserve">National Student Clearinghouse Research Center (2021). </w:t>
      </w:r>
      <w:r w:rsidRPr="00FA38B2">
        <w:rPr>
          <w:rFonts w:cs="Times New Roman"/>
          <w:i/>
          <w:szCs w:val="24"/>
        </w:rPr>
        <w:t>Term enrollment estimates: Fall 2020</w:t>
      </w:r>
      <w:r w:rsidRPr="00FA38B2">
        <w:rPr>
          <w:rFonts w:cs="Times New Roman"/>
          <w:szCs w:val="24"/>
        </w:rPr>
        <w:t>. https://nscresearchcenter.org/wp-content/uploads/CTEE_Report_Fall_2020.pdf</w:t>
      </w:r>
    </w:p>
    <w:p w14:paraId="22D10956" w14:textId="77777777" w:rsidR="000F38AC" w:rsidRPr="00FA38B2" w:rsidRDefault="000F38AC" w:rsidP="00FA38B2">
      <w:pPr>
        <w:ind w:left="720" w:hanging="720"/>
        <w:rPr>
          <w:rFonts w:cs="Times New Roman"/>
          <w:szCs w:val="24"/>
        </w:rPr>
      </w:pPr>
      <w:r w:rsidRPr="00FA38B2">
        <w:rPr>
          <w:rFonts w:cs="Times New Roman"/>
          <w:szCs w:val="24"/>
        </w:rPr>
        <w:t xml:space="preserve">Nguyen, H. (2019). Free tuition and college enrollment: evidence from New York’s Excelsior program. </w:t>
      </w:r>
      <w:r w:rsidRPr="00FA38B2">
        <w:rPr>
          <w:rFonts w:cs="Times New Roman"/>
          <w:i/>
          <w:szCs w:val="24"/>
        </w:rPr>
        <w:t>Education Economics</w:t>
      </w:r>
      <w:r w:rsidRPr="00FA38B2">
        <w:rPr>
          <w:rFonts w:cs="Times New Roman"/>
          <w:szCs w:val="24"/>
        </w:rPr>
        <w:t xml:space="preserve">, </w:t>
      </w:r>
      <w:r w:rsidRPr="00FA38B2">
        <w:rPr>
          <w:rFonts w:cs="Times New Roman"/>
          <w:i/>
          <w:szCs w:val="24"/>
        </w:rPr>
        <w:t>27</w:t>
      </w:r>
      <w:r w:rsidRPr="00FA38B2">
        <w:rPr>
          <w:rFonts w:cs="Times New Roman"/>
          <w:szCs w:val="24"/>
        </w:rPr>
        <w:t>(6), 573-587. https://doi.org/10.1080/09645292.2019.1652727</w:t>
      </w:r>
    </w:p>
    <w:p w14:paraId="485FE11D" w14:textId="77777777" w:rsidR="000F38AC" w:rsidRPr="00FA38B2" w:rsidRDefault="000F38AC" w:rsidP="00FA38B2">
      <w:pPr>
        <w:ind w:left="720" w:hanging="720"/>
        <w:rPr>
          <w:rFonts w:cs="Times New Roman"/>
          <w:szCs w:val="24"/>
        </w:rPr>
      </w:pPr>
      <w:r w:rsidRPr="00FA38B2">
        <w:rPr>
          <w:rFonts w:cs="Times New Roman"/>
          <w:szCs w:val="24"/>
        </w:rPr>
        <w:t xml:space="preserve">Nguyen, H. (2020). Free college? Assessing enrollment responses to the Tennessee Promise program. </w:t>
      </w:r>
      <w:proofErr w:type="spellStart"/>
      <w:r w:rsidRPr="00FA38B2">
        <w:rPr>
          <w:rFonts w:cs="Times New Roman"/>
          <w:szCs w:val="24"/>
        </w:rPr>
        <w:t>Labour</w:t>
      </w:r>
      <w:proofErr w:type="spellEnd"/>
      <w:r w:rsidRPr="00FA38B2">
        <w:rPr>
          <w:rFonts w:cs="Times New Roman"/>
          <w:szCs w:val="24"/>
        </w:rPr>
        <w:t xml:space="preserve"> Economics, 66. </w:t>
      </w:r>
      <w:r w:rsidRPr="00FA38B2">
        <w:rPr>
          <w:rFonts w:cs="Times New Roman"/>
          <w:i/>
          <w:szCs w:val="24"/>
        </w:rPr>
        <w:t>Advance online publication</w:t>
      </w:r>
      <w:r w:rsidRPr="00FA38B2">
        <w:rPr>
          <w:rFonts w:cs="Times New Roman"/>
          <w:szCs w:val="24"/>
        </w:rPr>
        <w:t>. https://doi.org/10.1016/j.labeco.2020.101882</w:t>
      </w:r>
    </w:p>
    <w:p w14:paraId="214BEA35" w14:textId="77777777" w:rsidR="000F38AC" w:rsidRPr="00FA38B2" w:rsidRDefault="000F38AC" w:rsidP="00FA38B2">
      <w:pPr>
        <w:ind w:left="720" w:hanging="720"/>
        <w:rPr>
          <w:rFonts w:cs="Times New Roman"/>
          <w:i/>
          <w:szCs w:val="24"/>
        </w:rPr>
      </w:pPr>
      <w:r w:rsidRPr="00FA38B2">
        <w:rPr>
          <w:rFonts w:cs="Times New Roman"/>
          <w:szCs w:val="24"/>
        </w:rPr>
        <w:t xml:space="preserve">Obama, B. (2009, February). </w:t>
      </w:r>
      <w:r w:rsidRPr="00FA38B2">
        <w:rPr>
          <w:rFonts w:cs="Times New Roman"/>
          <w:i/>
          <w:szCs w:val="24"/>
        </w:rPr>
        <w:t>Remarks of President Barack Obama -- Address to Joint Session</w:t>
      </w:r>
    </w:p>
    <w:p w14:paraId="7864B078" w14:textId="77777777" w:rsidR="000F38AC" w:rsidRPr="00FA38B2" w:rsidRDefault="000F38AC" w:rsidP="00FA38B2">
      <w:pPr>
        <w:ind w:left="720"/>
        <w:rPr>
          <w:rFonts w:cs="Times New Roman"/>
          <w:szCs w:val="24"/>
        </w:rPr>
      </w:pPr>
      <w:r w:rsidRPr="00FA38B2">
        <w:rPr>
          <w:rFonts w:cs="Times New Roman"/>
          <w:i/>
          <w:szCs w:val="24"/>
        </w:rPr>
        <w:t>of Congress</w:t>
      </w:r>
      <w:r w:rsidRPr="00FA38B2">
        <w:rPr>
          <w:rFonts w:cs="Times New Roman"/>
          <w:szCs w:val="24"/>
        </w:rPr>
        <w:t>. Washington, DC. https://obamawhitehouse.archives.gov/the-press-office/remarks-president-barack-obama-address-joint-session-congress</w:t>
      </w:r>
    </w:p>
    <w:p w14:paraId="383A4A7C" w14:textId="0974DE4E" w:rsidR="000F38AC" w:rsidRPr="00FA38B2" w:rsidRDefault="000F38AC" w:rsidP="00FA38B2">
      <w:pPr>
        <w:ind w:left="720" w:hanging="720"/>
        <w:rPr>
          <w:rFonts w:cs="Times New Roman"/>
          <w:szCs w:val="24"/>
        </w:rPr>
      </w:pPr>
      <w:proofErr w:type="spellStart"/>
      <w:r w:rsidRPr="00FA38B2">
        <w:rPr>
          <w:rFonts w:cs="Times New Roman"/>
          <w:szCs w:val="24"/>
        </w:rPr>
        <w:t>Odle</w:t>
      </w:r>
      <w:proofErr w:type="spellEnd"/>
      <w:r w:rsidRPr="00FA38B2">
        <w:rPr>
          <w:rFonts w:cs="Times New Roman"/>
          <w:szCs w:val="24"/>
        </w:rPr>
        <w:t>, T. K., Lee, J. C., &amp; Gentile, S. P. (</w:t>
      </w:r>
      <w:r w:rsidR="00232E7B">
        <w:rPr>
          <w:rFonts w:cs="Times New Roman"/>
          <w:szCs w:val="24"/>
        </w:rPr>
        <w:t>2021</w:t>
      </w:r>
      <w:r w:rsidRPr="00FA38B2">
        <w:rPr>
          <w:rFonts w:cs="Times New Roman"/>
          <w:szCs w:val="24"/>
        </w:rPr>
        <w:t xml:space="preserve">). Do promise programs reduce student loans? Evidence from Tennessee Promise. </w:t>
      </w:r>
      <w:r w:rsidRPr="00FA38B2">
        <w:rPr>
          <w:rFonts w:cs="Times New Roman"/>
          <w:i/>
          <w:szCs w:val="24"/>
        </w:rPr>
        <w:t>The Journal of Higher Education</w:t>
      </w:r>
      <w:r w:rsidRPr="00FA38B2">
        <w:rPr>
          <w:rFonts w:cs="Times New Roman"/>
          <w:szCs w:val="24"/>
        </w:rPr>
        <w:t>.</w:t>
      </w:r>
      <w:r w:rsidR="00232E7B">
        <w:rPr>
          <w:rFonts w:cs="Times New Roman"/>
          <w:szCs w:val="24"/>
        </w:rPr>
        <w:t xml:space="preserve"> Advance online publication. </w:t>
      </w:r>
      <w:r w:rsidR="00232E7B" w:rsidRPr="00232E7B">
        <w:rPr>
          <w:rFonts w:cs="Times New Roman"/>
          <w:szCs w:val="24"/>
        </w:rPr>
        <w:t>https://doi.org/10.1080/00221546.2021.1888674</w:t>
      </w:r>
      <w:r w:rsidRPr="00FA38B2">
        <w:rPr>
          <w:rFonts w:cs="Times New Roman"/>
          <w:szCs w:val="24"/>
        </w:rPr>
        <w:t xml:space="preserve"> </w:t>
      </w:r>
    </w:p>
    <w:p w14:paraId="2F484F9D" w14:textId="77777777" w:rsidR="000F38AC" w:rsidRPr="00FA38B2" w:rsidRDefault="000F38AC" w:rsidP="00FA38B2">
      <w:pPr>
        <w:ind w:left="720" w:hanging="720"/>
        <w:rPr>
          <w:rFonts w:cs="Times New Roman"/>
          <w:szCs w:val="24"/>
        </w:rPr>
      </w:pPr>
      <w:r w:rsidRPr="00FA38B2">
        <w:rPr>
          <w:rFonts w:cs="Times New Roman"/>
          <w:szCs w:val="24"/>
        </w:rPr>
        <w:t xml:space="preserve">Office of Career, Technical, and Adult Education (2018). </w:t>
      </w:r>
      <w:r w:rsidRPr="00FA38B2">
        <w:rPr>
          <w:rFonts w:cs="Times New Roman"/>
          <w:i/>
          <w:szCs w:val="24"/>
        </w:rPr>
        <w:t>Strengthening Career and Technical Education for the 21st Century Act Signed into Law</w:t>
      </w:r>
      <w:r w:rsidRPr="00FA38B2">
        <w:rPr>
          <w:rFonts w:cs="Times New Roman"/>
          <w:szCs w:val="24"/>
        </w:rPr>
        <w:t xml:space="preserve">. https://blog.ed.gov/2018/08/strengthening-career-technical-education-21st-century-act-signed-law/ </w:t>
      </w:r>
    </w:p>
    <w:p w14:paraId="04230857" w14:textId="77777777" w:rsidR="000F38AC" w:rsidRPr="00FA38B2" w:rsidRDefault="000F38AC" w:rsidP="00FA38B2">
      <w:pPr>
        <w:ind w:left="720" w:hanging="720"/>
        <w:rPr>
          <w:rFonts w:cs="Times New Roman"/>
          <w:szCs w:val="24"/>
        </w:rPr>
      </w:pPr>
      <w:r w:rsidRPr="00FA38B2">
        <w:rPr>
          <w:rFonts w:cs="Times New Roman"/>
          <w:szCs w:val="24"/>
        </w:rPr>
        <w:t xml:space="preserve">Patton, L. D., </w:t>
      </w:r>
      <w:proofErr w:type="spellStart"/>
      <w:r w:rsidRPr="00FA38B2">
        <w:rPr>
          <w:rFonts w:cs="Times New Roman"/>
          <w:szCs w:val="24"/>
        </w:rPr>
        <w:t>Renn</w:t>
      </w:r>
      <w:proofErr w:type="spellEnd"/>
      <w:r w:rsidRPr="00FA38B2">
        <w:rPr>
          <w:rFonts w:cs="Times New Roman"/>
          <w:szCs w:val="24"/>
        </w:rPr>
        <w:t xml:space="preserve">, K. A., Guido, F. M., &amp; </w:t>
      </w:r>
      <w:proofErr w:type="spellStart"/>
      <w:r w:rsidRPr="00FA38B2">
        <w:rPr>
          <w:rFonts w:cs="Times New Roman"/>
          <w:szCs w:val="24"/>
        </w:rPr>
        <w:t>Quaye</w:t>
      </w:r>
      <w:proofErr w:type="spellEnd"/>
      <w:r w:rsidRPr="00FA38B2">
        <w:rPr>
          <w:rFonts w:cs="Times New Roman"/>
          <w:szCs w:val="24"/>
        </w:rPr>
        <w:t xml:space="preserve">, S. J. (2016). </w:t>
      </w:r>
      <w:r w:rsidRPr="00FA38B2">
        <w:rPr>
          <w:rFonts w:cs="Times New Roman"/>
          <w:i/>
          <w:szCs w:val="24"/>
        </w:rPr>
        <w:t>Student development in college: Theory, research, and practice.</w:t>
      </w:r>
      <w:r w:rsidRPr="00FA38B2">
        <w:rPr>
          <w:rFonts w:cs="Times New Roman"/>
          <w:szCs w:val="24"/>
        </w:rPr>
        <w:t xml:space="preserve"> John Wiley &amp; Sons.</w:t>
      </w:r>
    </w:p>
    <w:p w14:paraId="4F039DF6" w14:textId="77777777" w:rsidR="000F38AC" w:rsidRPr="00FA38B2" w:rsidRDefault="000F38AC" w:rsidP="00FA38B2">
      <w:pPr>
        <w:ind w:left="720" w:hanging="720"/>
        <w:rPr>
          <w:rFonts w:cs="Times New Roman"/>
          <w:szCs w:val="24"/>
        </w:rPr>
      </w:pPr>
      <w:proofErr w:type="spellStart"/>
      <w:r w:rsidRPr="00FA38B2">
        <w:rPr>
          <w:rFonts w:cs="Times New Roman"/>
          <w:szCs w:val="24"/>
        </w:rPr>
        <w:t>Perna</w:t>
      </w:r>
      <w:proofErr w:type="spellEnd"/>
      <w:r w:rsidRPr="00FA38B2">
        <w:rPr>
          <w:rFonts w:cs="Times New Roman"/>
          <w:szCs w:val="24"/>
        </w:rPr>
        <w:t xml:space="preserve">, L. W., </w:t>
      </w:r>
      <w:proofErr w:type="spellStart"/>
      <w:r w:rsidRPr="00FA38B2">
        <w:rPr>
          <w:rFonts w:cs="Times New Roman"/>
          <w:szCs w:val="24"/>
        </w:rPr>
        <w:t>Kvaal</w:t>
      </w:r>
      <w:proofErr w:type="spellEnd"/>
      <w:r w:rsidRPr="00FA38B2">
        <w:rPr>
          <w:rFonts w:cs="Times New Roman"/>
          <w:szCs w:val="24"/>
        </w:rPr>
        <w:t xml:space="preserve">, J., &amp; Ruiz, R. (2017). </w:t>
      </w:r>
      <w:r w:rsidRPr="00FA38B2">
        <w:rPr>
          <w:rFonts w:cs="Times New Roman"/>
          <w:i/>
          <w:szCs w:val="24"/>
        </w:rPr>
        <w:t>An updated look at student loan debt repayment and default</w:t>
      </w:r>
      <w:r w:rsidRPr="00FA38B2">
        <w:rPr>
          <w:rFonts w:cs="Times New Roman"/>
          <w:szCs w:val="24"/>
        </w:rPr>
        <w:t xml:space="preserve">. Penn Wharton Public Policy Initiative. </w:t>
      </w:r>
    </w:p>
    <w:p w14:paraId="58CFD496" w14:textId="77777777" w:rsidR="000F38AC" w:rsidRPr="00FA38B2" w:rsidRDefault="000F38AC" w:rsidP="00FA38B2">
      <w:pPr>
        <w:ind w:left="720" w:hanging="720"/>
        <w:rPr>
          <w:rFonts w:cs="Times New Roman"/>
          <w:szCs w:val="24"/>
        </w:rPr>
      </w:pPr>
      <w:proofErr w:type="spellStart"/>
      <w:r w:rsidRPr="00FA38B2">
        <w:rPr>
          <w:rFonts w:cs="Times New Roman"/>
          <w:szCs w:val="24"/>
        </w:rPr>
        <w:lastRenderedPageBreak/>
        <w:t>Perna</w:t>
      </w:r>
      <w:proofErr w:type="spellEnd"/>
      <w:r w:rsidRPr="00FA38B2">
        <w:rPr>
          <w:rFonts w:cs="Times New Roman"/>
          <w:szCs w:val="24"/>
        </w:rPr>
        <w:t xml:space="preserve">, L. W., &amp; Smith, E. J. (Eds.) (2020). </w:t>
      </w:r>
      <w:r w:rsidRPr="00FA38B2">
        <w:rPr>
          <w:rFonts w:cs="Times New Roman"/>
          <w:i/>
          <w:iCs/>
          <w:szCs w:val="24"/>
        </w:rPr>
        <w:t>Improving research-based knowledge of college promise programs</w:t>
      </w:r>
      <w:r w:rsidRPr="00FA38B2">
        <w:rPr>
          <w:rFonts w:cs="Times New Roman"/>
          <w:szCs w:val="24"/>
        </w:rPr>
        <w:t xml:space="preserve">. American Educational Research Association. </w:t>
      </w:r>
    </w:p>
    <w:p w14:paraId="381B5FC0" w14:textId="5FD9BF7F" w:rsidR="000F38AC" w:rsidRPr="00FA38B2" w:rsidRDefault="000F38AC" w:rsidP="00FA38B2">
      <w:pPr>
        <w:ind w:left="720" w:hanging="720"/>
        <w:rPr>
          <w:rFonts w:cs="Times New Roman"/>
          <w:szCs w:val="24"/>
        </w:rPr>
      </w:pPr>
      <w:proofErr w:type="spellStart"/>
      <w:r w:rsidRPr="00FA38B2">
        <w:rPr>
          <w:rFonts w:cs="Times New Roman"/>
          <w:szCs w:val="24"/>
        </w:rPr>
        <w:t>Perna</w:t>
      </w:r>
      <w:proofErr w:type="spellEnd"/>
      <w:r w:rsidRPr="00FA38B2">
        <w:rPr>
          <w:rFonts w:cs="Times New Roman"/>
          <w:szCs w:val="24"/>
        </w:rPr>
        <w:t xml:space="preserve">, L.W. (2006). Studying college access and choice: A proposed conceptual mode. In J. C. Smart (Ed.) </w:t>
      </w:r>
      <w:r w:rsidRPr="00FA38B2">
        <w:rPr>
          <w:rFonts w:cs="Times New Roman"/>
          <w:i/>
          <w:szCs w:val="24"/>
        </w:rPr>
        <w:t>Higher education: Handbook of theory and research, XXI,</w:t>
      </w:r>
      <w:r w:rsidRPr="00FA38B2">
        <w:rPr>
          <w:rFonts w:cs="Times New Roman"/>
          <w:szCs w:val="24"/>
        </w:rPr>
        <w:t xml:space="preserve"> (pp.99-157). Springer.</w:t>
      </w:r>
    </w:p>
    <w:p w14:paraId="0D3519C0" w14:textId="2A742560" w:rsidR="000F38AC" w:rsidRPr="00FA38B2" w:rsidRDefault="000F38AC" w:rsidP="00FA38B2">
      <w:pPr>
        <w:ind w:left="720" w:hanging="720"/>
        <w:rPr>
          <w:rFonts w:cs="Times New Roman"/>
          <w:szCs w:val="24"/>
        </w:rPr>
      </w:pPr>
      <w:proofErr w:type="spellStart"/>
      <w:r w:rsidRPr="00FA38B2">
        <w:rPr>
          <w:rFonts w:cs="Times New Roman"/>
          <w:szCs w:val="24"/>
        </w:rPr>
        <w:t>Perna</w:t>
      </w:r>
      <w:proofErr w:type="spellEnd"/>
      <w:r w:rsidRPr="00FA38B2">
        <w:rPr>
          <w:rFonts w:cs="Times New Roman"/>
          <w:szCs w:val="24"/>
        </w:rPr>
        <w:t xml:space="preserve">, L. W., &amp; Leigh, E. W. (2018). Understanding the promise: A typology of state and local college promise programs. </w:t>
      </w:r>
      <w:r w:rsidRPr="00FA38B2">
        <w:rPr>
          <w:rFonts w:cs="Times New Roman"/>
          <w:i/>
          <w:szCs w:val="24"/>
        </w:rPr>
        <w:t>Educational Researcher</w:t>
      </w:r>
      <w:r w:rsidRPr="00FA38B2">
        <w:rPr>
          <w:rFonts w:cs="Times New Roman"/>
          <w:szCs w:val="24"/>
        </w:rPr>
        <w:t xml:space="preserve">, </w:t>
      </w:r>
      <w:r w:rsidRPr="00FA38B2">
        <w:rPr>
          <w:rFonts w:cs="Times New Roman"/>
          <w:i/>
          <w:szCs w:val="24"/>
        </w:rPr>
        <w:t>47</w:t>
      </w:r>
      <w:r w:rsidRPr="00FA38B2">
        <w:rPr>
          <w:rFonts w:cs="Times New Roman"/>
          <w:szCs w:val="24"/>
        </w:rPr>
        <w:t xml:space="preserve">(3), 155-180. https://doi.org/10.3102/0013189X17742653 </w:t>
      </w:r>
    </w:p>
    <w:p w14:paraId="49299BCA" w14:textId="77777777" w:rsidR="000F38AC" w:rsidRPr="00FA38B2" w:rsidRDefault="000F38AC" w:rsidP="00FA38B2">
      <w:pPr>
        <w:ind w:left="720" w:hanging="720"/>
        <w:rPr>
          <w:rFonts w:cs="Times New Roman"/>
          <w:szCs w:val="24"/>
        </w:rPr>
      </w:pPr>
      <w:r w:rsidRPr="00FA38B2">
        <w:rPr>
          <w:rFonts w:cs="Times New Roman"/>
          <w:szCs w:val="24"/>
        </w:rPr>
        <w:t xml:space="preserve">Quinlan, C. (2017, April 10). There are a lot of strings attached to New York’s tuition-free plan. </w:t>
      </w:r>
      <w:r w:rsidRPr="00FA38B2">
        <w:rPr>
          <w:rFonts w:cs="Times New Roman"/>
          <w:i/>
          <w:szCs w:val="24"/>
        </w:rPr>
        <w:t>Center for American Progress</w:t>
      </w:r>
      <w:r w:rsidRPr="00FA38B2">
        <w:rPr>
          <w:rFonts w:cs="Times New Roman"/>
          <w:szCs w:val="24"/>
        </w:rPr>
        <w:t>. https://thinkprogress.org/https-thinkprogress-org-there-are-a-lot-of-strings-attached-to-new-yorks-tuition-free-plan-e01db2fabe8f/</w:t>
      </w:r>
    </w:p>
    <w:p w14:paraId="5C4A6155" w14:textId="77777777" w:rsidR="000F38AC" w:rsidRPr="00FA38B2" w:rsidRDefault="000F38AC" w:rsidP="00FA38B2">
      <w:pPr>
        <w:ind w:left="720" w:hanging="720"/>
        <w:rPr>
          <w:rFonts w:cs="Times New Roman"/>
          <w:szCs w:val="24"/>
        </w:rPr>
      </w:pPr>
      <w:proofErr w:type="spellStart"/>
      <w:r w:rsidRPr="00FA38B2">
        <w:rPr>
          <w:rFonts w:cs="Times New Roman"/>
          <w:szCs w:val="24"/>
        </w:rPr>
        <w:t>Ritt</w:t>
      </w:r>
      <w:proofErr w:type="spellEnd"/>
      <w:r w:rsidRPr="00FA38B2">
        <w:rPr>
          <w:rFonts w:cs="Times New Roman"/>
          <w:szCs w:val="24"/>
        </w:rPr>
        <w:t xml:space="preserve">, E. (2008). Redefining tradition: Adult learners and higher education. </w:t>
      </w:r>
      <w:r w:rsidRPr="00FA38B2">
        <w:rPr>
          <w:rFonts w:cs="Times New Roman"/>
          <w:i/>
          <w:szCs w:val="24"/>
        </w:rPr>
        <w:t>Adult Learning, 19</w:t>
      </w:r>
      <w:r w:rsidRPr="00FA38B2">
        <w:rPr>
          <w:rFonts w:cs="Times New Roman"/>
          <w:szCs w:val="24"/>
        </w:rPr>
        <w:t xml:space="preserve">(1-2), 12-16. https://doi.org/10.1177/104515950801900103 </w:t>
      </w:r>
    </w:p>
    <w:p w14:paraId="2C84E8A0" w14:textId="77777777" w:rsidR="000F38AC" w:rsidRPr="00FA38B2" w:rsidRDefault="000F38AC" w:rsidP="00FA38B2">
      <w:pPr>
        <w:ind w:left="720" w:hanging="720"/>
        <w:rPr>
          <w:rFonts w:cs="Times New Roman"/>
          <w:szCs w:val="24"/>
        </w:rPr>
      </w:pPr>
      <w:r w:rsidRPr="00FA38B2">
        <w:rPr>
          <w:rFonts w:cs="Times New Roman"/>
          <w:szCs w:val="24"/>
        </w:rPr>
        <w:t xml:space="preserve">Schlossberg, N. K. (1981). A model for analyzing human adaptation to transition. </w:t>
      </w:r>
      <w:r w:rsidRPr="00FA38B2">
        <w:rPr>
          <w:rFonts w:cs="Times New Roman"/>
          <w:i/>
          <w:szCs w:val="24"/>
        </w:rPr>
        <w:t>The Counseling Psychologist</w:t>
      </w:r>
      <w:r w:rsidRPr="00FA38B2">
        <w:rPr>
          <w:rFonts w:cs="Times New Roman"/>
          <w:szCs w:val="24"/>
        </w:rPr>
        <w:t xml:space="preserve">, </w:t>
      </w:r>
      <w:r w:rsidRPr="00FA38B2">
        <w:rPr>
          <w:rFonts w:cs="Times New Roman"/>
          <w:i/>
          <w:szCs w:val="24"/>
        </w:rPr>
        <w:t>9</w:t>
      </w:r>
      <w:r w:rsidRPr="00FA38B2">
        <w:rPr>
          <w:rFonts w:cs="Times New Roman"/>
          <w:szCs w:val="24"/>
        </w:rPr>
        <w:t xml:space="preserve">(2), 2-18. https://doi.org/10.1177/001100008100900202 </w:t>
      </w:r>
    </w:p>
    <w:p w14:paraId="01DD0770" w14:textId="77777777" w:rsidR="000F38AC" w:rsidRPr="00FA38B2" w:rsidRDefault="000F38AC" w:rsidP="00FA38B2">
      <w:pPr>
        <w:ind w:left="720" w:hanging="720"/>
        <w:rPr>
          <w:rFonts w:cs="Times New Roman"/>
          <w:szCs w:val="24"/>
        </w:rPr>
      </w:pPr>
      <w:r w:rsidRPr="00FA38B2">
        <w:rPr>
          <w:rFonts w:cs="Times New Roman"/>
          <w:szCs w:val="24"/>
        </w:rPr>
        <w:t xml:space="preserve">Seidman, S. (2013). </w:t>
      </w:r>
      <w:r w:rsidRPr="00FA38B2">
        <w:rPr>
          <w:rFonts w:cs="Times New Roman"/>
          <w:i/>
          <w:szCs w:val="24"/>
        </w:rPr>
        <w:t>Beyond the closet: The transformation of gay and lesbian life</w:t>
      </w:r>
      <w:r w:rsidRPr="00FA38B2">
        <w:rPr>
          <w:rFonts w:cs="Times New Roman"/>
          <w:szCs w:val="24"/>
        </w:rPr>
        <w:t>. Routledge.</w:t>
      </w:r>
    </w:p>
    <w:p w14:paraId="177307D7" w14:textId="77777777" w:rsidR="000F38AC" w:rsidRPr="00FA38B2" w:rsidRDefault="000F38AC" w:rsidP="00FA38B2">
      <w:pPr>
        <w:ind w:left="720" w:hanging="720"/>
        <w:rPr>
          <w:rFonts w:cs="Times New Roman"/>
          <w:szCs w:val="24"/>
        </w:rPr>
      </w:pPr>
      <w:r w:rsidRPr="00FA38B2">
        <w:rPr>
          <w:rFonts w:cs="Times New Roman"/>
          <w:szCs w:val="24"/>
        </w:rPr>
        <w:t xml:space="preserve">Shaw, K. M. (2004). Using feminist critical policy analysis in the realm of higher education: The case of welfare reform as gendered educational policy. </w:t>
      </w:r>
      <w:r w:rsidRPr="00FA38B2">
        <w:rPr>
          <w:rFonts w:cs="Times New Roman"/>
          <w:i/>
          <w:szCs w:val="24"/>
        </w:rPr>
        <w:t>The Journal of Higher Education</w:t>
      </w:r>
      <w:r w:rsidRPr="00FA38B2">
        <w:rPr>
          <w:rFonts w:cs="Times New Roman"/>
          <w:szCs w:val="24"/>
        </w:rPr>
        <w:t xml:space="preserve">, </w:t>
      </w:r>
      <w:r w:rsidRPr="00FA38B2">
        <w:rPr>
          <w:rFonts w:cs="Times New Roman"/>
          <w:i/>
          <w:szCs w:val="24"/>
        </w:rPr>
        <w:t>75</w:t>
      </w:r>
      <w:r w:rsidRPr="00FA38B2">
        <w:rPr>
          <w:rFonts w:cs="Times New Roman"/>
          <w:szCs w:val="24"/>
        </w:rPr>
        <w:t xml:space="preserve">(1), 56-79. https://doi.org/10.1080/00221546.2004.11778896 </w:t>
      </w:r>
    </w:p>
    <w:p w14:paraId="330086C5" w14:textId="77777777" w:rsidR="000F38AC" w:rsidRPr="00FA38B2" w:rsidRDefault="000F38AC" w:rsidP="00FA38B2">
      <w:pPr>
        <w:ind w:left="720" w:hanging="720"/>
        <w:rPr>
          <w:rFonts w:cs="Times New Roman"/>
          <w:szCs w:val="24"/>
        </w:rPr>
      </w:pPr>
      <w:proofErr w:type="spellStart"/>
      <w:r w:rsidRPr="00FA38B2">
        <w:rPr>
          <w:rFonts w:cs="Times New Roman"/>
          <w:szCs w:val="24"/>
        </w:rPr>
        <w:t>Siner</w:t>
      </w:r>
      <w:proofErr w:type="spellEnd"/>
      <w:r w:rsidRPr="00FA38B2">
        <w:rPr>
          <w:rFonts w:cs="Times New Roman"/>
          <w:szCs w:val="24"/>
        </w:rPr>
        <w:t xml:space="preserve">, E. (2017, May). Even before the official start of Tennessee Reconnect, community college will be free for adults. </w:t>
      </w:r>
      <w:r w:rsidRPr="00FA38B2">
        <w:rPr>
          <w:rFonts w:cs="Times New Roman"/>
          <w:i/>
          <w:szCs w:val="24"/>
        </w:rPr>
        <w:t>WPLN News Nashville Public Radio</w:t>
      </w:r>
      <w:r w:rsidRPr="00FA38B2">
        <w:rPr>
          <w:rFonts w:cs="Times New Roman"/>
          <w:szCs w:val="24"/>
        </w:rPr>
        <w:t>. https://wpln.org/post/even-before-the-official-start-of-tennessee-reconnect-community-college-will-be-free-for-adults/</w:t>
      </w:r>
    </w:p>
    <w:p w14:paraId="363EFEDF" w14:textId="77777777" w:rsidR="000F38AC" w:rsidRPr="00FA38B2" w:rsidRDefault="000F38AC" w:rsidP="00FA38B2">
      <w:pPr>
        <w:ind w:left="720" w:hanging="720"/>
        <w:rPr>
          <w:rFonts w:cs="Times New Roman"/>
          <w:szCs w:val="24"/>
        </w:rPr>
      </w:pPr>
      <w:proofErr w:type="spellStart"/>
      <w:r w:rsidRPr="00FA38B2">
        <w:rPr>
          <w:rFonts w:cs="Times New Roman"/>
          <w:szCs w:val="24"/>
        </w:rPr>
        <w:lastRenderedPageBreak/>
        <w:t>Soares</w:t>
      </w:r>
      <w:proofErr w:type="spellEnd"/>
      <w:r w:rsidRPr="00FA38B2">
        <w:rPr>
          <w:rFonts w:cs="Times New Roman"/>
          <w:szCs w:val="24"/>
        </w:rPr>
        <w:t xml:space="preserve">, L., </w:t>
      </w:r>
      <w:proofErr w:type="spellStart"/>
      <w:r w:rsidRPr="00FA38B2">
        <w:rPr>
          <w:rFonts w:cs="Times New Roman"/>
          <w:szCs w:val="24"/>
        </w:rPr>
        <w:t>Gaglieardi</w:t>
      </w:r>
      <w:proofErr w:type="spellEnd"/>
      <w:r w:rsidRPr="00FA38B2">
        <w:rPr>
          <w:rFonts w:cs="Times New Roman"/>
          <w:szCs w:val="24"/>
        </w:rPr>
        <w:t xml:space="preserve">, J. S., &amp; </w:t>
      </w:r>
      <w:proofErr w:type="spellStart"/>
      <w:r w:rsidRPr="00FA38B2">
        <w:rPr>
          <w:rFonts w:cs="Times New Roman"/>
          <w:szCs w:val="24"/>
        </w:rPr>
        <w:t>Nellum</w:t>
      </w:r>
      <w:proofErr w:type="spellEnd"/>
      <w:r w:rsidRPr="00FA38B2">
        <w:rPr>
          <w:rFonts w:cs="Times New Roman"/>
          <w:szCs w:val="24"/>
        </w:rPr>
        <w:t xml:space="preserve">, C. J. (2017). </w:t>
      </w:r>
      <w:r w:rsidRPr="00FA38B2">
        <w:rPr>
          <w:rFonts w:cs="Times New Roman"/>
          <w:i/>
          <w:szCs w:val="24"/>
        </w:rPr>
        <w:t>The post-traditional learners manifesto revisited: Aligning postsecondary education with real life for adult student success.</w:t>
      </w:r>
      <w:r w:rsidRPr="00FA38B2">
        <w:rPr>
          <w:rFonts w:cs="Times New Roman"/>
          <w:szCs w:val="24"/>
        </w:rPr>
        <w:t xml:space="preserve"> American Council on Education. https://www.acenet.edu/Documents/The-Post-Traditional-Learners-Manifesto-Revisited.pdf</w:t>
      </w:r>
    </w:p>
    <w:p w14:paraId="29C4798B" w14:textId="77777777" w:rsidR="000F38AC" w:rsidRPr="00FA38B2" w:rsidRDefault="000F38AC" w:rsidP="00FA38B2">
      <w:pPr>
        <w:ind w:left="720" w:hanging="720"/>
        <w:rPr>
          <w:rFonts w:cs="Times New Roman"/>
          <w:szCs w:val="24"/>
        </w:rPr>
      </w:pPr>
      <w:r w:rsidRPr="00FA38B2">
        <w:rPr>
          <w:rFonts w:cs="Times New Roman"/>
          <w:szCs w:val="24"/>
        </w:rPr>
        <w:t xml:space="preserve">Stevens, A. H., </w:t>
      </w:r>
      <w:proofErr w:type="spellStart"/>
      <w:r w:rsidRPr="00FA38B2">
        <w:rPr>
          <w:rFonts w:cs="Times New Roman"/>
          <w:szCs w:val="24"/>
        </w:rPr>
        <w:t>Kurlaender</w:t>
      </w:r>
      <w:proofErr w:type="spellEnd"/>
      <w:r w:rsidRPr="00FA38B2">
        <w:rPr>
          <w:rFonts w:cs="Times New Roman"/>
          <w:szCs w:val="24"/>
        </w:rPr>
        <w:t xml:space="preserve">, M., &amp; Grosz, M. (2019). Career technical education and labor market outcomes evidence from California community colleges. </w:t>
      </w:r>
      <w:r w:rsidRPr="00FA38B2">
        <w:rPr>
          <w:rFonts w:cs="Times New Roman"/>
          <w:i/>
          <w:szCs w:val="24"/>
        </w:rPr>
        <w:t>Journal of Human Resources</w:t>
      </w:r>
      <w:r w:rsidRPr="00FA38B2">
        <w:rPr>
          <w:rFonts w:cs="Times New Roman"/>
          <w:szCs w:val="24"/>
        </w:rPr>
        <w:t xml:space="preserve">, </w:t>
      </w:r>
      <w:r w:rsidRPr="00FA38B2">
        <w:rPr>
          <w:rFonts w:cs="Times New Roman"/>
          <w:i/>
          <w:iCs/>
          <w:szCs w:val="24"/>
        </w:rPr>
        <w:t>54</w:t>
      </w:r>
      <w:r w:rsidRPr="00FA38B2">
        <w:rPr>
          <w:rFonts w:cs="Times New Roman"/>
          <w:szCs w:val="24"/>
        </w:rPr>
        <w:t>(4), 986-1036. 10.3368/jhr.54.4.1015.7449R2</w:t>
      </w:r>
    </w:p>
    <w:p w14:paraId="71779CBD" w14:textId="77777777" w:rsidR="000F38AC" w:rsidRPr="00FA38B2" w:rsidRDefault="000F38AC" w:rsidP="00FA38B2">
      <w:pPr>
        <w:ind w:left="720" w:hanging="720"/>
        <w:rPr>
          <w:rFonts w:cs="Times New Roman"/>
          <w:szCs w:val="24"/>
        </w:rPr>
      </w:pPr>
      <w:r w:rsidRPr="00FA38B2">
        <w:rPr>
          <w:rFonts w:cs="Times New Roman"/>
          <w:szCs w:val="24"/>
        </w:rPr>
        <w:t>Strengthening Career and Technical Education for the 21</w:t>
      </w:r>
      <w:r w:rsidRPr="00FA38B2">
        <w:rPr>
          <w:rFonts w:cs="Times New Roman"/>
          <w:szCs w:val="24"/>
          <w:vertAlign w:val="superscript"/>
        </w:rPr>
        <w:t>st</w:t>
      </w:r>
      <w:r w:rsidRPr="00FA38B2">
        <w:rPr>
          <w:rFonts w:cs="Times New Roman"/>
          <w:szCs w:val="24"/>
        </w:rPr>
        <w:t xml:space="preserve"> Century Act, 20 U.S.C. </w:t>
      </w:r>
      <w:r w:rsidRPr="00FA38B2">
        <w:rPr>
          <w:rFonts w:cs="Times New Roman"/>
          <w:color w:val="333333"/>
          <w:szCs w:val="24"/>
          <w:shd w:val="clear" w:color="auto" w:fill="FFFFFF"/>
        </w:rPr>
        <w:t>§ </w:t>
      </w:r>
      <w:r w:rsidRPr="00FA38B2">
        <w:rPr>
          <w:rFonts w:cs="Times New Roman"/>
          <w:szCs w:val="24"/>
        </w:rPr>
        <w:t>2301 (2019). https://www.congress.gov/bill/115th-congress/house-bill/2353</w:t>
      </w:r>
    </w:p>
    <w:p w14:paraId="589BE9BF" w14:textId="77777777" w:rsidR="000311FD" w:rsidRPr="00FA38B2" w:rsidRDefault="000311FD" w:rsidP="00FA38B2">
      <w:pPr>
        <w:ind w:left="720" w:hanging="720"/>
        <w:rPr>
          <w:rFonts w:cs="Times New Roman"/>
          <w:szCs w:val="24"/>
        </w:rPr>
      </w:pPr>
      <w:r w:rsidRPr="00FA38B2">
        <w:rPr>
          <w:rFonts w:cs="Times New Roman"/>
          <w:szCs w:val="24"/>
        </w:rPr>
        <w:t>Tennessee Promise (</w:t>
      </w:r>
      <w:proofErr w:type="spellStart"/>
      <w:r w:rsidRPr="00FA38B2">
        <w:rPr>
          <w:rFonts w:cs="Times New Roman"/>
          <w:szCs w:val="24"/>
        </w:rPr>
        <w:t>n.d.</w:t>
      </w:r>
      <w:proofErr w:type="spellEnd"/>
      <w:r w:rsidRPr="00FA38B2">
        <w:rPr>
          <w:rFonts w:cs="Times New Roman"/>
          <w:szCs w:val="24"/>
        </w:rPr>
        <w:t xml:space="preserve">). </w:t>
      </w:r>
      <w:r w:rsidRPr="00FA38B2">
        <w:rPr>
          <w:rFonts w:cs="Times New Roman"/>
          <w:i/>
          <w:szCs w:val="24"/>
        </w:rPr>
        <w:t>About</w:t>
      </w:r>
      <w:r w:rsidRPr="00FA38B2">
        <w:rPr>
          <w:rFonts w:cs="Times New Roman"/>
          <w:szCs w:val="24"/>
        </w:rPr>
        <w:t>. https://driveto55.org/initiatives/tennessee-promise/</w:t>
      </w:r>
    </w:p>
    <w:p w14:paraId="7ACF8B90" w14:textId="47FDE7F3" w:rsidR="000311FD" w:rsidRPr="00FA38B2" w:rsidRDefault="000311FD" w:rsidP="00FA38B2">
      <w:pPr>
        <w:ind w:left="720" w:hanging="720"/>
        <w:rPr>
          <w:rFonts w:cs="Times New Roman"/>
          <w:szCs w:val="24"/>
        </w:rPr>
      </w:pPr>
      <w:r w:rsidRPr="00FA38B2">
        <w:rPr>
          <w:rFonts w:cs="Times New Roman"/>
          <w:szCs w:val="24"/>
        </w:rPr>
        <w:t>Tennessee Reconnect (</w:t>
      </w:r>
      <w:proofErr w:type="spellStart"/>
      <w:r w:rsidRPr="00FA38B2">
        <w:rPr>
          <w:rFonts w:cs="Times New Roman"/>
          <w:szCs w:val="24"/>
        </w:rPr>
        <w:t>n.d.</w:t>
      </w:r>
      <w:proofErr w:type="spellEnd"/>
      <w:r w:rsidRPr="00FA38B2">
        <w:rPr>
          <w:rFonts w:cs="Times New Roman"/>
          <w:szCs w:val="24"/>
        </w:rPr>
        <w:t xml:space="preserve">). </w:t>
      </w:r>
      <w:r w:rsidRPr="00FA38B2">
        <w:rPr>
          <w:rFonts w:cs="Times New Roman"/>
          <w:i/>
          <w:szCs w:val="24"/>
        </w:rPr>
        <w:t>Talk to a navigator</w:t>
      </w:r>
      <w:r w:rsidRPr="00FA38B2">
        <w:rPr>
          <w:rFonts w:cs="Times New Roman"/>
          <w:szCs w:val="24"/>
        </w:rPr>
        <w:t>. https://tnreconnect.gov/Talk-to-a-Navigator</w:t>
      </w:r>
    </w:p>
    <w:p w14:paraId="14C4F74C" w14:textId="32A4E41A" w:rsidR="000F38AC" w:rsidRPr="00FA38B2" w:rsidRDefault="000F38AC" w:rsidP="00FA38B2">
      <w:pPr>
        <w:ind w:left="720" w:hanging="720"/>
        <w:rPr>
          <w:rFonts w:cs="Times New Roman"/>
          <w:szCs w:val="24"/>
        </w:rPr>
      </w:pPr>
      <w:r w:rsidRPr="00FA38B2">
        <w:rPr>
          <w:rFonts w:cs="Times New Roman"/>
          <w:szCs w:val="24"/>
        </w:rPr>
        <w:t xml:space="preserve">Titus, M. A. &amp; </w:t>
      </w:r>
      <w:proofErr w:type="spellStart"/>
      <w:r w:rsidRPr="00FA38B2">
        <w:rPr>
          <w:rFonts w:cs="Times New Roman"/>
          <w:szCs w:val="24"/>
        </w:rPr>
        <w:t>Pusser</w:t>
      </w:r>
      <w:proofErr w:type="spellEnd"/>
      <w:r w:rsidRPr="00FA38B2">
        <w:rPr>
          <w:rFonts w:cs="Times New Roman"/>
          <w:szCs w:val="24"/>
        </w:rPr>
        <w:t xml:space="preserve">, B. (2011). States’ potential enrollment of adult students: A stochastic frontier analysis. </w:t>
      </w:r>
      <w:r w:rsidRPr="00FA38B2">
        <w:rPr>
          <w:rFonts w:cs="Times New Roman"/>
          <w:i/>
          <w:szCs w:val="24"/>
        </w:rPr>
        <w:t>Research in Higher Education</w:t>
      </w:r>
      <w:r w:rsidRPr="00FA38B2">
        <w:rPr>
          <w:rFonts w:cs="Times New Roman"/>
          <w:szCs w:val="24"/>
        </w:rPr>
        <w:t xml:space="preserve">, </w:t>
      </w:r>
      <w:r w:rsidRPr="00FA38B2">
        <w:rPr>
          <w:rFonts w:cs="Times New Roman"/>
          <w:i/>
          <w:szCs w:val="24"/>
        </w:rPr>
        <w:t>52</w:t>
      </w:r>
      <w:r w:rsidRPr="00FA38B2">
        <w:rPr>
          <w:rFonts w:cs="Times New Roman"/>
          <w:szCs w:val="24"/>
        </w:rPr>
        <w:t>, 555-571. https://doi.org/10.1007/s11162-010-9211-2</w:t>
      </w:r>
    </w:p>
    <w:p w14:paraId="634FE32B" w14:textId="77777777" w:rsidR="000F38AC" w:rsidRPr="00FA38B2" w:rsidRDefault="000F38AC" w:rsidP="00FA38B2">
      <w:pPr>
        <w:ind w:left="720" w:hanging="720"/>
        <w:rPr>
          <w:rFonts w:cs="Times New Roman"/>
          <w:szCs w:val="24"/>
        </w:rPr>
      </w:pPr>
      <w:r w:rsidRPr="00FA38B2">
        <w:rPr>
          <w:rFonts w:cs="Times New Roman"/>
          <w:szCs w:val="24"/>
        </w:rPr>
        <w:t>U.S. Department of Education/Office of Career, Technical, and Adult Education. (2020). Consolidated Annual Report [Data set]. https://perkins.ed.gov/pims/dataExplorer</w:t>
      </w:r>
    </w:p>
    <w:p w14:paraId="0ACACA2E" w14:textId="77777777" w:rsidR="000F38AC" w:rsidRPr="00FA38B2" w:rsidRDefault="000F38AC" w:rsidP="00FA38B2">
      <w:pPr>
        <w:ind w:left="720" w:hanging="720"/>
        <w:rPr>
          <w:rFonts w:cs="Times New Roman"/>
          <w:szCs w:val="24"/>
        </w:rPr>
      </w:pPr>
      <w:r w:rsidRPr="00FA38B2">
        <w:rPr>
          <w:rFonts w:cs="Times New Roman"/>
          <w:szCs w:val="24"/>
        </w:rPr>
        <w:t xml:space="preserve">Winkle-Wagner, R. (2009). An asset or an obstacle? The power of peers in African American women’s college transitions. In V. B. Bush, C. R. Chambers, &amp; M. Walpole (Eds.), From </w:t>
      </w:r>
      <w:r w:rsidRPr="00FA38B2">
        <w:rPr>
          <w:rFonts w:cs="Times New Roman"/>
          <w:i/>
          <w:szCs w:val="24"/>
        </w:rPr>
        <w:t>Diplomas to doctorates: The success of Black women in higher education and its implications for equal educational opportunities for all</w:t>
      </w:r>
      <w:r w:rsidRPr="00FA38B2">
        <w:rPr>
          <w:rFonts w:cs="Times New Roman"/>
          <w:szCs w:val="24"/>
        </w:rPr>
        <w:t xml:space="preserve"> (pp. 55-71). Stylus.</w:t>
      </w:r>
    </w:p>
    <w:p w14:paraId="5920DB7F" w14:textId="002C57C6" w:rsidR="001A159A" w:rsidRPr="00FA38B2" w:rsidRDefault="000F38AC" w:rsidP="00FD0A9D">
      <w:pPr>
        <w:ind w:left="720" w:hanging="720"/>
        <w:rPr>
          <w:rFonts w:cs="Times New Roman"/>
          <w:szCs w:val="24"/>
        </w:rPr>
      </w:pPr>
      <w:r w:rsidRPr="00FA38B2">
        <w:rPr>
          <w:rFonts w:cs="Times New Roman"/>
          <w:szCs w:val="24"/>
        </w:rPr>
        <w:t xml:space="preserve">Xu, D. &amp; Trimble, M. (2016). What about certificates? Evidence on the labor market returns to </w:t>
      </w:r>
      <w:proofErr w:type="spellStart"/>
      <w:r w:rsidRPr="00FA38B2">
        <w:rPr>
          <w:rFonts w:cs="Times New Roman"/>
          <w:szCs w:val="24"/>
        </w:rPr>
        <w:t>nondegree</w:t>
      </w:r>
      <w:proofErr w:type="spellEnd"/>
      <w:r w:rsidRPr="00FA38B2">
        <w:rPr>
          <w:rFonts w:cs="Times New Roman"/>
          <w:szCs w:val="24"/>
        </w:rPr>
        <w:t xml:space="preserve"> community college awards in two states. </w:t>
      </w:r>
      <w:r w:rsidRPr="00FA38B2">
        <w:rPr>
          <w:rFonts w:cs="Times New Roman"/>
          <w:i/>
          <w:szCs w:val="24"/>
        </w:rPr>
        <w:t>Educational Evaluation and Policy Analysis</w:t>
      </w:r>
      <w:r w:rsidRPr="00FA38B2">
        <w:rPr>
          <w:rFonts w:cs="Times New Roman"/>
          <w:szCs w:val="24"/>
        </w:rPr>
        <w:t xml:space="preserve">, </w:t>
      </w:r>
      <w:r w:rsidRPr="00FA38B2">
        <w:rPr>
          <w:rFonts w:cs="Times New Roman"/>
          <w:i/>
          <w:iCs/>
          <w:szCs w:val="24"/>
        </w:rPr>
        <w:t>38</w:t>
      </w:r>
      <w:r w:rsidRPr="00FA38B2">
        <w:rPr>
          <w:rFonts w:cs="Times New Roman"/>
          <w:szCs w:val="24"/>
        </w:rPr>
        <w:t xml:space="preserve">(2), 272-292. 10.3102/0162373715617827 </w:t>
      </w:r>
      <w:r w:rsidR="001A159A" w:rsidRPr="00FA38B2">
        <w:rPr>
          <w:rFonts w:cs="Times New Roman"/>
          <w:szCs w:val="24"/>
        </w:rPr>
        <w:br w:type="page"/>
      </w:r>
    </w:p>
    <w:p w14:paraId="2671401D" w14:textId="2737A59E" w:rsidR="00A61820" w:rsidRPr="00FA38B2" w:rsidRDefault="00B4200D" w:rsidP="0015321A">
      <w:pPr>
        <w:pStyle w:val="Heading1"/>
        <w:spacing w:line="480" w:lineRule="auto"/>
        <w:rPr>
          <w:rFonts w:cs="Times New Roman"/>
          <w:szCs w:val="24"/>
        </w:rPr>
      </w:pPr>
      <w:bookmarkStart w:id="56" w:name="_Toc70181510"/>
      <w:r w:rsidRPr="00FA38B2">
        <w:rPr>
          <w:rFonts w:cs="Times New Roman"/>
          <w:szCs w:val="24"/>
        </w:rPr>
        <w:lastRenderedPageBreak/>
        <w:t>V</w:t>
      </w:r>
      <w:r w:rsidR="002011C1" w:rsidRPr="00FA38B2">
        <w:rPr>
          <w:rFonts w:cs="Times New Roman"/>
          <w:szCs w:val="24"/>
        </w:rPr>
        <w:t>ita</w:t>
      </w:r>
      <w:bookmarkEnd w:id="56"/>
    </w:p>
    <w:p w14:paraId="1CD954B9" w14:textId="7B05C21B" w:rsidR="00544A3B" w:rsidRPr="00FA38B2" w:rsidRDefault="00A61820" w:rsidP="0015321A">
      <w:pPr>
        <w:ind w:firstLine="720"/>
        <w:rPr>
          <w:rFonts w:cs="Times New Roman"/>
          <w:szCs w:val="24"/>
        </w:rPr>
      </w:pPr>
      <w:r w:rsidRPr="00FA38B2">
        <w:rPr>
          <w:rFonts w:cs="Times New Roman"/>
          <w:szCs w:val="24"/>
        </w:rPr>
        <w:t>Gresham D. Collom grew up in Eagle, Wisconsin. He is the son of Marie and Jeffrey Collom. Gresham received a Bachelor of Art</w:t>
      </w:r>
      <w:r w:rsidR="00AB4613">
        <w:rPr>
          <w:rFonts w:cs="Times New Roman"/>
          <w:szCs w:val="24"/>
        </w:rPr>
        <w:t>s</w:t>
      </w:r>
      <w:r w:rsidRPr="00FA38B2">
        <w:rPr>
          <w:rFonts w:cs="Times New Roman"/>
          <w:szCs w:val="24"/>
        </w:rPr>
        <w:t xml:space="preserve"> in Criminal Justice from the University of Wisconsin – Eau Claire in May of 2015, and a Master of Science in Education with an emphasis in Higher Education Leadership from the University of Wisconsin – Whitewater in May of 2017.</w:t>
      </w:r>
      <w:r w:rsidR="0006753F" w:rsidRPr="00FA38B2">
        <w:rPr>
          <w:rFonts w:cs="Times New Roman"/>
          <w:szCs w:val="24"/>
        </w:rPr>
        <w:t xml:space="preserve"> </w:t>
      </w:r>
      <w:r w:rsidR="00231270">
        <w:rPr>
          <w:rFonts w:cs="Times New Roman"/>
          <w:szCs w:val="24"/>
        </w:rPr>
        <w:t>On April 15, 2021 Gresham D. Collom successfully defended his dissertation</w:t>
      </w:r>
      <w:r w:rsidR="00890FFD">
        <w:rPr>
          <w:rFonts w:cs="Times New Roman"/>
          <w:szCs w:val="24"/>
        </w:rPr>
        <w:t xml:space="preserve"> and will receive a Ph.D. in Higher Education Administration with a minor in statistics</w:t>
      </w:r>
      <w:r w:rsidR="00231270">
        <w:rPr>
          <w:rFonts w:cs="Times New Roman"/>
          <w:szCs w:val="24"/>
        </w:rPr>
        <w:t xml:space="preserve">. </w:t>
      </w:r>
    </w:p>
    <w:sectPr w:rsidR="00544A3B" w:rsidRPr="00FA38B2" w:rsidSect="006A66F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A3737F" w14:textId="77777777" w:rsidR="0091520B" w:rsidRDefault="0091520B" w:rsidP="009D2759">
      <w:pPr>
        <w:spacing w:line="240" w:lineRule="auto"/>
      </w:pPr>
      <w:r>
        <w:separator/>
      </w:r>
    </w:p>
  </w:endnote>
  <w:endnote w:type="continuationSeparator" w:id="0">
    <w:p w14:paraId="46DFD93B" w14:textId="77777777" w:rsidR="0091520B" w:rsidRDefault="0091520B" w:rsidP="009D275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ECBF6F" w14:textId="77777777" w:rsidR="0091520B" w:rsidRDefault="0091520B" w:rsidP="009D2759">
      <w:pPr>
        <w:spacing w:line="240" w:lineRule="auto"/>
      </w:pPr>
      <w:r>
        <w:separator/>
      </w:r>
    </w:p>
  </w:footnote>
  <w:footnote w:type="continuationSeparator" w:id="0">
    <w:p w14:paraId="5F532B41" w14:textId="77777777" w:rsidR="0091520B" w:rsidRDefault="0091520B" w:rsidP="009D2759">
      <w:pPr>
        <w:spacing w:line="240" w:lineRule="auto"/>
      </w:pPr>
      <w:r>
        <w:continuationSeparator/>
      </w:r>
    </w:p>
  </w:footnote>
  <w:footnote w:id="1">
    <w:p w14:paraId="37F6074A" w14:textId="77777777" w:rsidR="005835C9" w:rsidRDefault="005835C9">
      <w:pPr>
        <w:pStyle w:val="FootnoteText"/>
      </w:pPr>
      <w:r>
        <w:rPr>
          <w:rStyle w:val="FootnoteReference"/>
        </w:rPr>
        <w:footnoteRef/>
      </w:r>
      <w:r>
        <w:t xml:space="preserve"> Michigan Reconnect was signed into law on April 2, 2020.  </w:t>
      </w:r>
    </w:p>
  </w:footnote>
  <w:footnote w:id="2">
    <w:p w14:paraId="74826324" w14:textId="34374284" w:rsidR="005835C9" w:rsidRDefault="005835C9">
      <w:pPr>
        <w:pStyle w:val="FootnoteText"/>
      </w:pPr>
      <w:r>
        <w:rPr>
          <w:rStyle w:val="FootnoteReference"/>
        </w:rPr>
        <w:footnoteRef/>
      </w:r>
      <w:r>
        <w:t xml:space="preserve"> </w:t>
      </w:r>
      <w:r w:rsidRPr="000B64BA">
        <w:t xml:space="preserve">Reconnect Navigators </w:t>
      </w:r>
      <w:r>
        <w:t>“</w:t>
      </w:r>
      <w:r w:rsidRPr="000B64BA">
        <w:t>provide free, institution-neutral college navigation services, career exploration tools, and assistance with understanding financial aid &amp; college costs</w:t>
      </w:r>
      <w:r>
        <w:t xml:space="preserve">” (Tennessee Reconnect, </w:t>
      </w:r>
      <w:proofErr w:type="spellStart"/>
      <w:r>
        <w:t>n.d.</w:t>
      </w:r>
      <w:proofErr w:type="spellEnd"/>
      <w:r>
        <w:t xml:space="preserve">).  </w:t>
      </w:r>
    </w:p>
  </w:footnote>
  <w:footnote w:id="3">
    <w:p w14:paraId="2D56B9EB" w14:textId="77777777" w:rsidR="005835C9" w:rsidRDefault="005835C9">
      <w:pPr>
        <w:pStyle w:val="FootnoteText"/>
      </w:pPr>
      <w:r>
        <w:rPr>
          <w:rStyle w:val="FootnoteReference"/>
        </w:rPr>
        <w:footnoteRef/>
      </w:r>
      <w:r>
        <w:t xml:space="preserve"> </w:t>
      </w:r>
      <w:r w:rsidRPr="00DA428B">
        <w:t xml:space="preserve">see </w:t>
      </w:r>
      <w:proofErr w:type="spellStart"/>
      <w:r w:rsidRPr="00DA428B">
        <w:t>Hersperger</w:t>
      </w:r>
      <w:proofErr w:type="spellEnd"/>
      <w:r w:rsidRPr="00DA428B">
        <w:t xml:space="preserve"> et al., 2013 for a more robust review of CTE history</w:t>
      </w:r>
      <w:r>
        <w:t xml:space="preserve">. </w:t>
      </w:r>
    </w:p>
  </w:footnote>
  <w:footnote w:id="4">
    <w:p w14:paraId="73273293" w14:textId="77777777" w:rsidR="005835C9" w:rsidRDefault="005835C9">
      <w:pPr>
        <w:pStyle w:val="FootnoteText"/>
      </w:pPr>
      <w:r>
        <w:rPr>
          <w:rStyle w:val="FootnoteReference"/>
        </w:rPr>
        <w:footnoteRef/>
      </w:r>
      <w:r>
        <w:t xml:space="preserve"> </w:t>
      </w:r>
      <w:r w:rsidRPr="004D69DE">
        <w:t>https://perkins.ed.gov/pims/dataExplorer</w:t>
      </w:r>
    </w:p>
  </w:footnote>
  <w:footnote w:id="5">
    <w:p w14:paraId="2C5C5546" w14:textId="77777777" w:rsidR="005835C9" w:rsidRDefault="005835C9" w:rsidP="00E33EF5">
      <w:pPr>
        <w:pStyle w:val="FootnoteText"/>
      </w:pPr>
      <w:r>
        <w:rPr>
          <w:rStyle w:val="FootnoteReference"/>
        </w:rPr>
        <w:footnoteRef/>
      </w:r>
      <w:r>
        <w:t xml:space="preserve"> Data source:</w:t>
      </w:r>
      <w:r w:rsidRPr="000F4A3D">
        <w:t xml:space="preserve"> Consolidated Annual Report (CAR) from the U.S. Department of Education/Office of Career, Technical, and Adult Education (2020)</w:t>
      </w:r>
      <w:r>
        <w:t xml:space="preserve">. Data from </w:t>
      </w:r>
      <w:r w:rsidRPr="000F4A3D">
        <w:t xml:space="preserve">Oregon, Minnesota, Kentucky, and Rhode Island </w:t>
      </w:r>
      <w:r>
        <w:t xml:space="preserve">were excluded from the nationwide sample due to implementation of similar statewide promise programs. </w:t>
      </w:r>
    </w:p>
  </w:footnote>
  <w:footnote w:id="6">
    <w:p w14:paraId="354809D9" w14:textId="77777777" w:rsidR="005835C9" w:rsidRDefault="005835C9" w:rsidP="00E33EF5">
      <w:pPr>
        <w:pStyle w:val="FootnoteText"/>
      </w:pPr>
      <w:r>
        <w:rPr>
          <w:rStyle w:val="FootnoteReference"/>
        </w:rPr>
        <w:footnoteRef/>
      </w:r>
      <w:r>
        <w:t xml:space="preserve"> Contiguous states included data from Alabama, Georgia, Missouri, Mississippi, North Carolina, and Virginia. Data from Kentucky was excluded due to implementation of a similar statewide promise program.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98280985"/>
      <w:docPartObj>
        <w:docPartGallery w:val="Page Numbers (Top of Page)"/>
        <w:docPartUnique/>
      </w:docPartObj>
    </w:sdtPr>
    <w:sdtEndPr>
      <w:rPr>
        <w:noProof/>
      </w:rPr>
    </w:sdtEndPr>
    <w:sdtContent>
      <w:p w14:paraId="15422DE9" w14:textId="0891C26E" w:rsidR="005835C9" w:rsidRDefault="005835C9" w:rsidP="005F5B83">
        <w:pPr>
          <w:pStyle w:val="Header"/>
          <w:jc w:val="right"/>
        </w:pPr>
        <w:r>
          <w:fldChar w:fldCharType="begin"/>
        </w:r>
        <w:r>
          <w:instrText xml:space="preserve"> PAGE   \* MERGEFORMAT </w:instrText>
        </w:r>
        <w:r>
          <w:fldChar w:fldCharType="separate"/>
        </w:r>
        <w:r w:rsidR="00DA7D5B">
          <w:rPr>
            <w:noProof/>
          </w:rPr>
          <w:t>11</w:t>
        </w:r>
        <w:r>
          <w:rPr>
            <w:noProof/>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33404"/>
    <w:multiLevelType w:val="hybridMultilevel"/>
    <w:tmpl w:val="F64451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401D6F"/>
    <w:multiLevelType w:val="hybridMultilevel"/>
    <w:tmpl w:val="FAC87286"/>
    <w:lvl w:ilvl="0" w:tplc="EC1EB7EC">
      <w:start w:val="1"/>
      <w:numFmt w:val="decimal"/>
      <w:lvlText w:val="%1."/>
      <w:lvlJc w:val="left"/>
      <w:pPr>
        <w:ind w:left="720" w:hanging="360"/>
      </w:pPr>
      <w:rPr>
        <w:rFonts w:ascii="Times New Roman" w:eastAsiaTheme="minorHAnsi" w:hAnsi="Times New Roman"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090389"/>
    <w:multiLevelType w:val="hybridMultilevel"/>
    <w:tmpl w:val="7E446D14"/>
    <w:lvl w:ilvl="0" w:tplc="966E7CBA">
      <w:start w:val="1"/>
      <w:numFmt w:val="decimal"/>
      <w:lvlText w:val="%1."/>
      <w:lvlJc w:val="left"/>
      <w:pPr>
        <w:ind w:left="480" w:hanging="42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 w15:restartNumberingAfterBreak="0">
    <w:nsid w:val="1A20684A"/>
    <w:multiLevelType w:val="multilevel"/>
    <w:tmpl w:val="7DB4D874"/>
    <w:lvl w:ilvl="0">
      <w:start w:val="1"/>
      <w:numFmt w:val="decimal"/>
      <w:lvlText w:val="%1."/>
      <w:lvlJc w:val="left"/>
      <w:pPr>
        <w:ind w:left="720" w:hanging="360"/>
      </w:pPr>
    </w:lvl>
    <w:lvl w:ilvl="1">
      <w:start w:val="1"/>
      <w:numFmt w:val="decimal"/>
      <w:lvlText w:val="%2."/>
      <w:lvlJc w:val="left"/>
      <w:pPr>
        <w:ind w:left="1440" w:hanging="360"/>
      </w:pPr>
      <w:rPr>
        <w:b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F4958A6"/>
    <w:multiLevelType w:val="multilevel"/>
    <w:tmpl w:val="270A1830"/>
    <w:lvl w:ilvl="0">
      <w:start w:val="1"/>
      <w:numFmt w:val="decimal"/>
      <w:lvlText w:val="%1."/>
      <w:lvlJc w:val="left"/>
      <w:pPr>
        <w:ind w:left="720" w:hanging="360"/>
      </w:pPr>
    </w:lvl>
    <w:lvl w:ilvl="1">
      <w:start w:val="1"/>
      <w:numFmt w:val="decimal"/>
      <w:lvlText w:val="%2."/>
      <w:lvlJc w:val="left"/>
      <w:pPr>
        <w:ind w:left="1440" w:hanging="360"/>
      </w:p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2C4748F5"/>
    <w:multiLevelType w:val="hybridMultilevel"/>
    <w:tmpl w:val="FAC87286"/>
    <w:lvl w:ilvl="0" w:tplc="EC1EB7EC">
      <w:start w:val="1"/>
      <w:numFmt w:val="decimal"/>
      <w:lvlText w:val="%1."/>
      <w:lvlJc w:val="left"/>
      <w:pPr>
        <w:ind w:left="720" w:hanging="360"/>
      </w:pPr>
      <w:rPr>
        <w:rFonts w:ascii="Times New Roman" w:eastAsiaTheme="minorHAnsi" w:hAnsi="Times New Roman"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D570F14"/>
    <w:multiLevelType w:val="hybridMultilevel"/>
    <w:tmpl w:val="AF922150"/>
    <w:lvl w:ilvl="0" w:tplc="CD6676B0">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C2B021B"/>
    <w:multiLevelType w:val="hybridMultilevel"/>
    <w:tmpl w:val="833CFB14"/>
    <w:lvl w:ilvl="0" w:tplc="A894C38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519451DE"/>
    <w:multiLevelType w:val="hybridMultilevel"/>
    <w:tmpl w:val="325445B0"/>
    <w:lvl w:ilvl="0" w:tplc="43B27DB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66B73875"/>
    <w:multiLevelType w:val="multilevel"/>
    <w:tmpl w:val="1A56D3E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6B6140C8"/>
    <w:multiLevelType w:val="hybridMultilevel"/>
    <w:tmpl w:val="0DF27B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6C66AD8"/>
    <w:multiLevelType w:val="hybridMultilevel"/>
    <w:tmpl w:val="FAC87286"/>
    <w:lvl w:ilvl="0" w:tplc="EC1EB7EC">
      <w:start w:val="1"/>
      <w:numFmt w:val="decimal"/>
      <w:lvlText w:val="%1."/>
      <w:lvlJc w:val="left"/>
      <w:pPr>
        <w:ind w:left="720" w:hanging="360"/>
      </w:pPr>
      <w:rPr>
        <w:rFonts w:ascii="Times New Roman" w:eastAsiaTheme="minorHAnsi" w:hAnsi="Times New Roman"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742633C"/>
    <w:multiLevelType w:val="multilevel"/>
    <w:tmpl w:val="7D1ABD1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0"/>
  </w:num>
  <w:num w:numId="3">
    <w:abstractNumId w:val="9"/>
  </w:num>
  <w:num w:numId="4">
    <w:abstractNumId w:val="12"/>
  </w:num>
  <w:num w:numId="5">
    <w:abstractNumId w:val="4"/>
  </w:num>
  <w:num w:numId="6">
    <w:abstractNumId w:val="3"/>
  </w:num>
  <w:num w:numId="7">
    <w:abstractNumId w:val="10"/>
  </w:num>
  <w:num w:numId="8">
    <w:abstractNumId w:val="8"/>
  </w:num>
  <w:num w:numId="9">
    <w:abstractNumId w:val="11"/>
  </w:num>
  <w:num w:numId="10">
    <w:abstractNumId w:val="5"/>
  </w:num>
  <w:num w:numId="11">
    <w:abstractNumId w:val="2"/>
  </w:num>
  <w:num w:numId="12">
    <w:abstractNumId w:val="7"/>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2759"/>
    <w:rsid w:val="00001C39"/>
    <w:rsid w:val="00005544"/>
    <w:rsid w:val="00006D48"/>
    <w:rsid w:val="00007D7A"/>
    <w:rsid w:val="00013EEA"/>
    <w:rsid w:val="00014BFB"/>
    <w:rsid w:val="000165FC"/>
    <w:rsid w:val="00017075"/>
    <w:rsid w:val="00022D3E"/>
    <w:rsid w:val="00024435"/>
    <w:rsid w:val="00026DAD"/>
    <w:rsid w:val="00030DF1"/>
    <w:rsid w:val="000311FD"/>
    <w:rsid w:val="00032692"/>
    <w:rsid w:val="00034229"/>
    <w:rsid w:val="00042B69"/>
    <w:rsid w:val="00047226"/>
    <w:rsid w:val="00050D8B"/>
    <w:rsid w:val="000528E2"/>
    <w:rsid w:val="00054270"/>
    <w:rsid w:val="000548A5"/>
    <w:rsid w:val="00054B75"/>
    <w:rsid w:val="00055589"/>
    <w:rsid w:val="00056399"/>
    <w:rsid w:val="00056D26"/>
    <w:rsid w:val="0006262C"/>
    <w:rsid w:val="000654D6"/>
    <w:rsid w:val="0006753F"/>
    <w:rsid w:val="00073DD5"/>
    <w:rsid w:val="00080321"/>
    <w:rsid w:val="00083112"/>
    <w:rsid w:val="000832E0"/>
    <w:rsid w:val="0008660F"/>
    <w:rsid w:val="00086FF1"/>
    <w:rsid w:val="000A0394"/>
    <w:rsid w:val="000A245D"/>
    <w:rsid w:val="000A36BD"/>
    <w:rsid w:val="000A555F"/>
    <w:rsid w:val="000A5902"/>
    <w:rsid w:val="000A5BC8"/>
    <w:rsid w:val="000B28BC"/>
    <w:rsid w:val="000B32BF"/>
    <w:rsid w:val="000B3965"/>
    <w:rsid w:val="000B3E7A"/>
    <w:rsid w:val="000B6901"/>
    <w:rsid w:val="000B74E6"/>
    <w:rsid w:val="000B77D6"/>
    <w:rsid w:val="000C267F"/>
    <w:rsid w:val="000C4110"/>
    <w:rsid w:val="000C459D"/>
    <w:rsid w:val="000D039D"/>
    <w:rsid w:val="000D1D4C"/>
    <w:rsid w:val="000D3380"/>
    <w:rsid w:val="000D5F1E"/>
    <w:rsid w:val="000D6D27"/>
    <w:rsid w:val="000D782B"/>
    <w:rsid w:val="000E03B6"/>
    <w:rsid w:val="000E2161"/>
    <w:rsid w:val="000E2A78"/>
    <w:rsid w:val="000E7B0F"/>
    <w:rsid w:val="000F0901"/>
    <w:rsid w:val="000F38AC"/>
    <w:rsid w:val="000F6EAE"/>
    <w:rsid w:val="00100978"/>
    <w:rsid w:val="0010212C"/>
    <w:rsid w:val="001029C4"/>
    <w:rsid w:val="0010726B"/>
    <w:rsid w:val="001118FE"/>
    <w:rsid w:val="00112B57"/>
    <w:rsid w:val="00113D83"/>
    <w:rsid w:val="00114BBC"/>
    <w:rsid w:val="00114ED9"/>
    <w:rsid w:val="00115096"/>
    <w:rsid w:val="001158D8"/>
    <w:rsid w:val="00117FF4"/>
    <w:rsid w:val="00130348"/>
    <w:rsid w:val="00130484"/>
    <w:rsid w:val="00132CAA"/>
    <w:rsid w:val="001428D0"/>
    <w:rsid w:val="0014593F"/>
    <w:rsid w:val="0015321A"/>
    <w:rsid w:val="00155C2A"/>
    <w:rsid w:val="00160622"/>
    <w:rsid w:val="0016305E"/>
    <w:rsid w:val="00163BB0"/>
    <w:rsid w:val="00163E77"/>
    <w:rsid w:val="001658CF"/>
    <w:rsid w:val="00170228"/>
    <w:rsid w:val="0017677D"/>
    <w:rsid w:val="00190321"/>
    <w:rsid w:val="001A04AE"/>
    <w:rsid w:val="001A0D49"/>
    <w:rsid w:val="001A11BD"/>
    <w:rsid w:val="001A159A"/>
    <w:rsid w:val="001A182F"/>
    <w:rsid w:val="001B009D"/>
    <w:rsid w:val="001B059B"/>
    <w:rsid w:val="001B2053"/>
    <w:rsid w:val="001B3147"/>
    <w:rsid w:val="001B3612"/>
    <w:rsid w:val="001B3CDA"/>
    <w:rsid w:val="001B784D"/>
    <w:rsid w:val="001C0C4B"/>
    <w:rsid w:val="001C3F56"/>
    <w:rsid w:val="001C4D09"/>
    <w:rsid w:val="001C4F7E"/>
    <w:rsid w:val="001D1206"/>
    <w:rsid w:val="001D3639"/>
    <w:rsid w:val="001D64C5"/>
    <w:rsid w:val="001E2C0C"/>
    <w:rsid w:val="001E2C8F"/>
    <w:rsid w:val="001E7AC1"/>
    <w:rsid w:val="001F2D17"/>
    <w:rsid w:val="001F3D56"/>
    <w:rsid w:val="001F597A"/>
    <w:rsid w:val="001F693A"/>
    <w:rsid w:val="00200E50"/>
    <w:rsid w:val="002011C1"/>
    <w:rsid w:val="002015CA"/>
    <w:rsid w:val="00210AF0"/>
    <w:rsid w:val="00212DB3"/>
    <w:rsid w:val="00217EEB"/>
    <w:rsid w:val="00221221"/>
    <w:rsid w:val="002277B7"/>
    <w:rsid w:val="00231270"/>
    <w:rsid w:val="00232E7B"/>
    <w:rsid w:val="00250873"/>
    <w:rsid w:val="0025163B"/>
    <w:rsid w:val="002619C3"/>
    <w:rsid w:val="00262048"/>
    <w:rsid w:val="00263C2F"/>
    <w:rsid w:val="002643D5"/>
    <w:rsid w:val="00267CB2"/>
    <w:rsid w:val="00273323"/>
    <w:rsid w:val="0027397D"/>
    <w:rsid w:val="002804C5"/>
    <w:rsid w:val="00282F19"/>
    <w:rsid w:val="002852FB"/>
    <w:rsid w:val="00290DBA"/>
    <w:rsid w:val="002930B3"/>
    <w:rsid w:val="00293A41"/>
    <w:rsid w:val="0029403C"/>
    <w:rsid w:val="002978C8"/>
    <w:rsid w:val="002A0463"/>
    <w:rsid w:val="002A1245"/>
    <w:rsid w:val="002A532F"/>
    <w:rsid w:val="002A5954"/>
    <w:rsid w:val="002B10F9"/>
    <w:rsid w:val="002B387E"/>
    <w:rsid w:val="002B44BD"/>
    <w:rsid w:val="002C28D9"/>
    <w:rsid w:val="002C32BD"/>
    <w:rsid w:val="002C439A"/>
    <w:rsid w:val="002C6730"/>
    <w:rsid w:val="002D0E66"/>
    <w:rsid w:val="002D602A"/>
    <w:rsid w:val="002D6BDA"/>
    <w:rsid w:val="002D79FF"/>
    <w:rsid w:val="002E1E35"/>
    <w:rsid w:val="002E5971"/>
    <w:rsid w:val="002F0743"/>
    <w:rsid w:val="002F0A20"/>
    <w:rsid w:val="002F1E47"/>
    <w:rsid w:val="002F59C7"/>
    <w:rsid w:val="003016C3"/>
    <w:rsid w:val="00301C21"/>
    <w:rsid w:val="00305165"/>
    <w:rsid w:val="003074D3"/>
    <w:rsid w:val="003076C6"/>
    <w:rsid w:val="00311FDD"/>
    <w:rsid w:val="00317F68"/>
    <w:rsid w:val="0032174F"/>
    <w:rsid w:val="0032637F"/>
    <w:rsid w:val="00326FFE"/>
    <w:rsid w:val="003300E1"/>
    <w:rsid w:val="00332600"/>
    <w:rsid w:val="00334D24"/>
    <w:rsid w:val="0033702F"/>
    <w:rsid w:val="0033776A"/>
    <w:rsid w:val="00341867"/>
    <w:rsid w:val="00342025"/>
    <w:rsid w:val="00351396"/>
    <w:rsid w:val="003514D6"/>
    <w:rsid w:val="00351D4F"/>
    <w:rsid w:val="00351FE2"/>
    <w:rsid w:val="00356347"/>
    <w:rsid w:val="00361A1E"/>
    <w:rsid w:val="0036487C"/>
    <w:rsid w:val="00365EDD"/>
    <w:rsid w:val="00370D99"/>
    <w:rsid w:val="00371A48"/>
    <w:rsid w:val="00373170"/>
    <w:rsid w:val="00373E0B"/>
    <w:rsid w:val="00375427"/>
    <w:rsid w:val="00376DAA"/>
    <w:rsid w:val="003773F6"/>
    <w:rsid w:val="00377961"/>
    <w:rsid w:val="00380D9B"/>
    <w:rsid w:val="00385EAB"/>
    <w:rsid w:val="00386D0A"/>
    <w:rsid w:val="00390EC2"/>
    <w:rsid w:val="00391FC3"/>
    <w:rsid w:val="00395194"/>
    <w:rsid w:val="003A16BF"/>
    <w:rsid w:val="003A439F"/>
    <w:rsid w:val="003A493F"/>
    <w:rsid w:val="003A701B"/>
    <w:rsid w:val="003A7956"/>
    <w:rsid w:val="003B08DF"/>
    <w:rsid w:val="003B34BB"/>
    <w:rsid w:val="003B471B"/>
    <w:rsid w:val="003B56D5"/>
    <w:rsid w:val="003B629B"/>
    <w:rsid w:val="003B6C35"/>
    <w:rsid w:val="003B73F1"/>
    <w:rsid w:val="003C24A2"/>
    <w:rsid w:val="003C7351"/>
    <w:rsid w:val="003D5DD1"/>
    <w:rsid w:val="003E31A0"/>
    <w:rsid w:val="003E33AA"/>
    <w:rsid w:val="003E4B3D"/>
    <w:rsid w:val="003E518A"/>
    <w:rsid w:val="003F6C16"/>
    <w:rsid w:val="003F78C3"/>
    <w:rsid w:val="00401037"/>
    <w:rsid w:val="004045D8"/>
    <w:rsid w:val="004047DA"/>
    <w:rsid w:val="004048C9"/>
    <w:rsid w:val="0040562C"/>
    <w:rsid w:val="00406AA8"/>
    <w:rsid w:val="0041045C"/>
    <w:rsid w:val="00417301"/>
    <w:rsid w:val="00426563"/>
    <w:rsid w:val="004275BF"/>
    <w:rsid w:val="00430B4E"/>
    <w:rsid w:val="004364BF"/>
    <w:rsid w:val="00437487"/>
    <w:rsid w:val="00440AC8"/>
    <w:rsid w:val="00440D28"/>
    <w:rsid w:val="004420FF"/>
    <w:rsid w:val="0044277E"/>
    <w:rsid w:val="0044321F"/>
    <w:rsid w:val="00445E74"/>
    <w:rsid w:val="00454690"/>
    <w:rsid w:val="00455323"/>
    <w:rsid w:val="00460C77"/>
    <w:rsid w:val="00461B79"/>
    <w:rsid w:val="00462516"/>
    <w:rsid w:val="00463B86"/>
    <w:rsid w:val="00463FCB"/>
    <w:rsid w:val="004673D5"/>
    <w:rsid w:val="00467E71"/>
    <w:rsid w:val="00470843"/>
    <w:rsid w:val="004739A5"/>
    <w:rsid w:val="00486D81"/>
    <w:rsid w:val="00487965"/>
    <w:rsid w:val="00492EA6"/>
    <w:rsid w:val="00493CED"/>
    <w:rsid w:val="00496FAB"/>
    <w:rsid w:val="00497D57"/>
    <w:rsid w:val="004A71F1"/>
    <w:rsid w:val="004B1809"/>
    <w:rsid w:val="004B1F0E"/>
    <w:rsid w:val="004B2CBE"/>
    <w:rsid w:val="004B6221"/>
    <w:rsid w:val="004B6734"/>
    <w:rsid w:val="004B686E"/>
    <w:rsid w:val="004C52A0"/>
    <w:rsid w:val="004C7F9D"/>
    <w:rsid w:val="004D41DD"/>
    <w:rsid w:val="004D4BBF"/>
    <w:rsid w:val="004D5295"/>
    <w:rsid w:val="004D613B"/>
    <w:rsid w:val="004D6505"/>
    <w:rsid w:val="004D72CA"/>
    <w:rsid w:val="004D7765"/>
    <w:rsid w:val="004F121A"/>
    <w:rsid w:val="004F571F"/>
    <w:rsid w:val="004F6DC2"/>
    <w:rsid w:val="004F7CEE"/>
    <w:rsid w:val="00502A20"/>
    <w:rsid w:val="005038A7"/>
    <w:rsid w:val="00505A76"/>
    <w:rsid w:val="00507FBE"/>
    <w:rsid w:val="00513AF3"/>
    <w:rsid w:val="0051515F"/>
    <w:rsid w:val="00515DD6"/>
    <w:rsid w:val="00520A63"/>
    <w:rsid w:val="00522C8C"/>
    <w:rsid w:val="00532A80"/>
    <w:rsid w:val="0053405F"/>
    <w:rsid w:val="00536839"/>
    <w:rsid w:val="00537D39"/>
    <w:rsid w:val="00541696"/>
    <w:rsid w:val="00542019"/>
    <w:rsid w:val="005423AF"/>
    <w:rsid w:val="005434A7"/>
    <w:rsid w:val="00544A3B"/>
    <w:rsid w:val="0054536B"/>
    <w:rsid w:val="00547969"/>
    <w:rsid w:val="005501AE"/>
    <w:rsid w:val="005557E1"/>
    <w:rsid w:val="005560A0"/>
    <w:rsid w:val="0055672D"/>
    <w:rsid w:val="00557913"/>
    <w:rsid w:val="0056327E"/>
    <w:rsid w:val="00564EBD"/>
    <w:rsid w:val="00565606"/>
    <w:rsid w:val="00565FE5"/>
    <w:rsid w:val="005741A7"/>
    <w:rsid w:val="00574814"/>
    <w:rsid w:val="00582E33"/>
    <w:rsid w:val="005835C9"/>
    <w:rsid w:val="00583822"/>
    <w:rsid w:val="0058676D"/>
    <w:rsid w:val="00586AA5"/>
    <w:rsid w:val="00587D35"/>
    <w:rsid w:val="0059009C"/>
    <w:rsid w:val="00590BE8"/>
    <w:rsid w:val="00591855"/>
    <w:rsid w:val="005918E0"/>
    <w:rsid w:val="00591C37"/>
    <w:rsid w:val="005A0D63"/>
    <w:rsid w:val="005A1A43"/>
    <w:rsid w:val="005A393A"/>
    <w:rsid w:val="005A462E"/>
    <w:rsid w:val="005A6A60"/>
    <w:rsid w:val="005B07BA"/>
    <w:rsid w:val="005B26C8"/>
    <w:rsid w:val="005B4A2C"/>
    <w:rsid w:val="005B5B4C"/>
    <w:rsid w:val="005B688B"/>
    <w:rsid w:val="005C5631"/>
    <w:rsid w:val="005D0110"/>
    <w:rsid w:val="005D05DA"/>
    <w:rsid w:val="005D0A63"/>
    <w:rsid w:val="005D2223"/>
    <w:rsid w:val="005D7925"/>
    <w:rsid w:val="005E115F"/>
    <w:rsid w:val="005E2D90"/>
    <w:rsid w:val="005E3546"/>
    <w:rsid w:val="005F3ECB"/>
    <w:rsid w:val="005F40A1"/>
    <w:rsid w:val="005F5B83"/>
    <w:rsid w:val="005F67EF"/>
    <w:rsid w:val="00601A18"/>
    <w:rsid w:val="006022F1"/>
    <w:rsid w:val="0060595E"/>
    <w:rsid w:val="00605C2F"/>
    <w:rsid w:val="00606B9D"/>
    <w:rsid w:val="006229CA"/>
    <w:rsid w:val="00622E7E"/>
    <w:rsid w:val="006325A3"/>
    <w:rsid w:val="006364E3"/>
    <w:rsid w:val="00637289"/>
    <w:rsid w:val="00640248"/>
    <w:rsid w:val="0064326B"/>
    <w:rsid w:val="0064510C"/>
    <w:rsid w:val="006465BF"/>
    <w:rsid w:val="00647F22"/>
    <w:rsid w:val="00663692"/>
    <w:rsid w:val="006677BB"/>
    <w:rsid w:val="00672394"/>
    <w:rsid w:val="006755DA"/>
    <w:rsid w:val="00681735"/>
    <w:rsid w:val="00682E0E"/>
    <w:rsid w:val="00685A61"/>
    <w:rsid w:val="0069099F"/>
    <w:rsid w:val="00692675"/>
    <w:rsid w:val="00693575"/>
    <w:rsid w:val="0069483F"/>
    <w:rsid w:val="006A3FCF"/>
    <w:rsid w:val="006A5444"/>
    <w:rsid w:val="006A5B1B"/>
    <w:rsid w:val="006A66FA"/>
    <w:rsid w:val="006A677A"/>
    <w:rsid w:val="006B4404"/>
    <w:rsid w:val="006B5921"/>
    <w:rsid w:val="006B6412"/>
    <w:rsid w:val="006C3E2E"/>
    <w:rsid w:val="006D239A"/>
    <w:rsid w:val="006D48D4"/>
    <w:rsid w:val="006D5A42"/>
    <w:rsid w:val="006D790B"/>
    <w:rsid w:val="006E646B"/>
    <w:rsid w:val="006F19D7"/>
    <w:rsid w:val="006F1EF4"/>
    <w:rsid w:val="006F4C3D"/>
    <w:rsid w:val="006F5858"/>
    <w:rsid w:val="00700EAB"/>
    <w:rsid w:val="00711E37"/>
    <w:rsid w:val="00720F2F"/>
    <w:rsid w:val="007230A2"/>
    <w:rsid w:val="007257EE"/>
    <w:rsid w:val="00727AF3"/>
    <w:rsid w:val="00730B15"/>
    <w:rsid w:val="00731A56"/>
    <w:rsid w:val="00734AD5"/>
    <w:rsid w:val="00735D55"/>
    <w:rsid w:val="00740C56"/>
    <w:rsid w:val="00746DBB"/>
    <w:rsid w:val="00747AC7"/>
    <w:rsid w:val="00755F46"/>
    <w:rsid w:val="00765AA9"/>
    <w:rsid w:val="00766F0C"/>
    <w:rsid w:val="0077228C"/>
    <w:rsid w:val="007755C4"/>
    <w:rsid w:val="00785915"/>
    <w:rsid w:val="00797836"/>
    <w:rsid w:val="00797945"/>
    <w:rsid w:val="007A1B59"/>
    <w:rsid w:val="007A425E"/>
    <w:rsid w:val="007A6F41"/>
    <w:rsid w:val="007B1050"/>
    <w:rsid w:val="007B3A21"/>
    <w:rsid w:val="007B44BC"/>
    <w:rsid w:val="007B69B6"/>
    <w:rsid w:val="007B6E03"/>
    <w:rsid w:val="007C65DD"/>
    <w:rsid w:val="007C79A3"/>
    <w:rsid w:val="007D26B5"/>
    <w:rsid w:val="007E09B4"/>
    <w:rsid w:val="007E1B58"/>
    <w:rsid w:val="007E46A4"/>
    <w:rsid w:val="007E52D1"/>
    <w:rsid w:val="007E7AF2"/>
    <w:rsid w:val="007E7E14"/>
    <w:rsid w:val="007F013A"/>
    <w:rsid w:val="007F04C0"/>
    <w:rsid w:val="007F0E64"/>
    <w:rsid w:val="007F1CE0"/>
    <w:rsid w:val="007F2DC5"/>
    <w:rsid w:val="007F5886"/>
    <w:rsid w:val="00800165"/>
    <w:rsid w:val="00805655"/>
    <w:rsid w:val="008108F9"/>
    <w:rsid w:val="00810D7E"/>
    <w:rsid w:val="00812272"/>
    <w:rsid w:val="008127BE"/>
    <w:rsid w:val="00817CBB"/>
    <w:rsid w:val="00824894"/>
    <w:rsid w:val="00824B2A"/>
    <w:rsid w:val="00826266"/>
    <w:rsid w:val="00827F5F"/>
    <w:rsid w:val="00827F97"/>
    <w:rsid w:val="00831247"/>
    <w:rsid w:val="00837151"/>
    <w:rsid w:val="00840BD2"/>
    <w:rsid w:val="00842680"/>
    <w:rsid w:val="00845D96"/>
    <w:rsid w:val="00845F56"/>
    <w:rsid w:val="00850E60"/>
    <w:rsid w:val="00853A02"/>
    <w:rsid w:val="00855F8C"/>
    <w:rsid w:val="008577B7"/>
    <w:rsid w:val="0086135A"/>
    <w:rsid w:val="00865B57"/>
    <w:rsid w:val="00865FEE"/>
    <w:rsid w:val="00866C29"/>
    <w:rsid w:val="00872730"/>
    <w:rsid w:val="00883A93"/>
    <w:rsid w:val="00884F8C"/>
    <w:rsid w:val="0088688F"/>
    <w:rsid w:val="00887F5D"/>
    <w:rsid w:val="00890FFD"/>
    <w:rsid w:val="008923C1"/>
    <w:rsid w:val="00895A81"/>
    <w:rsid w:val="008A1B44"/>
    <w:rsid w:val="008A4937"/>
    <w:rsid w:val="008A7881"/>
    <w:rsid w:val="008B0884"/>
    <w:rsid w:val="008B19B0"/>
    <w:rsid w:val="008B5730"/>
    <w:rsid w:val="008B5E45"/>
    <w:rsid w:val="008D1970"/>
    <w:rsid w:val="008D24EF"/>
    <w:rsid w:val="008D40BD"/>
    <w:rsid w:val="008D5C19"/>
    <w:rsid w:val="008D5DBB"/>
    <w:rsid w:val="008D757D"/>
    <w:rsid w:val="008D7A39"/>
    <w:rsid w:val="008E1D19"/>
    <w:rsid w:val="008E3DEE"/>
    <w:rsid w:val="008F796A"/>
    <w:rsid w:val="0090049C"/>
    <w:rsid w:val="00900CB7"/>
    <w:rsid w:val="00901562"/>
    <w:rsid w:val="00904235"/>
    <w:rsid w:val="00913B6B"/>
    <w:rsid w:val="0091520B"/>
    <w:rsid w:val="0091548D"/>
    <w:rsid w:val="00916690"/>
    <w:rsid w:val="009254EB"/>
    <w:rsid w:val="00934818"/>
    <w:rsid w:val="0093593C"/>
    <w:rsid w:val="009413D8"/>
    <w:rsid w:val="00941F42"/>
    <w:rsid w:val="00942441"/>
    <w:rsid w:val="00946ADC"/>
    <w:rsid w:val="00952660"/>
    <w:rsid w:val="00955C7D"/>
    <w:rsid w:val="00956796"/>
    <w:rsid w:val="0096107C"/>
    <w:rsid w:val="0096140F"/>
    <w:rsid w:val="009615FA"/>
    <w:rsid w:val="00963328"/>
    <w:rsid w:val="00965158"/>
    <w:rsid w:val="009665AA"/>
    <w:rsid w:val="0096673C"/>
    <w:rsid w:val="00975F0B"/>
    <w:rsid w:val="00976AB7"/>
    <w:rsid w:val="00976FAB"/>
    <w:rsid w:val="009828C8"/>
    <w:rsid w:val="00985186"/>
    <w:rsid w:val="009860A8"/>
    <w:rsid w:val="00987F6B"/>
    <w:rsid w:val="00990038"/>
    <w:rsid w:val="0099399F"/>
    <w:rsid w:val="00996D6F"/>
    <w:rsid w:val="00997344"/>
    <w:rsid w:val="009975B1"/>
    <w:rsid w:val="009A03D0"/>
    <w:rsid w:val="009A254F"/>
    <w:rsid w:val="009A3AB3"/>
    <w:rsid w:val="009B29C5"/>
    <w:rsid w:val="009C041F"/>
    <w:rsid w:val="009C2E40"/>
    <w:rsid w:val="009C5574"/>
    <w:rsid w:val="009C7248"/>
    <w:rsid w:val="009C77D6"/>
    <w:rsid w:val="009D13BD"/>
    <w:rsid w:val="009D2759"/>
    <w:rsid w:val="009D35FA"/>
    <w:rsid w:val="009D3B5C"/>
    <w:rsid w:val="009D60A2"/>
    <w:rsid w:val="009E0127"/>
    <w:rsid w:val="009E132C"/>
    <w:rsid w:val="009E1933"/>
    <w:rsid w:val="009E3D01"/>
    <w:rsid w:val="009E7F8D"/>
    <w:rsid w:val="009F57BA"/>
    <w:rsid w:val="009F6602"/>
    <w:rsid w:val="009F6BA9"/>
    <w:rsid w:val="00A04740"/>
    <w:rsid w:val="00A05EAF"/>
    <w:rsid w:val="00A104F3"/>
    <w:rsid w:val="00A105E1"/>
    <w:rsid w:val="00A12075"/>
    <w:rsid w:val="00A12B12"/>
    <w:rsid w:val="00A13A8B"/>
    <w:rsid w:val="00A17B3A"/>
    <w:rsid w:val="00A20C85"/>
    <w:rsid w:val="00A216C0"/>
    <w:rsid w:val="00A21E50"/>
    <w:rsid w:val="00A26AE7"/>
    <w:rsid w:val="00A27DE2"/>
    <w:rsid w:val="00A27E65"/>
    <w:rsid w:val="00A301D2"/>
    <w:rsid w:val="00A3029B"/>
    <w:rsid w:val="00A32071"/>
    <w:rsid w:val="00A32187"/>
    <w:rsid w:val="00A36FE3"/>
    <w:rsid w:val="00A41063"/>
    <w:rsid w:val="00A44936"/>
    <w:rsid w:val="00A514F9"/>
    <w:rsid w:val="00A522AC"/>
    <w:rsid w:val="00A52978"/>
    <w:rsid w:val="00A53613"/>
    <w:rsid w:val="00A53A02"/>
    <w:rsid w:val="00A55EE4"/>
    <w:rsid w:val="00A56703"/>
    <w:rsid w:val="00A603C9"/>
    <w:rsid w:val="00A605A5"/>
    <w:rsid w:val="00A6109B"/>
    <w:rsid w:val="00A61820"/>
    <w:rsid w:val="00A62436"/>
    <w:rsid w:val="00A65478"/>
    <w:rsid w:val="00A67B09"/>
    <w:rsid w:val="00A67E0D"/>
    <w:rsid w:val="00A67EB1"/>
    <w:rsid w:val="00A7296E"/>
    <w:rsid w:val="00A74D2E"/>
    <w:rsid w:val="00A8452E"/>
    <w:rsid w:val="00A878FC"/>
    <w:rsid w:val="00A957D5"/>
    <w:rsid w:val="00AA0F0B"/>
    <w:rsid w:val="00AA10BE"/>
    <w:rsid w:val="00AA6C56"/>
    <w:rsid w:val="00AB383F"/>
    <w:rsid w:val="00AB4613"/>
    <w:rsid w:val="00AB4BEE"/>
    <w:rsid w:val="00AC05FA"/>
    <w:rsid w:val="00AC128F"/>
    <w:rsid w:val="00AC2F23"/>
    <w:rsid w:val="00AC3CC9"/>
    <w:rsid w:val="00AD054C"/>
    <w:rsid w:val="00AD240B"/>
    <w:rsid w:val="00AE2283"/>
    <w:rsid w:val="00AE56F1"/>
    <w:rsid w:val="00AF5CAC"/>
    <w:rsid w:val="00AF6CDE"/>
    <w:rsid w:val="00AF702B"/>
    <w:rsid w:val="00AF7517"/>
    <w:rsid w:val="00AF79B4"/>
    <w:rsid w:val="00B01BD9"/>
    <w:rsid w:val="00B03A1E"/>
    <w:rsid w:val="00B06F7A"/>
    <w:rsid w:val="00B12206"/>
    <w:rsid w:val="00B15146"/>
    <w:rsid w:val="00B2075B"/>
    <w:rsid w:val="00B23879"/>
    <w:rsid w:val="00B26E3C"/>
    <w:rsid w:val="00B30AB6"/>
    <w:rsid w:val="00B31960"/>
    <w:rsid w:val="00B320C2"/>
    <w:rsid w:val="00B3495B"/>
    <w:rsid w:val="00B34FEF"/>
    <w:rsid w:val="00B36753"/>
    <w:rsid w:val="00B404FC"/>
    <w:rsid w:val="00B4200D"/>
    <w:rsid w:val="00B5465D"/>
    <w:rsid w:val="00B5750E"/>
    <w:rsid w:val="00B649BF"/>
    <w:rsid w:val="00B67D60"/>
    <w:rsid w:val="00B711D7"/>
    <w:rsid w:val="00B809B4"/>
    <w:rsid w:val="00B85183"/>
    <w:rsid w:val="00B85D41"/>
    <w:rsid w:val="00B9337E"/>
    <w:rsid w:val="00B97205"/>
    <w:rsid w:val="00B97555"/>
    <w:rsid w:val="00BA03C4"/>
    <w:rsid w:val="00BA14E0"/>
    <w:rsid w:val="00BA2AC8"/>
    <w:rsid w:val="00BA535A"/>
    <w:rsid w:val="00BB5748"/>
    <w:rsid w:val="00BC0767"/>
    <w:rsid w:val="00BC07DF"/>
    <w:rsid w:val="00BC55D5"/>
    <w:rsid w:val="00BC72A6"/>
    <w:rsid w:val="00BD0A34"/>
    <w:rsid w:val="00BD0B70"/>
    <w:rsid w:val="00BD2B40"/>
    <w:rsid w:val="00BD5880"/>
    <w:rsid w:val="00BD6F2D"/>
    <w:rsid w:val="00BE3A09"/>
    <w:rsid w:val="00BE4E8B"/>
    <w:rsid w:val="00BE668F"/>
    <w:rsid w:val="00BF0B8D"/>
    <w:rsid w:val="00BF2F99"/>
    <w:rsid w:val="00BF58F3"/>
    <w:rsid w:val="00BF71B4"/>
    <w:rsid w:val="00C02F08"/>
    <w:rsid w:val="00C057F5"/>
    <w:rsid w:val="00C059E0"/>
    <w:rsid w:val="00C067C2"/>
    <w:rsid w:val="00C12558"/>
    <w:rsid w:val="00C12981"/>
    <w:rsid w:val="00C20C89"/>
    <w:rsid w:val="00C2341B"/>
    <w:rsid w:val="00C241E1"/>
    <w:rsid w:val="00C24508"/>
    <w:rsid w:val="00C24FA0"/>
    <w:rsid w:val="00C252AD"/>
    <w:rsid w:val="00C307D2"/>
    <w:rsid w:val="00C34813"/>
    <w:rsid w:val="00C35679"/>
    <w:rsid w:val="00C425C1"/>
    <w:rsid w:val="00C4491A"/>
    <w:rsid w:val="00C50188"/>
    <w:rsid w:val="00C565B9"/>
    <w:rsid w:val="00C66D91"/>
    <w:rsid w:val="00C67D20"/>
    <w:rsid w:val="00C7770F"/>
    <w:rsid w:val="00C82B57"/>
    <w:rsid w:val="00C86079"/>
    <w:rsid w:val="00C86683"/>
    <w:rsid w:val="00C91C25"/>
    <w:rsid w:val="00C94B6B"/>
    <w:rsid w:val="00C96C98"/>
    <w:rsid w:val="00CA1144"/>
    <w:rsid w:val="00CA2975"/>
    <w:rsid w:val="00CA5F11"/>
    <w:rsid w:val="00CA62C6"/>
    <w:rsid w:val="00CA6AA8"/>
    <w:rsid w:val="00CB55F8"/>
    <w:rsid w:val="00CB7078"/>
    <w:rsid w:val="00CB794C"/>
    <w:rsid w:val="00CC2A4A"/>
    <w:rsid w:val="00CC3DFF"/>
    <w:rsid w:val="00CC43A8"/>
    <w:rsid w:val="00CD009B"/>
    <w:rsid w:val="00CD14AB"/>
    <w:rsid w:val="00CE2489"/>
    <w:rsid w:val="00CE5E69"/>
    <w:rsid w:val="00CE6316"/>
    <w:rsid w:val="00CE67BD"/>
    <w:rsid w:val="00CE72A3"/>
    <w:rsid w:val="00CE7805"/>
    <w:rsid w:val="00CF3E64"/>
    <w:rsid w:val="00CF588A"/>
    <w:rsid w:val="00CF5F9A"/>
    <w:rsid w:val="00D00AB3"/>
    <w:rsid w:val="00D0188D"/>
    <w:rsid w:val="00D04D09"/>
    <w:rsid w:val="00D0633A"/>
    <w:rsid w:val="00D06D17"/>
    <w:rsid w:val="00D1032D"/>
    <w:rsid w:val="00D13F0D"/>
    <w:rsid w:val="00D162E7"/>
    <w:rsid w:val="00D17D17"/>
    <w:rsid w:val="00D21538"/>
    <w:rsid w:val="00D2230B"/>
    <w:rsid w:val="00D243EE"/>
    <w:rsid w:val="00D266B8"/>
    <w:rsid w:val="00D27D4B"/>
    <w:rsid w:val="00D326FD"/>
    <w:rsid w:val="00D33DFB"/>
    <w:rsid w:val="00D34712"/>
    <w:rsid w:val="00D35C02"/>
    <w:rsid w:val="00D3620A"/>
    <w:rsid w:val="00D420BE"/>
    <w:rsid w:val="00D4685D"/>
    <w:rsid w:val="00D46E9C"/>
    <w:rsid w:val="00D47D83"/>
    <w:rsid w:val="00D504D7"/>
    <w:rsid w:val="00D51347"/>
    <w:rsid w:val="00D54630"/>
    <w:rsid w:val="00D55DE3"/>
    <w:rsid w:val="00D561E1"/>
    <w:rsid w:val="00D621B8"/>
    <w:rsid w:val="00D6300A"/>
    <w:rsid w:val="00D73C2A"/>
    <w:rsid w:val="00D7637C"/>
    <w:rsid w:val="00D80B5B"/>
    <w:rsid w:val="00D839C6"/>
    <w:rsid w:val="00D9036A"/>
    <w:rsid w:val="00D90DFC"/>
    <w:rsid w:val="00D90EDD"/>
    <w:rsid w:val="00D92B38"/>
    <w:rsid w:val="00D956DE"/>
    <w:rsid w:val="00D9624E"/>
    <w:rsid w:val="00DA05BA"/>
    <w:rsid w:val="00DA27D0"/>
    <w:rsid w:val="00DA2CFA"/>
    <w:rsid w:val="00DA3EFF"/>
    <w:rsid w:val="00DA67BC"/>
    <w:rsid w:val="00DA7D14"/>
    <w:rsid w:val="00DA7D5B"/>
    <w:rsid w:val="00DB1D03"/>
    <w:rsid w:val="00DB274C"/>
    <w:rsid w:val="00DB487F"/>
    <w:rsid w:val="00DB723A"/>
    <w:rsid w:val="00DB7E71"/>
    <w:rsid w:val="00DC5508"/>
    <w:rsid w:val="00DC68A8"/>
    <w:rsid w:val="00DD08CB"/>
    <w:rsid w:val="00DD0B90"/>
    <w:rsid w:val="00DD3214"/>
    <w:rsid w:val="00DD39EB"/>
    <w:rsid w:val="00DD68DC"/>
    <w:rsid w:val="00DE1292"/>
    <w:rsid w:val="00DE1323"/>
    <w:rsid w:val="00DE55B0"/>
    <w:rsid w:val="00DF08E6"/>
    <w:rsid w:val="00DF20F6"/>
    <w:rsid w:val="00DF27A9"/>
    <w:rsid w:val="00DF3702"/>
    <w:rsid w:val="00DF78F0"/>
    <w:rsid w:val="00E00994"/>
    <w:rsid w:val="00E03664"/>
    <w:rsid w:val="00E03A4A"/>
    <w:rsid w:val="00E164EE"/>
    <w:rsid w:val="00E201C5"/>
    <w:rsid w:val="00E2218A"/>
    <w:rsid w:val="00E33EF5"/>
    <w:rsid w:val="00E33EFC"/>
    <w:rsid w:val="00E36046"/>
    <w:rsid w:val="00E3775F"/>
    <w:rsid w:val="00E40BD4"/>
    <w:rsid w:val="00E43F18"/>
    <w:rsid w:val="00E4544C"/>
    <w:rsid w:val="00E46A33"/>
    <w:rsid w:val="00E50E7D"/>
    <w:rsid w:val="00E511FA"/>
    <w:rsid w:val="00E51795"/>
    <w:rsid w:val="00E520FE"/>
    <w:rsid w:val="00E54698"/>
    <w:rsid w:val="00E550C5"/>
    <w:rsid w:val="00E62FD5"/>
    <w:rsid w:val="00E659FC"/>
    <w:rsid w:val="00E65DA9"/>
    <w:rsid w:val="00E661DB"/>
    <w:rsid w:val="00E6641A"/>
    <w:rsid w:val="00E66C88"/>
    <w:rsid w:val="00E67C5B"/>
    <w:rsid w:val="00E74C97"/>
    <w:rsid w:val="00E75435"/>
    <w:rsid w:val="00E7583D"/>
    <w:rsid w:val="00E76658"/>
    <w:rsid w:val="00E7726E"/>
    <w:rsid w:val="00E80D59"/>
    <w:rsid w:val="00E81FEA"/>
    <w:rsid w:val="00E82E3F"/>
    <w:rsid w:val="00E865D7"/>
    <w:rsid w:val="00E902CD"/>
    <w:rsid w:val="00E91A08"/>
    <w:rsid w:val="00E92266"/>
    <w:rsid w:val="00E9325D"/>
    <w:rsid w:val="00E95ED4"/>
    <w:rsid w:val="00E96923"/>
    <w:rsid w:val="00E97879"/>
    <w:rsid w:val="00EA02CD"/>
    <w:rsid w:val="00EA0D46"/>
    <w:rsid w:val="00EA0E0A"/>
    <w:rsid w:val="00EA0F03"/>
    <w:rsid w:val="00EA22F5"/>
    <w:rsid w:val="00EA49E3"/>
    <w:rsid w:val="00EA5923"/>
    <w:rsid w:val="00EA6A07"/>
    <w:rsid w:val="00EA7C65"/>
    <w:rsid w:val="00EB71C4"/>
    <w:rsid w:val="00EB7614"/>
    <w:rsid w:val="00EC0742"/>
    <w:rsid w:val="00EC2B78"/>
    <w:rsid w:val="00EC2DB1"/>
    <w:rsid w:val="00EC3FDA"/>
    <w:rsid w:val="00EC5D98"/>
    <w:rsid w:val="00EC7C27"/>
    <w:rsid w:val="00ED37EC"/>
    <w:rsid w:val="00ED4241"/>
    <w:rsid w:val="00ED482E"/>
    <w:rsid w:val="00EE4E02"/>
    <w:rsid w:val="00EE603F"/>
    <w:rsid w:val="00EF15D1"/>
    <w:rsid w:val="00EF389B"/>
    <w:rsid w:val="00EF533B"/>
    <w:rsid w:val="00EF5AD1"/>
    <w:rsid w:val="00EF7EBB"/>
    <w:rsid w:val="00F00EAB"/>
    <w:rsid w:val="00F076B1"/>
    <w:rsid w:val="00F113C5"/>
    <w:rsid w:val="00F154DF"/>
    <w:rsid w:val="00F22412"/>
    <w:rsid w:val="00F242E6"/>
    <w:rsid w:val="00F269C4"/>
    <w:rsid w:val="00F32B8E"/>
    <w:rsid w:val="00F33020"/>
    <w:rsid w:val="00F33DCA"/>
    <w:rsid w:val="00F34DD6"/>
    <w:rsid w:val="00F430F4"/>
    <w:rsid w:val="00F506D3"/>
    <w:rsid w:val="00F523DF"/>
    <w:rsid w:val="00F52AAC"/>
    <w:rsid w:val="00F53066"/>
    <w:rsid w:val="00F54A77"/>
    <w:rsid w:val="00F54DAE"/>
    <w:rsid w:val="00F55A14"/>
    <w:rsid w:val="00F62039"/>
    <w:rsid w:val="00F63C29"/>
    <w:rsid w:val="00F66732"/>
    <w:rsid w:val="00F8156E"/>
    <w:rsid w:val="00F85B8B"/>
    <w:rsid w:val="00F86C2C"/>
    <w:rsid w:val="00F91461"/>
    <w:rsid w:val="00F921C6"/>
    <w:rsid w:val="00F93442"/>
    <w:rsid w:val="00FA0B42"/>
    <w:rsid w:val="00FA341D"/>
    <w:rsid w:val="00FA38B2"/>
    <w:rsid w:val="00FA59C9"/>
    <w:rsid w:val="00FA70F4"/>
    <w:rsid w:val="00FA73FC"/>
    <w:rsid w:val="00FB3B19"/>
    <w:rsid w:val="00FB51AD"/>
    <w:rsid w:val="00FB5A8E"/>
    <w:rsid w:val="00FB5BCC"/>
    <w:rsid w:val="00FB61E3"/>
    <w:rsid w:val="00FB64AF"/>
    <w:rsid w:val="00FB748A"/>
    <w:rsid w:val="00FC05AF"/>
    <w:rsid w:val="00FC1792"/>
    <w:rsid w:val="00FC46EB"/>
    <w:rsid w:val="00FC5590"/>
    <w:rsid w:val="00FD09CF"/>
    <w:rsid w:val="00FD0A9D"/>
    <w:rsid w:val="00FD4307"/>
    <w:rsid w:val="00FE0B73"/>
    <w:rsid w:val="00FE2EC5"/>
    <w:rsid w:val="00FE2F6B"/>
    <w:rsid w:val="00FE6934"/>
    <w:rsid w:val="00FE6D81"/>
    <w:rsid w:val="00FF55F2"/>
    <w:rsid w:val="00FF572B"/>
    <w:rsid w:val="00FF5829"/>
    <w:rsid w:val="00FF5B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2F9665"/>
  <w15:chartTrackingRefBased/>
  <w15:docId w15:val="{F0B01B0D-B8A8-4D51-B9D3-83389DB1A4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523DF"/>
    <w:pPr>
      <w:keepNext/>
      <w:keepLines/>
      <w:spacing w:before="240" w:line="240" w:lineRule="auto"/>
      <w:jc w:val="center"/>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9C77D6"/>
    <w:pPr>
      <w:keepNext/>
      <w:keepLines/>
      <w:spacing w:before="40"/>
      <w:outlineLvl w:val="1"/>
    </w:pPr>
    <w:rPr>
      <w:rFonts w:eastAsiaTheme="majorEastAsia" w:cstheme="majorBidi"/>
      <w:b/>
      <w:szCs w:val="26"/>
    </w:rPr>
  </w:style>
  <w:style w:type="paragraph" w:styleId="Heading3">
    <w:name w:val="heading 3"/>
    <w:basedOn w:val="Normal"/>
    <w:next w:val="Normal"/>
    <w:link w:val="Heading3Char"/>
    <w:uiPriority w:val="9"/>
    <w:unhideWhenUsed/>
    <w:qFormat/>
    <w:rsid w:val="007C79A3"/>
    <w:pPr>
      <w:keepNext/>
      <w:keepLines/>
      <w:spacing w:before="40"/>
      <w:outlineLvl w:val="2"/>
    </w:pPr>
    <w:rPr>
      <w:rFonts w:asciiTheme="majorHAnsi" w:eastAsiaTheme="majorEastAsia" w:hAnsiTheme="majorHAnsi" w:cstheme="majorBidi"/>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D275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D2759"/>
    <w:rPr>
      <w:rFonts w:ascii="Segoe UI" w:hAnsi="Segoe UI" w:cs="Segoe UI"/>
      <w:sz w:val="18"/>
      <w:szCs w:val="18"/>
    </w:rPr>
  </w:style>
  <w:style w:type="paragraph" w:styleId="Header">
    <w:name w:val="header"/>
    <w:basedOn w:val="Normal"/>
    <w:link w:val="HeaderChar"/>
    <w:uiPriority w:val="99"/>
    <w:unhideWhenUsed/>
    <w:rsid w:val="009D2759"/>
    <w:pPr>
      <w:tabs>
        <w:tab w:val="center" w:pos="4680"/>
        <w:tab w:val="right" w:pos="9360"/>
      </w:tabs>
      <w:spacing w:line="240" w:lineRule="auto"/>
    </w:pPr>
  </w:style>
  <w:style w:type="character" w:customStyle="1" w:styleId="HeaderChar">
    <w:name w:val="Header Char"/>
    <w:basedOn w:val="DefaultParagraphFont"/>
    <w:link w:val="Header"/>
    <w:uiPriority w:val="99"/>
    <w:rsid w:val="009D2759"/>
  </w:style>
  <w:style w:type="paragraph" w:styleId="Footer">
    <w:name w:val="footer"/>
    <w:basedOn w:val="Normal"/>
    <w:link w:val="FooterChar"/>
    <w:uiPriority w:val="99"/>
    <w:unhideWhenUsed/>
    <w:rsid w:val="009D2759"/>
    <w:pPr>
      <w:tabs>
        <w:tab w:val="center" w:pos="4680"/>
        <w:tab w:val="right" w:pos="9360"/>
      </w:tabs>
      <w:spacing w:line="240" w:lineRule="auto"/>
    </w:pPr>
  </w:style>
  <w:style w:type="character" w:customStyle="1" w:styleId="FooterChar">
    <w:name w:val="Footer Char"/>
    <w:basedOn w:val="DefaultParagraphFont"/>
    <w:link w:val="Footer"/>
    <w:uiPriority w:val="99"/>
    <w:rsid w:val="009D2759"/>
  </w:style>
  <w:style w:type="character" w:customStyle="1" w:styleId="Heading1Char">
    <w:name w:val="Heading 1 Char"/>
    <w:basedOn w:val="DefaultParagraphFont"/>
    <w:link w:val="Heading1"/>
    <w:uiPriority w:val="9"/>
    <w:rsid w:val="00F523DF"/>
    <w:rPr>
      <w:rFonts w:eastAsiaTheme="majorEastAsia" w:cstheme="majorBidi"/>
      <w:b/>
      <w:szCs w:val="32"/>
    </w:rPr>
  </w:style>
  <w:style w:type="character" w:customStyle="1" w:styleId="Heading2Char">
    <w:name w:val="Heading 2 Char"/>
    <w:basedOn w:val="DefaultParagraphFont"/>
    <w:link w:val="Heading2"/>
    <w:uiPriority w:val="9"/>
    <w:rsid w:val="009C77D6"/>
    <w:rPr>
      <w:rFonts w:eastAsiaTheme="majorEastAsia" w:cstheme="majorBidi"/>
      <w:b/>
      <w:szCs w:val="26"/>
    </w:rPr>
  </w:style>
  <w:style w:type="character" w:customStyle="1" w:styleId="Heading3Char">
    <w:name w:val="Heading 3 Char"/>
    <w:basedOn w:val="DefaultParagraphFont"/>
    <w:link w:val="Heading3"/>
    <w:uiPriority w:val="9"/>
    <w:rsid w:val="007C79A3"/>
    <w:rPr>
      <w:rFonts w:asciiTheme="majorHAnsi" w:eastAsiaTheme="majorEastAsia" w:hAnsiTheme="majorHAnsi" w:cstheme="majorBidi"/>
      <w:szCs w:val="24"/>
    </w:rPr>
  </w:style>
  <w:style w:type="paragraph" w:styleId="TOC1">
    <w:name w:val="toc 1"/>
    <w:basedOn w:val="Normal"/>
    <w:next w:val="Normal"/>
    <w:autoRedefine/>
    <w:uiPriority w:val="39"/>
    <w:unhideWhenUsed/>
    <w:rsid w:val="00CC3DFF"/>
    <w:pPr>
      <w:tabs>
        <w:tab w:val="right" w:leader="hyphen" w:pos="9350"/>
      </w:tabs>
      <w:spacing w:before="120" w:after="120"/>
      <w:contextualSpacing/>
    </w:pPr>
    <w:rPr>
      <w:rFonts w:cstheme="minorHAnsi"/>
      <w:bCs/>
      <w:szCs w:val="20"/>
    </w:rPr>
  </w:style>
  <w:style w:type="paragraph" w:styleId="TOC2">
    <w:name w:val="toc 2"/>
    <w:basedOn w:val="Normal"/>
    <w:next w:val="Normal"/>
    <w:autoRedefine/>
    <w:uiPriority w:val="39"/>
    <w:unhideWhenUsed/>
    <w:rsid w:val="009C77D6"/>
    <w:pPr>
      <w:spacing w:before="120"/>
      <w:ind w:left="240"/>
    </w:pPr>
    <w:rPr>
      <w:rFonts w:cstheme="minorHAnsi"/>
      <w:iCs/>
      <w:szCs w:val="20"/>
    </w:rPr>
  </w:style>
  <w:style w:type="paragraph" w:styleId="TOC3">
    <w:name w:val="toc 3"/>
    <w:basedOn w:val="Normal"/>
    <w:next w:val="Normal"/>
    <w:autoRedefine/>
    <w:uiPriority w:val="39"/>
    <w:unhideWhenUsed/>
    <w:rsid w:val="00D34712"/>
    <w:pPr>
      <w:ind w:left="480"/>
    </w:pPr>
    <w:rPr>
      <w:rFonts w:asciiTheme="minorHAnsi" w:hAnsiTheme="minorHAnsi" w:cstheme="minorHAnsi"/>
      <w:sz w:val="20"/>
      <w:szCs w:val="20"/>
    </w:rPr>
  </w:style>
  <w:style w:type="paragraph" w:styleId="TOC4">
    <w:name w:val="toc 4"/>
    <w:basedOn w:val="Normal"/>
    <w:next w:val="Normal"/>
    <w:autoRedefine/>
    <w:uiPriority w:val="39"/>
    <w:unhideWhenUsed/>
    <w:rsid w:val="00D34712"/>
    <w:pPr>
      <w:ind w:left="720"/>
    </w:pPr>
    <w:rPr>
      <w:rFonts w:asciiTheme="minorHAnsi" w:hAnsiTheme="minorHAnsi" w:cstheme="minorHAnsi"/>
      <w:sz w:val="20"/>
      <w:szCs w:val="20"/>
    </w:rPr>
  </w:style>
  <w:style w:type="paragraph" w:styleId="TOC5">
    <w:name w:val="toc 5"/>
    <w:basedOn w:val="Normal"/>
    <w:next w:val="Normal"/>
    <w:autoRedefine/>
    <w:uiPriority w:val="39"/>
    <w:unhideWhenUsed/>
    <w:rsid w:val="00D34712"/>
    <w:pPr>
      <w:ind w:left="960"/>
    </w:pPr>
    <w:rPr>
      <w:rFonts w:asciiTheme="minorHAnsi" w:hAnsiTheme="minorHAnsi" w:cstheme="minorHAnsi"/>
      <w:sz w:val="20"/>
      <w:szCs w:val="20"/>
    </w:rPr>
  </w:style>
  <w:style w:type="paragraph" w:styleId="TOC6">
    <w:name w:val="toc 6"/>
    <w:basedOn w:val="Normal"/>
    <w:next w:val="Normal"/>
    <w:autoRedefine/>
    <w:uiPriority w:val="39"/>
    <w:unhideWhenUsed/>
    <w:rsid w:val="00D34712"/>
    <w:pPr>
      <w:ind w:left="1200"/>
    </w:pPr>
    <w:rPr>
      <w:rFonts w:asciiTheme="minorHAnsi" w:hAnsiTheme="minorHAnsi" w:cstheme="minorHAnsi"/>
      <w:sz w:val="20"/>
      <w:szCs w:val="20"/>
    </w:rPr>
  </w:style>
  <w:style w:type="paragraph" w:styleId="TOC7">
    <w:name w:val="toc 7"/>
    <w:basedOn w:val="Normal"/>
    <w:next w:val="Normal"/>
    <w:autoRedefine/>
    <w:uiPriority w:val="39"/>
    <w:unhideWhenUsed/>
    <w:rsid w:val="00D34712"/>
    <w:pPr>
      <w:ind w:left="1440"/>
    </w:pPr>
    <w:rPr>
      <w:rFonts w:asciiTheme="minorHAnsi" w:hAnsiTheme="minorHAnsi" w:cstheme="minorHAnsi"/>
      <w:sz w:val="20"/>
      <w:szCs w:val="20"/>
    </w:rPr>
  </w:style>
  <w:style w:type="paragraph" w:styleId="TOC8">
    <w:name w:val="toc 8"/>
    <w:basedOn w:val="Normal"/>
    <w:next w:val="Normal"/>
    <w:autoRedefine/>
    <w:uiPriority w:val="39"/>
    <w:unhideWhenUsed/>
    <w:rsid w:val="00D34712"/>
    <w:pPr>
      <w:ind w:left="1680"/>
    </w:pPr>
    <w:rPr>
      <w:rFonts w:asciiTheme="minorHAnsi" w:hAnsiTheme="minorHAnsi" w:cstheme="minorHAnsi"/>
      <w:sz w:val="20"/>
      <w:szCs w:val="20"/>
    </w:rPr>
  </w:style>
  <w:style w:type="paragraph" w:styleId="TOC9">
    <w:name w:val="toc 9"/>
    <w:basedOn w:val="Normal"/>
    <w:next w:val="Normal"/>
    <w:autoRedefine/>
    <w:uiPriority w:val="39"/>
    <w:unhideWhenUsed/>
    <w:rsid w:val="00D34712"/>
    <w:pPr>
      <w:ind w:left="1920"/>
    </w:pPr>
    <w:rPr>
      <w:rFonts w:asciiTheme="minorHAnsi" w:hAnsiTheme="minorHAnsi" w:cstheme="minorHAnsi"/>
      <w:sz w:val="20"/>
      <w:szCs w:val="20"/>
    </w:rPr>
  </w:style>
  <w:style w:type="character" w:styleId="CommentReference">
    <w:name w:val="annotation reference"/>
    <w:basedOn w:val="DefaultParagraphFont"/>
    <w:uiPriority w:val="99"/>
    <w:semiHidden/>
    <w:unhideWhenUsed/>
    <w:rsid w:val="00083112"/>
    <w:rPr>
      <w:sz w:val="16"/>
      <w:szCs w:val="16"/>
    </w:rPr>
  </w:style>
  <w:style w:type="paragraph" w:styleId="CommentText">
    <w:name w:val="annotation text"/>
    <w:basedOn w:val="Normal"/>
    <w:link w:val="CommentTextChar"/>
    <w:uiPriority w:val="99"/>
    <w:unhideWhenUsed/>
    <w:rsid w:val="00083112"/>
    <w:pPr>
      <w:spacing w:line="240" w:lineRule="auto"/>
    </w:pPr>
    <w:rPr>
      <w:sz w:val="20"/>
      <w:szCs w:val="20"/>
    </w:rPr>
  </w:style>
  <w:style w:type="character" w:customStyle="1" w:styleId="CommentTextChar">
    <w:name w:val="Comment Text Char"/>
    <w:basedOn w:val="DefaultParagraphFont"/>
    <w:link w:val="CommentText"/>
    <w:uiPriority w:val="99"/>
    <w:rsid w:val="00083112"/>
    <w:rPr>
      <w:sz w:val="20"/>
      <w:szCs w:val="20"/>
    </w:rPr>
  </w:style>
  <w:style w:type="paragraph" w:styleId="ListParagraph">
    <w:name w:val="List Paragraph"/>
    <w:basedOn w:val="Normal"/>
    <w:uiPriority w:val="34"/>
    <w:qFormat/>
    <w:rsid w:val="0091548D"/>
    <w:pPr>
      <w:spacing w:line="259" w:lineRule="auto"/>
      <w:ind w:left="720"/>
      <w:contextualSpacing/>
    </w:pPr>
  </w:style>
  <w:style w:type="character" w:styleId="Hyperlink">
    <w:name w:val="Hyperlink"/>
    <w:basedOn w:val="DefaultParagraphFont"/>
    <w:uiPriority w:val="99"/>
    <w:unhideWhenUsed/>
    <w:rsid w:val="009E1933"/>
    <w:rPr>
      <w:color w:val="0563C1" w:themeColor="hyperlink"/>
      <w:u w:val="single"/>
    </w:rPr>
  </w:style>
  <w:style w:type="paragraph" w:styleId="CommentSubject">
    <w:name w:val="annotation subject"/>
    <w:basedOn w:val="CommentText"/>
    <w:next w:val="CommentText"/>
    <w:link w:val="CommentSubjectChar"/>
    <w:uiPriority w:val="99"/>
    <w:semiHidden/>
    <w:unhideWhenUsed/>
    <w:rsid w:val="000D5F1E"/>
    <w:rPr>
      <w:b/>
      <w:bCs/>
    </w:rPr>
  </w:style>
  <w:style w:type="character" w:customStyle="1" w:styleId="CommentSubjectChar">
    <w:name w:val="Comment Subject Char"/>
    <w:basedOn w:val="CommentTextChar"/>
    <w:link w:val="CommentSubject"/>
    <w:uiPriority w:val="99"/>
    <w:semiHidden/>
    <w:rsid w:val="000D5F1E"/>
    <w:rPr>
      <w:b/>
      <w:bCs/>
      <w:sz w:val="20"/>
      <w:szCs w:val="20"/>
    </w:rPr>
  </w:style>
  <w:style w:type="paragraph" w:styleId="FootnoteText">
    <w:name w:val="footnote text"/>
    <w:basedOn w:val="Normal"/>
    <w:link w:val="FootnoteTextChar"/>
    <w:uiPriority w:val="99"/>
    <w:semiHidden/>
    <w:unhideWhenUsed/>
    <w:rsid w:val="00F921C6"/>
    <w:pPr>
      <w:spacing w:line="240" w:lineRule="auto"/>
    </w:pPr>
    <w:rPr>
      <w:rFonts w:cs="Times New Roman"/>
      <w:sz w:val="20"/>
      <w:szCs w:val="20"/>
    </w:rPr>
  </w:style>
  <w:style w:type="character" w:customStyle="1" w:styleId="FootnoteTextChar">
    <w:name w:val="Footnote Text Char"/>
    <w:basedOn w:val="DefaultParagraphFont"/>
    <w:link w:val="FootnoteText"/>
    <w:uiPriority w:val="99"/>
    <w:semiHidden/>
    <w:rsid w:val="00F921C6"/>
    <w:rPr>
      <w:rFonts w:cs="Times New Roman"/>
      <w:sz w:val="20"/>
      <w:szCs w:val="20"/>
    </w:rPr>
  </w:style>
  <w:style w:type="character" w:styleId="FootnoteReference">
    <w:name w:val="footnote reference"/>
    <w:basedOn w:val="DefaultParagraphFont"/>
    <w:uiPriority w:val="99"/>
    <w:semiHidden/>
    <w:unhideWhenUsed/>
    <w:rsid w:val="00F921C6"/>
    <w:rPr>
      <w:vertAlign w:val="superscript"/>
    </w:rPr>
  </w:style>
  <w:style w:type="table" w:styleId="TableGrid">
    <w:name w:val="Table Grid"/>
    <w:basedOn w:val="TableNormal"/>
    <w:uiPriority w:val="39"/>
    <w:rsid w:val="00F921C6"/>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976AB7"/>
    <w:pPr>
      <w:spacing w:line="259" w:lineRule="auto"/>
      <w:jc w:val="left"/>
      <w:outlineLvl w:val="9"/>
    </w:pPr>
    <w:rPr>
      <w:rFonts w:asciiTheme="majorHAnsi" w:hAnsiTheme="majorHAnsi"/>
      <w:b w:val="0"/>
      <w:color w:val="2F5496" w:themeColor="accent1" w:themeShade="BF"/>
      <w:sz w:val="32"/>
    </w:rPr>
  </w:style>
  <w:style w:type="paragraph" w:styleId="Caption">
    <w:name w:val="caption"/>
    <w:basedOn w:val="Normal"/>
    <w:next w:val="Normal"/>
    <w:uiPriority w:val="35"/>
    <w:unhideWhenUsed/>
    <w:qFormat/>
    <w:rsid w:val="0041045C"/>
    <w:pPr>
      <w:spacing w:after="200" w:line="240" w:lineRule="auto"/>
    </w:pPr>
    <w:rPr>
      <w:iCs/>
      <w:szCs w:val="18"/>
    </w:rPr>
  </w:style>
  <w:style w:type="paragraph" w:styleId="TableofFigures">
    <w:name w:val="table of figures"/>
    <w:basedOn w:val="Normal"/>
    <w:next w:val="Normal"/>
    <w:uiPriority w:val="99"/>
    <w:unhideWhenUsed/>
    <w:rsid w:val="004104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9267864">
      <w:bodyDiv w:val="1"/>
      <w:marLeft w:val="0"/>
      <w:marRight w:val="0"/>
      <w:marTop w:val="0"/>
      <w:marBottom w:val="0"/>
      <w:divBdr>
        <w:top w:val="none" w:sz="0" w:space="0" w:color="auto"/>
        <w:left w:val="none" w:sz="0" w:space="0" w:color="auto"/>
        <w:bottom w:val="none" w:sz="0" w:space="0" w:color="auto"/>
        <w:right w:val="none" w:sz="0" w:space="0" w:color="auto"/>
      </w:divBdr>
    </w:div>
    <w:div w:id="1487090922">
      <w:bodyDiv w:val="1"/>
      <w:marLeft w:val="0"/>
      <w:marRight w:val="0"/>
      <w:marTop w:val="0"/>
      <w:marBottom w:val="0"/>
      <w:divBdr>
        <w:top w:val="none" w:sz="0" w:space="0" w:color="auto"/>
        <w:left w:val="none" w:sz="0" w:space="0" w:color="auto"/>
        <w:bottom w:val="none" w:sz="0" w:space="0" w:color="auto"/>
        <w:right w:val="none" w:sz="0" w:space="0" w:color="auto"/>
      </w:divBdr>
    </w:div>
    <w:div w:id="1828471858">
      <w:bodyDiv w:val="1"/>
      <w:marLeft w:val="0"/>
      <w:marRight w:val="0"/>
      <w:marTop w:val="0"/>
      <w:marBottom w:val="0"/>
      <w:divBdr>
        <w:top w:val="none" w:sz="0" w:space="0" w:color="auto"/>
        <w:left w:val="none" w:sz="0" w:space="0" w:color="auto"/>
        <w:bottom w:val="none" w:sz="0" w:space="0" w:color="auto"/>
        <w:right w:val="none" w:sz="0" w:space="0" w:color="auto"/>
      </w:divBdr>
    </w:div>
    <w:div w:id="1988826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doi.org/10.1080/00221546.2019.1706015" TargetMode="External"/><Relationship Id="rId18" Type="http://schemas.openxmlformats.org/officeDocument/2006/relationships/hyperlink" Target="https://doi.org/10.3102/0034654310370163" TargetMode="External"/><Relationship Id="rId26" Type="http://schemas.openxmlformats.org/officeDocument/2006/relationships/image" Target="media/image3.emf"/><Relationship Id="rId39" Type="http://schemas.openxmlformats.org/officeDocument/2006/relationships/image" Target="media/image16.png"/><Relationship Id="rId3" Type="http://schemas.openxmlformats.org/officeDocument/2006/relationships/customXml" Target="../customXml/item3.xml"/><Relationship Id="rId21" Type="http://schemas.openxmlformats.org/officeDocument/2006/relationships/hyperlink" Target="https://doi.org/10.1177/001100008100900202" TargetMode="External"/><Relationship Id="rId34" Type="http://schemas.openxmlformats.org/officeDocument/2006/relationships/image" Target="media/image11.png"/><Relationship Id="rId7" Type="http://schemas.openxmlformats.org/officeDocument/2006/relationships/settings" Target="settings.xml"/><Relationship Id="rId12" Type="http://schemas.openxmlformats.org/officeDocument/2006/relationships/hyperlink" Target="https://doi.org/10.1080/13562510701595325" TargetMode="External"/><Relationship Id="rId17" Type="http://schemas.openxmlformats.org/officeDocument/2006/relationships/hyperlink" Target="https://doi.org/10.1080/0260137022000016172" TargetMode="External"/><Relationship Id="rId25" Type="http://schemas.openxmlformats.org/officeDocument/2006/relationships/image" Target="media/image2.emf"/><Relationship Id="rId33" Type="http://schemas.openxmlformats.org/officeDocument/2006/relationships/image" Target="media/image10.png"/><Relationship Id="rId38" Type="http://schemas.openxmlformats.org/officeDocument/2006/relationships/image" Target="media/image15.png"/><Relationship Id="rId2" Type="http://schemas.openxmlformats.org/officeDocument/2006/relationships/customXml" Target="../customXml/item2.xml"/><Relationship Id="rId16" Type="http://schemas.openxmlformats.org/officeDocument/2006/relationships/hyperlink" Target="https://doi.org/10.1080/00221546.2011.11779085" TargetMode="External"/><Relationship Id="rId20" Type="http://schemas.openxmlformats.org/officeDocument/2006/relationships/hyperlink" Target="https://doi.org/10.1177/104515950801900103" TargetMode="External"/><Relationship Id="rId29" Type="http://schemas.openxmlformats.org/officeDocument/2006/relationships/image" Target="media/image6.emf"/><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image" Target="media/image1.png"/><Relationship Id="rId32" Type="http://schemas.openxmlformats.org/officeDocument/2006/relationships/image" Target="media/image9.png"/><Relationship Id="rId37" Type="http://schemas.openxmlformats.org/officeDocument/2006/relationships/image" Target="media/image14.png"/><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doi.org/10.1080/10668926.2018.1558135" TargetMode="External"/><Relationship Id="rId23" Type="http://schemas.openxmlformats.org/officeDocument/2006/relationships/hyperlink" Target="https://doi.org/10.3102/0013189X17742653" TargetMode="External"/><Relationship Id="rId28" Type="http://schemas.openxmlformats.org/officeDocument/2006/relationships/image" Target="media/image5.emf"/><Relationship Id="rId36" Type="http://schemas.openxmlformats.org/officeDocument/2006/relationships/image" Target="media/image13.png"/><Relationship Id="rId10" Type="http://schemas.openxmlformats.org/officeDocument/2006/relationships/endnotes" Target="endnotes.xml"/><Relationship Id="rId19" Type="http://schemas.openxmlformats.org/officeDocument/2006/relationships/hyperlink" Target="https://doi.org/10.1080/00221546.2009.11779022" TargetMode="External"/><Relationship Id="rId31" Type="http://schemas.openxmlformats.org/officeDocument/2006/relationships/image" Target="media/image8.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oi.org/10.1080/03075070802373040" TargetMode="External"/><Relationship Id="rId22" Type="http://schemas.openxmlformats.org/officeDocument/2006/relationships/hyperlink" Target="https://doi.org/10.1080/00221546.2004.11778896" TargetMode="External"/><Relationship Id="rId27" Type="http://schemas.openxmlformats.org/officeDocument/2006/relationships/image" Target="media/image4.emf"/><Relationship Id="rId30" Type="http://schemas.openxmlformats.org/officeDocument/2006/relationships/image" Target="media/image7.png"/><Relationship Id="rId35"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1728E533EAE394EAF18E2FD9A60B684" ma:contentTypeVersion="13" ma:contentTypeDescription="Create a new document." ma:contentTypeScope="" ma:versionID="18172c12999792470aaf5294b43f99fb">
  <xsd:schema xmlns:xsd="http://www.w3.org/2001/XMLSchema" xmlns:xs="http://www.w3.org/2001/XMLSchema" xmlns:p="http://schemas.microsoft.com/office/2006/metadata/properties" xmlns:ns3="fab5dd80-ba11-4068-8b40-212fade92722" xmlns:ns4="c7f9be0c-15ef-44bb-8add-dbf1c3978aaf" targetNamespace="http://schemas.microsoft.com/office/2006/metadata/properties" ma:root="true" ma:fieldsID="ed9c438c1b75ffdae4e4d73e3253519a" ns3:_="" ns4:_="">
    <xsd:import namespace="fab5dd80-ba11-4068-8b40-212fade92722"/>
    <xsd:import namespace="c7f9be0c-15ef-44bb-8add-dbf1c3978aaf"/>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EventHashCode" minOccurs="0"/>
                <xsd:element ref="ns3:MediaServiceGenerationTime"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b5dd80-ba11-4068-8b40-212fade92722"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7f9be0c-15ef-44bb-8add-dbf1c3978aaf"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BEC7F7-4452-46AC-BDA4-1BE60B13190A}">
  <ds:schemaRefs>
    <ds:schemaRef ds:uri="http://schemas.microsoft.com/sharepoint/v3/contenttype/forms"/>
  </ds:schemaRefs>
</ds:datastoreItem>
</file>

<file path=customXml/itemProps2.xml><?xml version="1.0" encoding="utf-8"?>
<ds:datastoreItem xmlns:ds="http://schemas.openxmlformats.org/officeDocument/2006/customXml" ds:itemID="{60F01172-328E-46DC-9CBF-4734DC06EB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b5dd80-ba11-4068-8b40-212fade92722"/>
    <ds:schemaRef ds:uri="c7f9be0c-15ef-44bb-8add-dbf1c3978a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5673624-B2D3-4968-A0F5-1F13A9CC838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2F76D86-B586-4A66-B4F2-5CD432FAD3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123</Pages>
  <Words>26609</Words>
  <Characters>151677</Characters>
  <Application>Microsoft Office Word</Application>
  <DocSecurity>0</DocSecurity>
  <Lines>1263</Lines>
  <Paragraphs>355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Collom, Gresham Donald</dc:creator>
  <cp:keywords/>
  <dc:description/>
  <cp:lastModifiedBy>Collom, Gresham Donald</cp:lastModifiedBy>
  <cp:revision>3</cp:revision>
  <cp:lastPrinted>2021-04-21T20:29:00Z</cp:lastPrinted>
  <dcterms:created xsi:type="dcterms:W3CDTF">2021-04-24T22:36:00Z</dcterms:created>
  <dcterms:modified xsi:type="dcterms:W3CDTF">2021-04-24T22:40:00Z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0x01010011728E533EAE394EAF18E2FD9A60B684</vt:lpwstr>
  </property>
</Properties>
</file>