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charts/chart1.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1C796" w14:textId="77777777" w:rsidR="00286A64" w:rsidRDefault="00286A64" w:rsidP="00E446A8">
      <w:pPr>
        <w:spacing w:line="480" w:lineRule="auto"/>
        <w:rPr>
          <w:rFonts w:ascii="Times New Roman" w:hAnsi="Times New Roman" w:cs="Times New Roman"/>
        </w:rPr>
      </w:pPr>
    </w:p>
    <w:p w14:paraId="3A6B44A5" w14:textId="77777777" w:rsidR="00BC6D6C" w:rsidRDefault="00BC6D6C" w:rsidP="00E446A8">
      <w:pPr>
        <w:spacing w:line="480" w:lineRule="auto"/>
        <w:rPr>
          <w:rFonts w:ascii="Times New Roman" w:hAnsi="Times New Roman" w:cs="Times New Roman"/>
        </w:rPr>
      </w:pPr>
    </w:p>
    <w:p w14:paraId="56F2D69F" w14:textId="77777777" w:rsidR="00BC6D6C" w:rsidRDefault="00BC6D6C" w:rsidP="00E446A8">
      <w:pPr>
        <w:spacing w:line="480" w:lineRule="auto"/>
        <w:rPr>
          <w:rFonts w:ascii="Times New Roman" w:hAnsi="Times New Roman" w:cs="Times New Roman"/>
        </w:rPr>
      </w:pPr>
    </w:p>
    <w:p w14:paraId="2028C07B" w14:textId="77777777" w:rsidR="00BC6D6C" w:rsidRDefault="00BC6D6C" w:rsidP="00E446A8">
      <w:pPr>
        <w:spacing w:line="480" w:lineRule="auto"/>
        <w:rPr>
          <w:rFonts w:ascii="Times New Roman" w:hAnsi="Times New Roman" w:cs="Times New Roman"/>
        </w:rPr>
      </w:pPr>
    </w:p>
    <w:p w14:paraId="2D57AC19" w14:textId="77777777" w:rsidR="00BC6D6C" w:rsidRDefault="00BC6D6C" w:rsidP="00E446A8">
      <w:pPr>
        <w:spacing w:line="480" w:lineRule="auto"/>
        <w:rPr>
          <w:rFonts w:ascii="Times New Roman" w:hAnsi="Times New Roman" w:cs="Times New Roman"/>
        </w:rPr>
      </w:pPr>
    </w:p>
    <w:p w14:paraId="321669CF" w14:textId="119AD181" w:rsidR="00E446A8" w:rsidRDefault="00CC0451" w:rsidP="00D731B5">
      <w:pPr>
        <w:spacing w:line="480" w:lineRule="auto"/>
        <w:jc w:val="center"/>
        <w:rPr>
          <w:rFonts w:ascii="Times New Roman" w:hAnsi="Times New Roman" w:cs="Times New Roman"/>
          <w:b/>
          <w:bCs/>
        </w:rPr>
      </w:pPr>
      <w:r w:rsidRPr="00286A64">
        <w:rPr>
          <w:rFonts w:ascii="Times New Roman" w:hAnsi="Times New Roman" w:cs="Times New Roman"/>
          <w:b/>
          <w:bCs/>
        </w:rPr>
        <w:t xml:space="preserve">Identifying Misidentifications: </w:t>
      </w:r>
      <w:r w:rsidR="00784F3E" w:rsidRPr="00286A64">
        <w:rPr>
          <w:rFonts w:ascii="Times New Roman" w:hAnsi="Times New Roman" w:cs="Times New Roman"/>
          <w:b/>
          <w:bCs/>
        </w:rPr>
        <w:t>Fordisc 3.</w:t>
      </w:r>
      <w:r w:rsidR="005474A9" w:rsidRPr="00286A64">
        <w:rPr>
          <w:rFonts w:ascii="Times New Roman" w:hAnsi="Times New Roman" w:cs="Times New Roman"/>
          <w:b/>
          <w:bCs/>
        </w:rPr>
        <w:t>1</w:t>
      </w:r>
      <w:r w:rsidR="00784F3E" w:rsidRPr="00286A64">
        <w:rPr>
          <w:rFonts w:ascii="Times New Roman" w:hAnsi="Times New Roman" w:cs="Times New Roman"/>
          <w:b/>
          <w:bCs/>
        </w:rPr>
        <w:t xml:space="preserve"> </w:t>
      </w:r>
      <w:r w:rsidR="005474A9" w:rsidRPr="00286A64">
        <w:rPr>
          <w:rFonts w:ascii="Times New Roman" w:hAnsi="Times New Roman" w:cs="Times New Roman"/>
          <w:b/>
          <w:bCs/>
        </w:rPr>
        <w:t>Application to Korean Crania</w:t>
      </w:r>
    </w:p>
    <w:p w14:paraId="44EA4783" w14:textId="77777777" w:rsidR="00E71CD2" w:rsidRDefault="00E71CD2" w:rsidP="00D731B5">
      <w:pPr>
        <w:spacing w:line="480" w:lineRule="auto"/>
        <w:jc w:val="center"/>
        <w:rPr>
          <w:rFonts w:ascii="Times New Roman" w:hAnsi="Times New Roman" w:cs="Times New Roman"/>
          <w:b/>
          <w:bCs/>
        </w:rPr>
      </w:pPr>
    </w:p>
    <w:p w14:paraId="134E9D23" w14:textId="6E170507" w:rsidR="00286A64" w:rsidRDefault="005D60C6" w:rsidP="00D731B5">
      <w:pPr>
        <w:spacing w:line="480" w:lineRule="auto"/>
        <w:jc w:val="center"/>
        <w:rPr>
          <w:rFonts w:ascii="Times New Roman" w:hAnsi="Times New Roman" w:cs="Times New Roman"/>
        </w:rPr>
      </w:pPr>
      <w:r>
        <w:rPr>
          <w:rFonts w:ascii="Times New Roman" w:hAnsi="Times New Roman" w:cs="Times New Roman"/>
        </w:rPr>
        <w:t>Addison N. Springer</w:t>
      </w:r>
    </w:p>
    <w:p w14:paraId="2A8E6227" w14:textId="5EC14A96" w:rsidR="005D60C6" w:rsidRDefault="005D60C6" w:rsidP="00D731B5">
      <w:pPr>
        <w:spacing w:line="480" w:lineRule="auto"/>
        <w:jc w:val="center"/>
        <w:rPr>
          <w:rFonts w:ascii="Times New Roman" w:hAnsi="Times New Roman" w:cs="Times New Roman"/>
        </w:rPr>
      </w:pPr>
      <w:r>
        <w:rPr>
          <w:rFonts w:ascii="Times New Roman" w:hAnsi="Times New Roman" w:cs="Times New Roman"/>
        </w:rPr>
        <w:t>Department of Anthropology</w:t>
      </w:r>
      <w:r w:rsidR="00422DF3">
        <w:rPr>
          <w:rFonts w:ascii="Times New Roman" w:hAnsi="Times New Roman" w:cs="Times New Roman"/>
        </w:rPr>
        <w:t>, University of Tennessee</w:t>
      </w:r>
    </w:p>
    <w:p w14:paraId="04BAED55" w14:textId="587F1CF2" w:rsidR="00422DF3" w:rsidRPr="005D60C6" w:rsidRDefault="00BC6D6C" w:rsidP="00D731B5">
      <w:pPr>
        <w:spacing w:line="480" w:lineRule="auto"/>
        <w:jc w:val="center"/>
        <w:rPr>
          <w:rFonts w:ascii="Times New Roman" w:hAnsi="Times New Roman" w:cs="Times New Roman"/>
        </w:rPr>
      </w:pPr>
      <w:r>
        <w:rPr>
          <w:rFonts w:ascii="Times New Roman" w:hAnsi="Times New Roman" w:cs="Times New Roman"/>
        </w:rPr>
        <w:t>May 15, 2025</w:t>
      </w:r>
    </w:p>
    <w:p w14:paraId="6E6DF1CC" w14:textId="77777777" w:rsidR="00286A64" w:rsidRDefault="00286A64" w:rsidP="00D731B5">
      <w:pPr>
        <w:spacing w:line="480" w:lineRule="auto"/>
        <w:rPr>
          <w:rFonts w:ascii="Times New Roman" w:hAnsi="Times New Roman" w:cs="Times New Roman"/>
        </w:rPr>
      </w:pPr>
    </w:p>
    <w:p w14:paraId="1B7FA3C9" w14:textId="77777777" w:rsidR="00286A64" w:rsidRDefault="00286A64" w:rsidP="00D731B5">
      <w:pPr>
        <w:spacing w:line="480" w:lineRule="auto"/>
        <w:rPr>
          <w:rFonts w:ascii="Times New Roman" w:hAnsi="Times New Roman" w:cs="Times New Roman"/>
        </w:rPr>
      </w:pPr>
    </w:p>
    <w:p w14:paraId="47A119B1" w14:textId="77777777" w:rsidR="00286A64" w:rsidRDefault="00286A64" w:rsidP="00D731B5">
      <w:pPr>
        <w:spacing w:line="480" w:lineRule="auto"/>
        <w:rPr>
          <w:rFonts w:ascii="Times New Roman" w:hAnsi="Times New Roman" w:cs="Times New Roman"/>
        </w:rPr>
      </w:pPr>
    </w:p>
    <w:p w14:paraId="257A8D47" w14:textId="77777777" w:rsidR="00286A64" w:rsidRDefault="00286A64" w:rsidP="00D731B5">
      <w:pPr>
        <w:spacing w:line="480" w:lineRule="auto"/>
        <w:rPr>
          <w:rFonts w:ascii="Times New Roman" w:hAnsi="Times New Roman" w:cs="Times New Roman"/>
        </w:rPr>
      </w:pPr>
    </w:p>
    <w:p w14:paraId="057405BB" w14:textId="77777777" w:rsidR="00286A64" w:rsidRDefault="00286A64" w:rsidP="00D731B5">
      <w:pPr>
        <w:spacing w:line="480" w:lineRule="auto"/>
        <w:rPr>
          <w:rFonts w:ascii="Times New Roman" w:hAnsi="Times New Roman" w:cs="Times New Roman"/>
        </w:rPr>
      </w:pPr>
    </w:p>
    <w:p w14:paraId="304902C1" w14:textId="77777777" w:rsidR="00286A64" w:rsidRDefault="00286A64" w:rsidP="00D731B5">
      <w:pPr>
        <w:spacing w:line="480" w:lineRule="auto"/>
        <w:rPr>
          <w:rFonts w:ascii="Times New Roman" w:hAnsi="Times New Roman" w:cs="Times New Roman"/>
        </w:rPr>
      </w:pPr>
    </w:p>
    <w:p w14:paraId="7B349C21" w14:textId="77777777" w:rsidR="00286A64" w:rsidRDefault="00286A64" w:rsidP="00D731B5">
      <w:pPr>
        <w:spacing w:line="480" w:lineRule="auto"/>
        <w:rPr>
          <w:rFonts w:ascii="Times New Roman" w:hAnsi="Times New Roman" w:cs="Times New Roman"/>
        </w:rPr>
      </w:pPr>
    </w:p>
    <w:p w14:paraId="56F72565" w14:textId="77777777" w:rsidR="00BC6D6C" w:rsidRDefault="00BC6D6C" w:rsidP="00D731B5">
      <w:pPr>
        <w:spacing w:line="480" w:lineRule="auto"/>
        <w:rPr>
          <w:rFonts w:ascii="Times New Roman" w:hAnsi="Times New Roman" w:cs="Times New Roman"/>
        </w:rPr>
      </w:pPr>
    </w:p>
    <w:p w14:paraId="313EBBF0" w14:textId="3EE0F3D6" w:rsidR="00E446A8" w:rsidRPr="00D416D4" w:rsidRDefault="00D731B5" w:rsidP="00D416D4">
      <w:pPr>
        <w:spacing w:line="480" w:lineRule="auto"/>
        <w:jc w:val="center"/>
        <w:rPr>
          <w:rFonts w:ascii="Times New Roman" w:hAnsi="Times New Roman" w:cs="Times New Roman"/>
          <w:b/>
          <w:bCs/>
        </w:rPr>
      </w:pPr>
      <w:r w:rsidRPr="00D416D4">
        <w:rPr>
          <w:rFonts w:ascii="Times New Roman" w:hAnsi="Times New Roman" w:cs="Times New Roman"/>
          <w:b/>
          <w:bCs/>
        </w:rPr>
        <w:lastRenderedPageBreak/>
        <w:t>Abstract</w:t>
      </w:r>
    </w:p>
    <w:p w14:paraId="048E7C3A" w14:textId="77777777" w:rsidR="00D731B5" w:rsidRDefault="00D731B5" w:rsidP="00D731B5">
      <w:pPr>
        <w:spacing w:line="480" w:lineRule="auto"/>
        <w:ind w:firstLine="720"/>
        <w:rPr>
          <w:rFonts w:ascii="Times New Roman" w:hAnsi="Times New Roman" w:cs="Times New Roman"/>
        </w:rPr>
      </w:pPr>
      <w:r>
        <w:rPr>
          <w:rFonts w:ascii="Times New Roman" w:hAnsi="Times New Roman" w:cs="Times New Roman"/>
        </w:rPr>
        <w:t>W</w:t>
      </w:r>
      <w:r w:rsidRPr="000B45C1">
        <w:rPr>
          <w:rFonts w:ascii="Times New Roman" w:hAnsi="Times New Roman" w:cs="Times New Roman"/>
        </w:rPr>
        <w:t>hen cases are of unknown identity or race, determining the population of the individual significantly increases the chances of determining the identity of that victim.</w:t>
      </w:r>
      <w:r>
        <w:rPr>
          <w:rFonts w:ascii="Times New Roman" w:hAnsi="Times New Roman" w:cs="Times New Roman"/>
        </w:rPr>
        <w:t xml:space="preserve"> Forensic anthropologists have been using skeletal methods to estimate population affinity for decades. </w:t>
      </w:r>
      <w:r w:rsidRPr="005B3FEF">
        <w:rPr>
          <w:rFonts w:ascii="Times New Roman" w:hAnsi="Times New Roman" w:cs="Times New Roman"/>
        </w:rPr>
        <w:t>Fordisc (Jantz and Ousley 2005) is the primary method used by forensic anthropologists when building</w:t>
      </w:r>
      <w:r>
        <w:rPr>
          <w:rFonts w:ascii="Times New Roman" w:hAnsi="Times New Roman" w:cs="Times New Roman"/>
        </w:rPr>
        <w:t xml:space="preserve"> </w:t>
      </w:r>
      <w:r w:rsidRPr="005B3FEF">
        <w:rPr>
          <w:rFonts w:ascii="Times New Roman" w:hAnsi="Times New Roman" w:cs="Times New Roman"/>
        </w:rPr>
        <w:t>biological profiles</w:t>
      </w:r>
      <w:r>
        <w:rPr>
          <w:rFonts w:ascii="Times New Roman" w:hAnsi="Times New Roman" w:cs="Times New Roman"/>
        </w:rPr>
        <w:t xml:space="preserve"> for forensic cases</w:t>
      </w:r>
      <w:r w:rsidRPr="005B3FEF">
        <w:rPr>
          <w:rFonts w:ascii="Times New Roman" w:hAnsi="Times New Roman" w:cs="Times New Roman"/>
        </w:rPr>
        <w:t>.</w:t>
      </w:r>
      <w:r>
        <w:rPr>
          <w:rFonts w:ascii="Times New Roman" w:hAnsi="Times New Roman" w:cs="Times New Roman"/>
        </w:rPr>
        <w:t xml:space="preserve"> The results from Fordisc are assumed by users to be accurate, however, Fordisc can often yield misleading results or incorrect affinities. This means that the use of Fordisc to estimate population affinity is potentially misleading the biological profiles of forensic cases. </w:t>
      </w:r>
      <w:r w:rsidRPr="00BB2A10">
        <w:rPr>
          <w:rFonts w:ascii="Times New Roman" w:hAnsi="Times New Roman" w:cs="Times New Roman"/>
        </w:rPr>
        <w:t>Fordisc has only thirteen populations to compare cranial measurements</w:t>
      </w:r>
      <w:r>
        <w:rPr>
          <w:rFonts w:ascii="Times New Roman" w:hAnsi="Times New Roman" w:cs="Times New Roman"/>
        </w:rPr>
        <w:t xml:space="preserve"> to (five female and eight male), so if a case is outside of those populations, it is impossible for Fordisc (Jantz and Ousley 2005) to provide an accurate affinity. This study aims to find a pattern in the outputs produced when the cranial measurements are from a population not within the populations available. The measurements of 365 cases, 219 males and 146 females, were provided by the National Forensic Service in South Korea for use in this study. The craniometric data will be entered in the application following standard protocols. We expect the craniometric data to yield low probabilities or indecisive results. We hypothesize that the cranial measurements will affiliate with Japanese, Guatemalan, and Chinese crania due to the close regions and morphological history of the populations. We will conduct a statistical analysis of the typicality probabilities and posterior probabilities provided to find potential patterns in the output that indicate the affiliation could be </w:t>
      </w:r>
      <w:r w:rsidRPr="000017DA">
        <w:rPr>
          <w:rFonts w:ascii="Times New Roman" w:hAnsi="Times New Roman" w:cs="Times New Roman"/>
        </w:rPr>
        <w:t>incorrect.</w:t>
      </w:r>
      <w:r>
        <w:rPr>
          <w:rFonts w:ascii="Times New Roman" w:hAnsi="Times New Roman" w:cs="Times New Roman"/>
        </w:rPr>
        <w:t xml:space="preserve">  Even though we are unable to fix the programming of the application, if forensic anthropologists can begin to notice the possibility of misleading outputs, then the biological profiles will not be impeding the investigations. </w:t>
      </w:r>
    </w:p>
    <w:p w14:paraId="4884B645" w14:textId="77777777" w:rsidR="00D416D4" w:rsidRDefault="00D416D4" w:rsidP="00D416D4">
      <w:pPr>
        <w:spacing w:line="480" w:lineRule="auto"/>
        <w:ind w:firstLine="720"/>
        <w:rPr>
          <w:rFonts w:ascii="Times New Roman" w:hAnsi="Times New Roman" w:cs="Times New Roman"/>
        </w:rPr>
      </w:pPr>
      <w:r w:rsidRPr="00D416D4">
        <w:rPr>
          <w:rFonts w:ascii="Times New Roman" w:hAnsi="Times New Roman" w:cs="Times New Roman"/>
          <w:i/>
          <w:iCs/>
        </w:rPr>
        <w:t>Keywords</w:t>
      </w:r>
      <w:r>
        <w:rPr>
          <w:rFonts w:ascii="Times New Roman" w:hAnsi="Times New Roman" w:cs="Times New Roman"/>
          <w:i/>
          <w:iCs/>
        </w:rPr>
        <w:t xml:space="preserve">: </w:t>
      </w:r>
      <w:r>
        <w:rPr>
          <w:rFonts w:ascii="Times New Roman" w:hAnsi="Times New Roman" w:cs="Times New Roman"/>
        </w:rPr>
        <w:t>Population affinity, Fordisc</w:t>
      </w:r>
    </w:p>
    <w:p w14:paraId="5C3945B6" w14:textId="26F632FB" w:rsidR="00C6598C" w:rsidRDefault="00C6598C" w:rsidP="00C6598C">
      <w:pPr>
        <w:spacing w:line="480" w:lineRule="auto"/>
        <w:jc w:val="center"/>
        <w:rPr>
          <w:rFonts w:ascii="Times New Roman" w:hAnsi="Times New Roman" w:cs="Times New Roman"/>
          <w:b/>
          <w:bCs/>
        </w:rPr>
      </w:pPr>
      <w:r>
        <w:rPr>
          <w:rFonts w:ascii="Times New Roman" w:hAnsi="Times New Roman" w:cs="Times New Roman"/>
          <w:b/>
          <w:bCs/>
        </w:rPr>
        <w:lastRenderedPageBreak/>
        <w:t>Identifying Misidentifications: Fordisc 3.1 Application to Korean Crania</w:t>
      </w:r>
    </w:p>
    <w:p w14:paraId="2536C6DE" w14:textId="63D0CC44" w:rsidR="000D0288" w:rsidRDefault="00B17E32" w:rsidP="00D87D74">
      <w:pPr>
        <w:spacing w:line="480" w:lineRule="auto"/>
        <w:ind w:firstLine="720"/>
        <w:rPr>
          <w:rFonts w:ascii="Times New Roman" w:hAnsi="Times New Roman" w:cs="Times New Roman"/>
        </w:rPr>
      </w:pPr>
      <w:r>
        <w:rPr>
          <w:rFonts w:ascii="Times New Roman" w:hAnsi="Times New Roman" w:cs="Times New Roman"/>
        </w:rPr>
        <w:t xml:space="preserve">According to the </w:t>
      </w:r>
      <w:r w:rsidR="00B2351A">
        <w:rPr>
          <w:rFonts w:ascii="Times New Roman" w:hAnsi="Times New Roman" w:cs="Times New Roman"/>
        </w:rPr>
        <w:t xml:space="preserve">Federal Bureau of Investigation’s Crime </w:t>
      </w:r>
      <w:r w:rsidR="002E52BF">
        <w:rPr>
          <w:rFonts w:ascii="Times New Roman" w:hAnsi="Times New Roman" w:cs="Times New Roman"/>
        </w:rPr>
        <w:t>Data Explorer (CDE) there were 14, 195 homicide victims</w:t>
      </w:r>
      <w:r w:rsidR="00794828">
        <w:rPr>
          <w:rFonts w:ascii="Times New Roman" w:hAnsi="Times New Roman" w:cs="Times New Roman"/>
        </w:rPr>
        <w:t xml:space="preserve"> in 2024</w:t>
      </w:r>
      <w:r w:rsidR="00B90446">
        <w:rPr>
          <w:rFonts w:ascii="Times New Roman" w:hAnsi="Times New Roman" w:cs="Times New Roman"/>
        </w:rPr>
        <w:t xml:space="preserve">, of </w:t>
      </w:r>
      <w:r w:rsidR="008818BA">
        <w:rPr>
          <w:rFonts w:ascii="Times New Roman" w:hAnsi="Times New Roman" w:cs="Times New Roman"/>
        </w:rPr>
        <w:t>which</w:t>
      </w:r>
      <w:r w:rsidR="00985565">
        <w:rPr>
          <w:rFonts w:ascii="Times New Roman" w:hAnsi="Times New Roman" w:cs="Times New Roman"/>
        </w:rPr>
        <w:t xml:space="preserve"> 454 </w:t>
      </w:r>
      <w:r w:rsidR="00B90446">
        <w:rPr>
          <w:rFonts w:ascii="Times New Roman" w:hAnsi="Times New Roman" w:cs="Times New Roman"/>
        </w:rPr>
        <w:t>remained unidentified</w:t>
      </w:r>
      <w:r w:rsidR="008818BA">
        <w:rPr>
          <w:rFonts w:ascii="Times New Roman" w:hAnsi="Times New Roman" w:cs="Times New Roman"/>
        </w:rPr>
        <w:t xml:space="preserve"> (CDE, 2024)</w:t>
      </w:r>
      <w:r w:rsidR="00B90446">
        <w:rPr>
          <w:rFonts w:ascii="Times New Roman" w:hAnsi="Times New Roman" w:cs="Times New Roman"/>
        </w:rPr>
        <w:t xml:space="preserve">. </w:t>
      </w:r>
      <w:r w:rsidR="00E31D10">
        <w:rPr>
          <w:rFonts w:ascii="Times New Roman" w:hAnsi="Times New Roman" w:cs="Times New Roman"/>
        </w:rPr>
        <w:t>The National Missing and Unidentified Persons Systems (N</w:t>
      </w:r>
      <w:r w:rsidR="008818BA">
        <w:rPr>
          <w:rFonts w:ascii="Times New Roman" w:hAnsi="Times New Roman" w:cs="Times New Roman"/>
        </w:rPr>
        <w:t>am</w:t>
      </w:r>
      <w:r w:rsidR="00E31D10">
        <w:rPr>
          <w:rFonts w:ascii="Times New Roman" w:hAnsi="Times New Roman" w:cs="Times New Roman"/>
        </w:rPr>
        <w:t>U</w:t>
      </w:r>
      <w:r w:rsidR="008818BA">
        <w:rPr>
          <w:rFonts w:ascii="Times New Roman" w:hAnsi="Times New Roman" w:cs="Times New Roman"/>
        </w:rPr>
        <w:t>s</w:t>
      </w:r>
      <w:r w:rsidR="0080186C">
        <w:rPr>
          <w:rFonts w:ascii="Times New Roman" w:hAnsi="Times New Roman" w:cs="Times New Roman"/>
        </w:rPr>
        <w:t xml:space="preserve">) </w:t>
      </w:r>
      <w:r w:rsidR="008818BA">
        <w:rPr>
          <w:rFonts w:ascii="Times New Roman" w:hAnsi="Times New Roman" w:cs="Times New Roman"/>
        </w:rPr>
        <w:t xml:space="preserve">reported </w:t>
      </w:r>
      <w:r w:rsidR="002A2BF4">
        <w:rPr>
          <w:rFonts w:ascii="Times New Roman" w:hAnsi="Times New Roman" w:cs="Times New Roman"/>
        </w:rPr>
        <w:t xml:space="preserve">over 15,000 active unidentified persons cases as </w:t>
      </w:r>
      <w:r w:rsidR="005D3050">
        <w:rPr>
          <w:rFonts w:ascii="Times New Roman" w:hAnsi="Times New Roman" w:cs="Times New Roman"/>
        </w:rPr>
        <w:t>of July</w:t>
      </w:r>
      <w:r w:rsidR="00A665F0">
        <w:rPr>
          <w:rFonts w:ascii="Times New Roman" w:hAnsi="Times New Roman" w:cs="Times New Roman"/>
        </w:rPr>
        <w:t xml:space="preserve"> 2024</w:t>
      </w:r>
      <w:r w:rsidR="008818BA">
        <w:rPr>
          <w:rFonts w:ascii="Times New Roman" w:hAnsi="Times New Roman" w:cs="Times New Roman"/>
        </w:rPr>
        <w:t xml:space="preserve">, with </w:t>
      </w:r>
      <w:r w:rsidR="001C6DEE">
        <w:rPr>
          <w:rFonts w:ascii="Times New Roman" w:hAnsi="Times New Roman" w:cs="Times New Roman"/>
        </w:rPr>
        <w:t xml:space="preserve">24% </w:t>
      </w:r>
      <w:r w:rsidR="008818BA">
        <w:rPr>
          <w:rFonts w:ascii="Times New Roman" w:hAnsi="Times New Roman" w:cs="Times New Roman"/>
        </w:rPr>
        <w:t xml:space="preserve">lacking a clear </w:t>
      </w:r>
      <w:r w:rsidR="001C6DEE">
        <w:rPr>
          <w:rFonts w:ascii="Times New Roman" w:hAnsi="Times New Roman" w:cs="Times New Roman"/>
        </w:rPr>
        <w:t>population</w:t>
      </w:r>
      <w:r w:rsidR="008818BA">
        <w:rPr>
          <w:rFonts w:ascii="Times New Roman" w:hAnsi="Times New Roman" w:cs="Times New Roman"/>
        </w:rPr>
        <w:t xml:space="preserve"> affiliation</w:t>
      </w:r>
      <w:r w:rsidR="001C6DEE">
        <w:rPr>
          <w:rFonts w:ascii="Times New Roman" w:hAnsi="Times New Roman" w:cs="Times New Roman"/>
        </w:rPr>
        <w:t xml:space="preserve">. </w:t>
      </w:r>
      <w:r w:rsidR="00D87D74">
        <w:rPr>
          <w:rFonts w:ascii="Times New Roman" w:hAnsi="Times New Roman" w:cs="Times New Roman"/>
        </w:rPr>
        <w:t xml:space="preserve">Forensic anthropology is the application of modern biological and physical anthropological methods to unidentified remains that aids law enforcement in their identification efforts. </w:t>
      </w:r>
      <w:r w:rsidR="005D3050">
        <w:rPr>
          <w:rFonts w:ascii="Times New Roman" w:hAnsi="Times New Roman" w:cs="Times New Roman"/>
        </w:rPr>
        <w:t>T</w:t>
      </w:r>
      <w:r w:rsidR="00304DC4">
        <w:rPr>
          <w:rFonts w:ascii="Times New Roman" w:hAnsi="Times New Roman" w:cs="Times New Roman"/>
        </w:rPr>
        <w:t>he</w:t>
      </w:r>
      <w:r w:rsidR="000E610D">
        <w:rPr>
          <w:rFonts w:ascii="Times New Roman" w:hAnsi="Times New Roman" w:cs="Times New Roman"/>
        </w:rPr>
        <w:t xml:space="preserve"> primary</w:t>
      </w:r>
      <w:r w:rsidR="00304DC4">
        <w:rPr>
          <w:rFonts w:ascii="Times New Roman" w:hAnsi="Times New Roman" w:cs="Times New Roman"/>
        </w:rPr>
        <w:t xml:space="preserve"> role of a forensic anthropologist </w:t>
      </w:r>
      <w:r w:rsidR="004C02CF">
        <w:rPr>
          <w:rFonts w:ascii="Times New Roman" w:hAnsi="Times New Roman" w:cs="Times New Roman"/>
        </w:rPr>
        <w:t xml:space="preserve">(FA) </w:t>
      </w:r>
      <w:r w:rsidR="00304DC4">
        <w:rPr>
          <w:rFonts w:ascii="Times New Roman" w:hAnsi="Times New Roman" w:cs="Times New Roman"/>
        </w:rPr>
        <w:t>is to build</w:t>
      </w:r>
      <w:r w:rsidR="005D3050">
        <w:rPr>
          <w:rFonts w:ascii="Times New Roman" w:hAnsi="Times New Roman" w:cs="Times New Roman"/>
        </w:rPr>
        <w:t xml:space="preserve"> a biological profile that consists </w:t>
      </w:r>
      <w:r w:rsidR="00150674">
        <w:rPr>
          <w:rFonts w:ascii="Times New Roman" w:hAnsi="Times New Roman" w:cs="Times New Roman"/>
        </w:rPr>
        <w:t>of age</w:t>
      </w:r>
      <w:r w:rsidR="005D3050">
        <w:rPr>
          <w:rFonts w:ascii="Times New Roman" w:hAnsi="Times New Roman" w:cs="Times New Roman"/>
        </w:rPr>
        <w:t>, sex, stature, and population affinity estimation</w:t>
      </w:r>
      <w:r w:rsidR="000E610D">
        <w:rPr>
          <w:rFonts w:ascii="Times New Roman" w:hAnsi="Times New Roman" w:cs="Times New Roman"/>
        </w:rPr>
        <w:t>s</w:t>
      </w:r>
      <w:r w:rsidR="005D3050">
        <w:rPr>
          <w:rFonts w:ascii="Times New Roman" w:hAnsi="Times New Roman" w:cs="Times New Roman"/>
        </w:rPr>
        <w:t>. These estimations are done through metric and morphological methods and help law enforcement narrow their search parameters</w:t>
      </w:r>
      <w:r w:rsidR="000E610D">
        <w:rPr>
          <w:rFonts w:ascii="Times New Roman" w:hAnsi="Times New Roman" w:cs="Times New Roman"/>
        </w:rPr>
        <w:t xml:space="preserve"> to improve identification outcomes</w:t>
      </w:r>
      <w:r w:rsidR="005D3050">
        <w:rPr>
          <w:rFonts w:ascii="Times New Roman" w:hAnsi="Times New Roman" w:cs="Times New Roman"/>
        </w:rPr>
        <w:t>.</w:t>
      </w:r>
      <w:r w:rsidR="00304DC4">
        <w:rPr>
          <w:rFonts w:ascii="Times New Roman" w:hAnsi="Times New Roman" w:cs="Times New Roman"/>
        </w:rPr>
        <w:t xml:space="preserve"> Population affinity is a crucial factor when it comes to searching for these identitie</w:t>
      </w:r>
      <w:r w:rsidR="004C02CF">
        <w:rPr>
          <w:rFonts w:ascii="Times New Roman" w:hAnsi="Times New Roman" w:cs="Times New Roman"/>
        </w:rPr>
        <w:t xml:space="preserve">s. </w:t>
      </w:r>
      <w:r w:rsidR="00F85054">
        <w:rPr>
          <w:rFonts w:ascii="Times New Roman" w:hAnsi="Times New Roman" w:cs="Times New Roman"/>
        </w:rPr>
        <w:t xml:space="preserve">When FAs are making these </w:t>
      </w:r>
      <w:r w:rsidR="005D165B">
        <w:rPr>
          <w:rFonts w:ascii="Times New Roman" w:hAnsi="Times New Roman" w:cs="Times New Roman"/>
        </w:rPr>
        <w:t>estimations,</w:t>
      </w:r>
      <w:r w:rsidR="00F85054">
        <w:rPr>
          <w:rFonts w:ascii="Times New Roman" w:hAnsi="Times New Roman" w:cs="Times New Roman"/>
        </w:rPr>
        <w:t xml:space="preserve"> the</w:t>
      </w:r>
      <w:r w:rsidR="00942764">
        <w:rPr>
          <w:rFonts w:ascii="Times New Roman" w:hAnsi="Times New Roman" w:cs="Times New Roman"/>
        </w:rPr>
        <w:t xml:space="preserve">y are trying to provide the most accurate information </w:t>
      </w:r>
      <w:r w:rsidR="00931617">
        <w:rPr>
          <w:rFonts w:ascii="Times New Roman" w:hAnsi="Times New Roman" w:cs="Times New Roman"/>
        </w:rPr>
        <w:t>possible</w:t>
      </w:r>
      <w:r w:rsidR="0061300C">
        <w:rPr>
          <w:rFonts w:ascii="Times New Roman" w:hAnsi="Times New Roman" w:cs="Times New Roman"/>
        </w:rPr>
        <w:t>, h</w:t>
      </w:r>
      <w:r w:rsidR="00931617">
        <w:rPr>
          <w:rFonts w:ascii="Times New Roman" w:hAnsi="Times New Roman" w:cs="Times New Roman"/>
        </w:rPr>
        <w:t xml:space="preserve">owever, the methods they use </w:t>
      </w:r>
      <w:r w:rsidR="00DB216A">
        <w:rPr>
          <w:rFonts w:ascii="Times New Roman" w:hAnsi="Times New Roman" w:cs="Times New Roman"/>
        </w:rPr>
        <w:t xml:space="preserve">can often have high error rates. </w:t>
      </w:r>
      <w:r w:rsidR="00D87D74">
        <w:rPr>
          <w:rFonts w:ascii="Times New Roman" w:hAnsi="Times New Roman" w:cs="Times New Roman"/>
        </w:rPr>
        <w:t xml:space="preserve">When the </w:t>
      </w:r>
      <w:r w:rsidR="008F7720">
        <w:rPr>
          <w:rFonts w:ascii="Times New Roman" w:hAnsi="Times New Roman" w:cs="Times New Roman"/>
        </w:rPr>
        <w:t>outcomes of these methods result in misclassifications it can be detrimental to search efforts</w:t>
      </w:r>
      <w:r w:rsidR="00974EDB">
        <w:rPr>
          <w:rFonts w:ascii="Times New Roman" w:hAnsi="Times New Roman" w:cs="Times New Roman"/>
        </w:rPr>
        <w:t xml:space="preserve"> and skew age, sex, and stature estimations as well. </w:t>
      </w:r>
    </w:p>
    <w:p w14:paraId="47165A2A" w14:textId="3F4C5AD2" w:rsidR="00925115" w:rsidRDefault="004C02CF" w:rsidP="006F3820">
      <w:pPr>
        <w:spacing w:line="480" w:lineRule="auto"/>
        <w:rPr>
          <w:rFonts w:ascii="Times New Roman" w:hAnsi="Times New Roman" w:cs="Times New Roman"/>
        </w:rPr>
      </w:pPr>
      <w:r>
        <w:rPr>
          <w:rFonts w:ascii="Times New Roman" w:hAnsi="Times New Roman" w:cs="Times New Roman"/>
        </w:rPr>
        <w:tab/>
        <w:t>One of the most popular methods used by FA</w:t>
      </w:r>
      <w:r w:rsidR="0019541C">
        <w:rPr>
          <w:rFonts w:ascii="Times New Roman" w:hAnsi="Times New Roman" w:cs="Times New Roman"/>
        </w:rPr>
        <w:t>s is Fordisc</w:t>
      </w:r>
      <w:r w:rsidR="00DB216A">
        <w:rPr>
          <w:rFonts w:ascii="Times New Roman" w:hAnsi="Times New Roman" w:cs="Times New Roman"/>
        </w:rPr>
        <w:t>, a</w:t>
      </w:r>
      <w:r w:rsidR="0019541C">
        <w:rPr>
          <w:rFonts w:ascii="Times New Roman" w:hAnsi="Times New Roman" w:cs="Times New Roman"/>
        </w:rPr>
        <w:t xml:space="preserve">n application </w:t>
      </w:r>
      <w:r w:rsidR="000E610D">
        <w:rPr>
          <w:rFonts w:ascii="Times New Roman" w:hAnsi="Times New Roman" w:cs="Times New Roman"/>
        </w:rPr>
        <w:t>developed</w:t>
      </w:r>
      <w:r w:rsidR="0019541C">
        <w:rPr>
          <w:rFonts w:ascii="Times New Roman" w:hAnsi="Times New Roman" w:cs="Times New Roman"/>
        </w:rPr>
        <w:t xml:space="preserve"> </w:t>
      </w:r>
      <w:r w:rsidR="005D1A65">
        <w:rPr>
          <w:rFonts w:ascii="Times New Roman" w:hAnsi="Times New Roman" w:cs="Times New Roman"/>
        </w:rPr>
        <w:t>by</w:t>
      </w:r>
      <w:r w:rsidR="0019541C">
        <w:rPr>
          <w:rFonts w:ascii="Times New Roman" w:hAnsi="Times New Roman" w:cs="Times New Roman"/>
        </w:rPr>
        <w:t xml:space="preserve"> Drs. Jantz and Ousley at the University of Tennessee. The program </w:t>
      </w:r>
      <w:r w:rsidR="00FF3C3C">
        <w:rPr>
          <w:rFonts w:ascii="Times New Roman" w:hAnsi="Times New Roman" w:cs="Times New Roman"/>
        </w:rPr>
        <w:t xml:space="preserve">uses 42 standardized </w:t>
      </w:r>
      <w:r w:rsidR="009F27BA">
        <w:rPr>
          <w:rFonts w:ascii="Times New Roman" w:hAnsi="Times New Roman" w:cs="Times New Roman"/>
        </w:rPr>
        <w:t xml:space="preserve">cranial </w:t>
      </w:r>
      <w:r w:rsidR="00FF3C3C">
        <w:rPr>
          <w:rFonts w:ascii="Times New Roman" w:hAnsi="Times New Roman" w:cs="Times New Roman"/>
        </w:rPr>
        <w:t>measurements and runs them through a discriminant function analysis</w:t>
      </w:r>
      <w:r w:rsidR="009F27BA">
        <w:rPr>
          <w:rFonts w:ascii="Times New Roman" w:hAnsi="Times New Roman" w:cs="Times New Roman"/>
        </w:rPr>
        <w:t xml:space="preserve"> to compare them to a reference database</w:t>
      </w:r>
      <w:r w:rsidR="00FF3C3C">
        <w:rPr>
          <w:rFonts w:ascii="Times New Roman" w:hAnsi="Times New Roman" w:cs="Times New Roman"/>
        </w:rPr>
        <w:t xml:space="preserve">. </w:t>
      </w:r>
      <w:r w:rsidR="009F27BA">
        <w:rPr>
          <w:rFonts w:ascii="Times New Roman" w:hAnsi="Times New Roman" w:cs="Times New Roman"/>
        </w:rPr>
        <w:t xml:space="preserve">This </w:t>
      </w:r>
      <w:r w:rsidR="008A4C9E">
        <w:rPr>
          <w:rFonts w:ascii="Times New Roman" w:hAnsi="Times New Roman" w:cs="Times New Roman"/>
        </w:rPr>
        <w:t xml:space="preserve">predicts whether </w:t>
      </w:r>
      <w:r w:rsidR="009F27BA">
        <w:rPr>
          <w:rFonts w:ascii="Times New Roman" w:hAnsi="Times New Roman" w:cs="Times New Roman"/>
        </w:rPr>
        <w:t>a case</w:t>
      </w:r>
      <w:r w:rsidR="009D6E10">
        <w:rPr>
          <w:rFonts w:ascii="Times New Roman" w:hAnsi="Times New Roman" w:cs="Times New Roman"/>
        </w:rPr>
        <w:t xml:space="preserve"> identifies with a group based on a linear</w:t>
      </w:r>
      <w:r w:rsidR="00BE5266">
        <w:rPr>
          <w:rFonts w:ascii="Times New Roman" w:hAnsi="Times New Roman" w:cs="Times New Roman"/>
        </w:rPr>
        <w:t xml:space="preserve"> combination of interval predictor </w:t>
      </w:r>
      <w:r w:rsidR="00BE5266" w:rsidRPr="007E1382">
        <w:rPr>
          <w:rFonts w:ascii="Times New Roman" w:hAnsi="Times New Roman" w:cs="Times New Roman"/>
        </w:rPr>
        <w:t>variables</w:t>
      </w:r>
      <w:r w:rsidR="00DC2BC5" w:rsidRPr="007E1382">
        <w:rPr>
          <w:rFonts w:ascii="Times New Roman" w:hAnsi="Times New Roman" w:cs="Times New Roman"/>
        </w:rPr>
        <w:t xml:space="preserve"> (</w:t>
      </w:r>
      <w:r w:rsidR="007E1382" w:rsidRPr="007E1382">
        <w:rPr>
          <w:rFonts w:ascii="Times New Roman" w:hAnsi="Times New Roman" w:cs="Times New Roman"/>
        </w:rPr>
        <w:t>Stockburger,</w:t>
      </w:r>
      <w:r w:rsidR="007E1382">
        <w:rPr>
          <w:rFonts w:ascii="Times New Roman" w:hAnsi="Times New Roman" w:cs="Times New Roman"/>
        </w:rPr>
        <w:t xml:space="preserve"> 2018).</w:t>
      </w:r>
      <w:r w:rsidR="00DC2BC5">
        <w:rPr>
          <w:rFonts w:ascii="Times New Roman" w:hAnsi="Times New Roman" w:cs="Times New Roman"/>
        </w:rPr>
        <w:t xml:space="preserve"> </w:t>
      </w:r>
      <w:r w:rsidR="00DB216A">
        <w:rPr>
          <w:rFonts w:ascii="Times New Roman" w:hAnsi="Times New Roman" w:cs="Times New Roman"/>
        </w:rPr>
        <w:t xml:space="preserve">The program provides </w:t>
      </w:r>
      <w:r w:rsidR="00522849">
        <w:rPr>
          <w:rFonts w:ascii="Times New Roman" w:hAnsi="Times New Roman" w:cs="Times New Roman"/>
        </w:rPr>
        <w:t xml:space="preserve">two key </w:t>
      </w:r>
      <w:r w:rsidR="00520A86">
        <w:rPr>
          <w:rFonts w:ascii="Times New Roman" w:hAnsi="Times New Roman" w:cs="Times New Roman"/>
        </w:rPr>
        <w:t>outputs:</w:t>
      </w:r>
      <w:r w:rsidR="005D6982">
        <w:rPr>
          <w:rFonts w:ascii="Times New Roman" w:hAnsi="Times New Roman" w:cs="Times New Roman"/>
        </w:rPr>
        <w:t xml:space="preserve"> a</w:t>
      </w:r>
      <w:r w:rsidR="00381B69">
        <w:rPr>
          <w:rFonts w:ascii="Times New Roman" w:hAnsi="Times New Roman" w:cs="Times New Roman"/>
        </w:rPr>
        <w:t xml:space="preserve"> </w:t>
      </w:r>
      <w:r w:rsidR="00F6684B">
        <w:rPr>
          <w:rFonts w:ascii="Times New Roman" w:hAnsi="Times New Roman" w:cs="Times New Roman"/>
        </w:rPr>
        <w:t>posterior probabilit</w:t>
      </w:r>
      <w:r w:rsidR="00381B69">
        <w:rPr>
          <w:rFonts w:ascii="Times New Roman" w:hAnsi="Times New Roman" w:cs="Times New Roman"/>
        </w:rPr>
        <w:t xml:space="preserve">y </w:t>
      </w:r>
      <w:r w:rsidR="00F6684B">
        <w:rPr>
          <w:rFonts w:ascii="Times New Roman" w:hAnsi="Times New Roman" w:cs="Times New Roman"/>
        </w:rPr>
        <w:t xml:space="preserve">(PP) and three </w:t>
      </w:r>
      <w:r w:rsidR="005D6982">
        <w:rPr>
          <w:rFonts w:ascii="Times New Roman" w:hAnsi="Times New Roman" w:cs="Times New Roman"/>
        </w:rPr>
        <w:t xml:space="preserve">different </w:t>
      </w:r>
      <w:r w:rsidR="00F6684B">
        <w:rPr>
          <w:rFonts w:ascii="Times New Roman" w:hAnsi="Times New Roman" w:cs="Times New Roman"/>
        </w:rPr>
        <w:t>typicalit</w:t>
      </w:r>
      <w:r w:rsidR="00307029">
        <w:rPr>
          <w:rFonts w:ascii="Times New Roman" w:hAnsi="Times New Roman" w:cs="Times New Roman"/>
        </w:rPr>
        <w:t xml:space="preserve">y </w:t>
      </w:r>
      <w:r w:rsidR="002A2613">
        <w:rPr>
          <w:rFonts w:ascii="Times New Roman" w:hAnsi="Times New Roman" w:cs="Times New Roman"/>
        </w:rPr>
        <w:t>probabilities</w:t>
      </w:r>
      <w:r w:rsidR="00F6684B">
        <w:rPr>
          <w:rFonts w:ascii="Times New Roman" w:hAnsi="Times New Roman" w:cs="Times New Roman"/>
        </w:rPr>
        <w:t xml:space="preserve"> (TP).</w:t>
      </w:r>
      <w:r w:rsidR="00381B69">
        <w:rPr>
          <w:rFonts w:ascii="Times New Roman" w:hAnsi="Times New Roman" w:cs="Times New Roman"/>
        </w:rPr>
        <w:t xml:space="preserve"> </w:t>
      </w:r>
      <w:r w:rsidR="00246E86">
        <w:rPr>
          <w:rFonts w:ascii="Times New Roman" w:hAnsi="Times New Roman" w:cs="Times New Roman"/>
        </w:rPr>
        <w:t>The posterior probability is the relative probability that a sample belongs to</w:t>
      </w:r>
      <w:r w:rsidR="004D2D81">
        <w:rPr>
          <w:rFonts w:ascii="Times New Roman" w:hAnsi="Times New Roman" w:cs="Times New Roman"/>
        </w:rPr>
        <w:t xml:space="preserve"> a population within the program and is measured against all selected populations at </w:t>
      </w:r>
      <w:r w:rsidR="00AD401A">
        <w:rPr>
          <w:rFonts w:ascii="Times New Roman" w:hAnsi="Times New Roman" w:cs="Times New Roman"/>
        </w:rPr>
        <w:t xml:space="preserve">once. </w:t>
      </w:r>
      <w:r w:rsidR="00320B46">
        <w:rPr>
          <w:rFonts w:ascii="Times New Roman" w:hAnsi="Times New Roman" w:cs="Times New Roman"/>
        </w:rPr>
        <w:t xml:space="preserve">The sum of the posterior </w:t>
      </w:r>
      <w:r w:rsidR="00320B46">
        <w:rPr>
          <w:rFonts w:ascii="Times New Roman" w:hAnsi="Times New Roman" w:cs="Times New Roman"/>
        </w:rPr>
        <w:lastRenderedPageBreak/>
        <w:t xml:space="preserve">probabilities will always equal one because of this. </w:t>
      </w:r>
      <w:r w:rsidR="00364D5C">
        <w:rPr>
          <w:rFonts w:ascii="Times New Roman" w:hAnsi="Times New Roman" w:cs="Times New Roman"/>
        </w:rPr>
        <w:t xml:space="preserve">The standard </w:t>
      </w:r>
      <w:r w:rsidR="002A2613">
        <w:rPr>
          <w:rFonts w:ascii="Times New Roman" w:hAnsi="Times New Roman" w:cs="Times New Roman"/>
        </w:rPr>
        <w:t>threshold</w:t>
      </w:r>
      <w:r w:rsidR="00364D5C">
        <w:rPr>
          <w:rFonts w:ascii="Times New Roman" w:hAnsi="Times New Roman" w:cs="Times New Roman"/>
        </w:rPr>
        <w:t xml:space="preserve"> for </w:t>
      </w:r>
      <w:r w:rsidR="009968EE">
        <w:rPr>
          <w:rFonts w:ascii="Times New Roman" w:hAnsi="Times New Roman" w:cs="Times New Roman"/>
        </w:rPr>
        <w:t xml:space="preserve">PP is 0.8 or greater. </w:t>
      </w:r>
      <w:r w:rsidR="00745C78">
        <w:rPr>
          <w:rFonts w:ascii="Times New Roman" w:hAnsi="Times New Roman" w:cs="Times New Roman"/>
        </w:rPr>
        <w:t xml:space="preserve">Another </w:t>
      </w:r>
      <w:r w:rsidR="00AF5216">
        <w:rPr>
          <w:rFonts w:ascii="Times New Roman" w:hAnsi="Times New Roman" w:cs="Times New Roman"/>
        </w:rPr>
        <w:t>significant output</w:t>
      </w:r>
      <w:r w:rsidR="00745C78">
        <w:rPr>
          <w:rFonts w:ascii="Times New Roman" w:hAnsi="Times New Roman" w:cs="Times New Roman"/>
        </w:rPr>
        <w:t xml:space="preserve"> is</w:t>
      </w:r>
      <w:r w:rsidR="00AF5216">
        <w:rPr>
          <w:rFonts w:ascii="Times New Roman" w:hAnsi="Times New Roman" w:cs="Times New Roman"/>
        </w:rPr>
        <w:t xml:space="preserve"> the </w:t>
      </w:r>
      <w:r w:rsidR="00594A97">
        <w:rPr>
          <w:rFonts w:ascii="Times New Roman" w:hAnsi="Times New Roman" w:cs="Times New Roman"/>
        </w:rPr>
        <w:t>TPs</w:t>
      </w:r>
      <w:r w:rsidR="00AF5216">
        <w:rPr>
          <w:rFonts w:ascii="Times New Roman" w:hAnsi="Times New Roman" w:cs="Times New Roman"/>
        </w:rPr>
        <w:t>. The TPs</w:t>
      </w:r>
      <w:r w:rsidR="00AD401A">
        <w:rPr>
          <w:rFonts w:ascii="Times New Roman" w:hAnsi="Times New Roman" w:cs="Times New Roman"/>
        </w:rPr>
        <w:t xml:space="preserve"> are based off of different statistical analyses</w:t>
      </w:r>
      <w:r w:rsidR="007311C0">
        <w:rPr>
          <w:rFonts w:ascii="Times New Roman" w:hAnsi="Times New Roman" w:cs="Times New Roman"/>
        </w:rPr>
        <w:t xml:space="preserve"> and t</w:t>
      </w:r>
      <w:r w:rsidR="00927C39">
        <w:rPr>
          <w:rFonts w:ascii="Times New Roman" w:hAnsi="Times New Roman" w:cs="Times New Roman"/>
        </w:rPr>
        <w:t>he TP used in this study is called the Ranking typicality or</w:t>
      </w:r>
      <w:r w:rsidR="00520A86">
        <w:rPr>
          <w:rFonts w:ascii="Times New Roman" w:hAnsi="Times New Roman" w:cs="Times New Roman"/>
        </w:rPr>
        <w:t xml:space="preserve"> </w:t>
      </w:r>
      <w:r w:rsidR="00927C39">
        <w:rPr>
          <w:rFonts w:ascii="Times New Roman" w:hAnsi="Times New Roman" w:cs="Times New Roman"/>
        </w:rPr>
        <w:t>Typ</w:t>
      </w:r>
      <w:r w:rsidR="00594A97">
        <w:rPr>
          <w:rFonts w:ascii="Times New Roman" w:hAnsi="Times New Roman" w:cs="Times New Roman"/>
        </w:rPr>
        <w:t>.</w:t>
      </w:r>
      <w:r w:rsidR="00927C39">
        <w:rPr>
          <w:rFonts w:ascii="Times New Roman" w:hAnsi="Times New Roman" w:cs="Times New Roman"/>
        </w:rPr>
        <w:t xml:space="preserve"> R for short. </w:t>
      </w:r>
      <w:r w:rsidR="00146CBC">
        <w:rPr>
          <w:rFonts w:ascii="Times New Roman" w:hAnsi="Times New Roman" w:cs="Times New Roman"/>
        </w:rPr>
        <w:t xml:space="preserve">This </w:t>
      </w:r>
      <w:r w:rsidR="00594A97">
        <w:rPr>
          <w:rFonts w:ascii="Times New Roman" w:hAnsi="Times New Roman" w:cs="Times New Roman"/>
        </w:rPr>
        <w:t xml:space="preserve">TP </w:t>
      </w:r>
      <w:r w:rsidR="00146CBC">
        <w:rPr>
          <w:rFonts w:ascii="Times New Roman" w:hAnsi="Times New Roman" w:cs="Times New Roman"/>
        </w:rPr>
        <w:t xml:space="preserve">ranks the crania according to how typical or atypical it is when compared to one </w:t>
      </w:r>
      <w:r w:rsidR="000019C9">
        <w:rPr>
          <w:rFonts w:ascii="Times New Roman" w:hAnsi="Times New Roman" w:cs="Times New Roman"/>
        </w:rPr>
        <w:t>population</w:t>
      </w:r>
      <w:r w:rsidR="00520A86">
        <w:rPr>
          <w:rFonts w:ascii="Times New Roman" w:hAnsi="Times New Roman" w:cs="Times New Roman"/>
        </w:rPr>
        <w:t xml:space="preserve"> at a time</w:t>
      </w:r>
      <w:r w:rsidR="00177D7C">
        <w:rPr>
          <w:rFonts w:ascii="Times New Roman" w:hAnsi="Times New Roman" w:cs="Times New Roman"/>
        </w:rPr>
        <w:t xml:space="preserve"> assuming it is from </w:t>
      </w:r>
      <w:r w:rsidR="00B41EAA">
        <w:rPr>
          <w:rFonts w:ascii="Times New Roman" w:hAnsi="Times New Roman" w:cs="Times New Roman"/>
        </w:rPr>
        <w:t xml:space="preserve">that particular reference population. </w:t>
      </w:r>
      <w:r w:rsidR="009968EE">
        <w:rPr>
          <w:rFonts w:ascii="Times New Roman" w:hAnsi="Times New Roman" w:cs="Times New Roman"/>
        </w:rPr>
        <w:t xml:space="preserve">The standard </w:t>
      </w:r>
      <w:r w:rsidR="00836400">
        <w:rPr>
          <w:rFonts w:ascii="Times New Roman" w:hAnsi="Times New Roman" w:cs="Times New Roman"/>
        </w:rPr>
        <w:t>threshold for</w:t>
      </w:r>
      <w:r w:rsidR="00F42982">
        <w:rPr>
          <w:rFonts w:ascii="Times New Roman" w:hAnsi="Times New Roman" w:cs="Times New Roman"/>
        </w:rPr>
        <w:t xml:space="preserve"> TPs is usually 0.01 or greater.</w:t>
      </w:r>
      <w:r w:rsidR="00925115">
        <w:rPr>
          <w:rFonts w:ascii="Times New Roman" w:hAnsi="Times New Roman" w:cs="Times New Roman"/>
        </w:rPr>
        <w:t xml:space="preserve"> </w:t>
      </w:r>
    </w:p>
    <w:p w14:paraId="5CCE4D1B" w14:textId="76F56153" w:rsidR="008D4B13" w:rsidRDefault="007B231B" w:rsidP="008D4B13">
      <w:pPr>
        <w:spacing w:line="480" w:lineRule="auto"/>
        <w:ind w:firstLine="720"/>
        <w:rPr>
          <w:rFonts w:ascii="Times New Roman" w:hAnsi="Times New Roman" w:cs="Times New Roman"/>
        </w:rPr>
      </w:pPr>
      <w:r>
        <w:rPr>
          <w:rFonts w:ascii="Times New Roman" w:hAnsi="Times New Roman" w:cs="Times New Roman"/>
        </w:rPr>
        <w:t>L</w:t>
      </w:r>
      <w:r w:rsidR="00182510">
        <w:rPr>
          <w:rFonts w:ascii="Times New Roman" w:hAnsi="Times New Roman" w:cs="Times New Roman"/>
        </w:rPr>
        <w:t>imitation</w:t>
      </w:r>
      <w:r>
        <w:rPr>
          <w:rFonts w:ascii="Times New Roman" w:hAnsi="Times New Roman" w:cs="Times New Roman"/>
        </w:rPr>
        <w:t xml:space="preserve">s </w:t>
      </w:r>
      <w:r w:rsidR="00F04D94">
        <w:rPr>
          <w:rFonts w:ascii="Times New Roman" w:hAnsi="Times New Roman" w:cs="Times New Roman"/>
        </w:rPr>
        <w:t>arise when using this program</w:t>
      </w:r>
      <w:r w:rsidR="00520A86">
        <w:rPr>
          <w:rFonts w:ascii="Times New Roman" w:hAnsi="Times New Roman" w:cs="Times New Roman"/>
        </w:rPr>
        <w:t xml:space="preserve"> though</w:t>
      </w:r>
      <w:r w:rsidR="00F04D94">
        <w:rPr>
          <w:rFonts w:ascii="Times New Roman" w:hAnsi="Times New Roman" w:cs="Times New Roman"/>
        </w:rPr>
        <w:t xml:space="preserve"> </w:t>
      </w:r>
      <w:r>
        <w:rPr>
          <w:rFonts w:ascii="Times New Roman" w:hAnsi="Times New Roman" w:cs="Times New Roman"/>
        </w:rPr>
        <w:t>as</w:t>
      </w:r>
      <w:r w:rsidR="00F04D94">
        <w:rPr>
          <w:rFonts w:ascii="Times New Roman" w:hAnsi="Times New Roman" w:cs="Times New Roman"/>
        </w:rPr>
        <w:t xml:space="preserve"> there are currently only eight populations (</w:t>
      </w:r>
      <w:r w:rsidR="004F3266">
        <w:rPr>
          <w:rFonts w:ascii="Times New Roman" w:hAnsi="Times New Roman" w:cs="Times New Roman"/>
        </w:rPr>
        <w:t>White</w:t>
      </w:r>
      <w:r w:rsidR="00ED6942">
        <w:rPr>
          <w:rFonts w:ascii="Times New Roman" w:hAnsi="Times New Roman" w:cs="Times New Roman"/>
        </w:rPr>
        <w:t xml:space="preserve"> M/F</w:t>
      </w:r>
      <w:r w:rsidR="004F3266">
        <w:rPr>
          <w:rFonts w:ascii="Times New Roman" w:hAnsi="Times New Roman" w:cs="Times New Roman"/>
        </w:rPr>
        <w:t>, Black</w:t>
      </w:r>
      <w:r w:rsidR="00ED6942">
        <w:rPr>
          <w:rFonts w:ascii="Times New Roman" w:hAnsi="Times New Roman" w:cs="Times New Roman"/>
        </w:rPr>
        <w:t xml:space="preserve"> M/F</w:t>
      </w:r>
      <w:r w:rsidR="004F3266">
        <w:rPr>
          <w:rFonts w:ascii="Times New Roman" w:hAnsi="Times New Roman" w:cs="Times New Roman"/>
        </w:rPr>
        <w:t>, Hispanic</w:t>
      </w:r>
      <w:r w:rsidR="00ED6942">
        <w:rPr>
          <w:rFonts w:ascii="Times New Roman" w:hAnsi="Times New Roman" w:cs="Times New Roman"/>
        </w:rPr>
        <w:t xml:space="preserve"> M/F</w:t>
      </w:r>
      <w:r w:rsidR="004F3266">
        <w:rPr>
          <w:rFonts w:ascii="Times New Roman" w:hAnsi="Times New Roman" w:cs="Times New Roman"/>
        </w:rPr>
        <w:t>, Chinese</w:t>
      </w:r>
      <w:r w:rsidR="00D3248C">
        <w:rPr>
          <w:rFonts w:ascii="Times New Roman" w:hAnsi="Times New Roman" w:cs="Times New Roman"/>
        </w:rPr>
        <w:t xml:space="preserve"> M</w:t>
      </w:r>
      <w:r w:rsidR="004F3266">
        <w:rPr>
          <w:rFonts w:ascii="Times New Roman" w:hAnsi="Times New Roman" w:cs="Times New Roman"/>
        </w:rPr>
        <w:t>. Guatemalan</w:t>
      </w:r>
      <w:r w:rsidR="00D3248C">
        <w:rPr>
          <w:rFonts w:ascii="Times New Roman" w:hAnsi="Times New Roman" w:cs="Times New Roman"/>
        </w:rPr>
        <w:t xml:space="preserve"> M</w:t>
      </w:r>
      <w:r w:rsidR="004F3266">
        <w:rPr>
          <w:rFonts w:ascii="Times New Roman" w:hAnsi="Times New Roman" w:cs="Times New Roman"/>
        </w:rPr>
        <w:t>, Japanese</w:t>
      </w:r>
      <w:r w:rsidR="00D3248C">
        <w:rPr>
          <w:rFonts w:ascii="Times New Roman" w:hAnsi="Times New Roman" w:cs="Times New Roman"/>
        </w:rPr>
        <w:t xml:space="preserve"> M</w:t>
      </w:r>
      <w:r w:rsidR="004F3266">
        <w:rPr>
          <w:rFonts w:ascii="Times New Roman" w:hAnsi="Times New Roman" w:cs="Times New Roman"/>
        </w:rPr>
        <w:t>,</w:t>
      </w:r>
      <w:r w:rsidR="00D3248C">
        <w:rPr>
          <w:rFonts w:ascii="Times New Roman" w:hAnsi="Times New Roman" w:cs="Times New Roman"/>
        </w:rPr>
        <w:t xml:space="preserve"> Vietnamese M,</w:t>
      </w:r>
      <w:r w:rsidR="00ED6942">
        <w:rPr>
          <w:rFonts w:ascii="Times New Roman" w:hAnsi="Times New Roman" w:cs="Times New Roman"/>
        </w:rPr>
        <w:t xml:space="preserve"> and</w:t>
      </w:r>
      <w:r w:rsidR="004F3266">
        <w:rPr>
          <w:rFonts w:ascii="Times New Roman" w:hAnsi="Times New Roman" w:cs="Times New Roman"/>
        </w:rPr>
        <w:t xml:space="preserve"> Native American</w:t>
      </w:r>
      <w:r w:rsidR="00D3248C">
        <w:rPr>
          <w:rFonts w:ascii="Times New Roman" w:hAnsi="Times New Roman" w:cs="Times New Roman"/>
        </w:rPr>
        <w:t xml:space="preserve"> </w:t>
      </w:r>
      <w:r w:rsidR="00ED6942">
        <w:rPr>
          <w:rFonts w:ascii="Times New Roman" w:hAnsi="Times New Roman" w:cs="Times New Roman"/>
        </w:rPr>
        <w:t>M/F)</w:t>
      </w:r>
      <w:r w:rsidR="004F3266">
        <w:rPr>
          <w:rFonts w:ascii="Times New Roman" w:hAnsi="Times New Roman" w:cs="Times New Roman"/>
        </w:rPr>
        <w:t xml:space="preserve"> </w:t>
      </w:r>
      <w:r w:rsidR="00F04D94">
        <w:rPr>
          <w:rFonts w:ascii="Times New Roman" w:hAnsi="Times New Roman" w:cs="Times New Roman"/>
        </w:rPr>
        <w:t>and it is unlikely that anymore will be added</w:t>
      </w:r>
      <w:r w:rsidR="00BC339E">
        <w:rPr>
          <w:rFonts w:ascii="Times New Roman" w:hAnsi="Times New Roman" w:cs="Times New Roman"/>
        </w:rPr>
        <w:t xml:space="preserve">. This </w:t>
      </w:r>
      <w:r w:rsidR="000B6FCC">
        <w:rPr>
          <w:rFonts w:ascii="Times New Roman" w:hAnsi="Times New Roman" w:cs="Times New Roman"/>
        </w:rPr>
        <w:t xml:space="preserve">limitation results in a higher likelihood of </w:t>
      </w:r>
      <w:r w:rsidR="00BC339E" w:rsidRPr="00BC339E">
        <w:rPr>
          <w:rFonts w:ascii="Times New Roman" w:hAnsi="Times New Roman" w:cs="Times New Roman"/>
        </w:rPr>
        <w:t xml:space="preserve">misclassification when Fordisc </w:t>
      </w:r>
      <w:r w:rsidR="000B6FCC">
        <w:rPr>
          <w:rFonts w:ascii="Times New Roman" w:hAnsi="Times New Roman" w:cs="Times New Roman"/>
        </w:rPr>
        <w:t>on</w:t>
      </w:r>
      <w:r w:rsidR="00BC339E" w:rsidRPr="00BC339E">
        <w:rPr>
          <w:rFonts w:ascii="Times New Roman" w:hAnsi="Times New Roman" w:cs="Times New Roman"/>
        </w:rPr>
        <w:t xml:space="preserve"> unrepresented groups</w:t>
      </w:r>
      <w:r w:rsidR="00893E1D">
        <w:rPr>
          <w:rFonts w:ascii="Times New Roman" w:hAnsi="Times New Roman" w:cs="Times New Roman"/>
        </w:rPr>
        <w:t xml:space="preserve"> and </w:t>
      </w:r>
      <w:r w:rsidR="00BC339E" w:rsidRPr="00BC339E">
        <w:rPr>
          <w:rFonts w:ascii="Times New Roman" w:hAnsi="Times New Roman" w:cs="Times New Roman"/>
        </w:rPr>
        <w:t>hinder</w:t>
      </w:r>
      <w:r w:rsidR="00893E1D">
        <w:rPr>
          <w:rFonts w:ascii="Times New Roman" w:hAnsi="Times New Roman" w:cs="Times New Roman"/>
        </w:rPr>
        <w:t>s</w:t>
      </w:r>
      <w:r w:rsidR="00BC339E" w:rsidRPr="00BC339E">
        <w:rPr>
          <w:rFonts w:ascii="Times New Roman" w:hAnsi="Times New Roman" w:cs="Times New Roman"/>
        </w:rPr>
        <w:t xml:space="preserve"> investigations</w:t>
      </w:r>
      <w:r w:rsidR="00893E1D">
        <w:rPr>
          <w:rFonts w:ascii="Times New Roman" w:hAnsi="Times New Roman" w:cs="Times New Roman"/>
        </w:rPr>
        <w:t xml:space="preserve">. </w:t>
      </w:r>
      <w:r w:rsidR="004E30B8">
        <w:rPr>
          <w:rFonts w:ascii="Times New Roman" w:hAnsi="Times New Roman" w:cs="Times New Roman"/>
        </w:rPr>
        <w:t xml:space="preserve">This also means that if a case </w:t>
      </w:r>
      <w:r w:rsidR="00472507">
        <w:rPr>
          <w:rFonts w:ascii="Times New Roman" w:hAnsi="Times New Roman" w:cs="Times New Roman"/>
        </w:rPr>
        <w:t>is</w:t>
      </w:r>
      <w:r w:rsidR="004E30B8">
        <w:rPr>
          <w:rFonts w:ascii="Times New Roman" w:hAnsi="Times New Roman" w:cs="Times New Roman"/>
        </w:rPr>
        <w:t xml:space="preserve"> from </w:t>
      </w:r>
      <w:r w:rsidR="003E730D">
        <w:rPr>
          <w:rFonts w:ascii="Times New Roman" w:hAnsi="Times New Roman" w:cs="Times New Roman"/>
        </w:rPr>
        <w:t xml:space="preserve">outside of those </w:t>
      </w:r>
      <w:r w:rsidR="00893E1D">
        <w:rPr>
          <w:rFonts w:ascii="Times New Roman" w:hAnsi="Times New Roman" w:cs="Times New Roman"/>
        </w:rPr>
        <w:t xml:space="preserve">few represented </w:t>
      </w:r>
      <w:r w:rsidR="003E730D">
        <w:rPr>
          <w:rFonts w:ascii="Times New Roman" w:hAnsi="Times New Roman" w:cs="Times New Roman"/>
        </w:rPr>
        <w:t xml:space="preserve">populations, it is impossible to provide an accurate </w:t>
      </w:r>
      <w:r w:rsidR="006F3820">
        <w:rPr>
          <w:rFonts w:ascii="Times New Roman" w:hAnsi="Times New Roman" w:cs="Times New Roman"/>
        </w:rPr>
        <w:t>populat</w:t>
      </w:r>
      <w:r w:rsidR="00A01ADA">
        <w:rPr>
          <w:rFonts w:ascii="Times New Roman" w:hAnsi="Times New Roman" w:cs="Times New Roman"/>
        </w:rPr>
        <w:t xml:space="preserve">ion </w:t>
      </w:r>
      <w:r w:rsidR="003E730D">
        <w:rPr>
          <w:rFonts w:ascii="Times New Roman" w:hAnsi="Times New Roman" w:cs="Times New Roman"/>
        </w:rPr>
        <w:t>affinity</w:t>
      </w:r>
      <w:r w:rsidR="00520A86">
        <w:rPr>
          <w:rFonts w:ascii="Times New Roman" w:hAnsi="Times New Roman" w:cs="Times New Roman"/>
        </w:rPr>
        <w:t>.</w:t>
      </w:r>
      <w:r w:rsidR="00472507">
        <w:rPr>
          <w:rFonts w:ascii="Times New Roman" w:hAnsi="Times New Roman" w:cs="Times New Roman"/>
        </w:rPr>
        <w:t xml:space="preserve"> </w:t>
      </w:r>
    </w:p>
    <w:p w14:paraId="253350C8" w14:textId="6D942AB3" w:rsidR="008D4B13" w:rsidRPr="008D4B13" w:rsidRDefault="008D4B13" w:rsidP="008D4B13">
      <w:pPr>
        <w:spacing w:line="480" w:lineRule="auto"/>
        <w:jc w:val="center"/>
        <w:rPr>
          <w:rFonts w:ascii="Times New Roman" w:hAnsi="Times New Roman" w:cs="Times New Roman"/>
          <w:b/>
          <w:bCs/>
        </w:rPr>
      </w:pPr>
      <w:r w:rsidRPr="008D4B13">
        <w:rPr>
          <w:rFonts w:ascii="Times New Roman" w:hAnsi="Times New Roman" w:cs="Times New Roman"/>
          <w:b/>
          <w:bCs/>
        </w:rPr>
        <w:t>Literature Review</w:t>
      </w:r>
    </w:p>
    <w:p w14:paraId="3918ACDB" w14:textId="6528799C" w:rsidR="00F06EE9" w:rsidRPr="00F06EE9" w:rsidRDefault="00F06EE9" w:rsidP="00F06EE9">
      <w:pPr>
        <w:spacing w:line="480" w:lineRule="auto"/>
        <w:ind w:firstLine="720"/>
        <w:rPr>
          <w:rFonts w:ascii="Times New Roman" w:hAnsi="Times New Roman" w:cs="Times New Roman"/>
        </w:rPr>
      </w:pPr>
      <w:r w:rsidRPr="00F06EE9">
        <w:rPr>
          <w:rFonts w:ascii="Times New Roman" w:hAnsi="Times New Roman" w:cs="Times New Roman"/>
        </w:rPr>
        <w:t xml:space="preserve">Previous studies have highlighted significant limitations in the use of Fordisc for ancestry estimation. For example, Elliott and Collard (2009) conducted a study evaluating Fordisc’s classification accuracy using 200 cranial samples. When the analysis was performed using varying combinations of ten cranial measurements and unspecified sex, Fordisc correctly classified only 2% to 17% (2–34 out of 200) of the cases when applying a posterior probability threshold of 0.5 and a typicality probability threshold of 0.01. When the threshold was raised to 0.8 PP while keeping the same measurement and sex parameters, correct classifications dropped further to between 0.5% and 4.5% (0–9 out of 200 cases). However, when all cranial measurements were included, all population groups were considered, and sex was specified, the </w:t>
      </w:r>
      <w:r w:rsidRPr="00F06EE9">
        <w:rPr>
          <w:rFonts w:ascii="Times New Roman" w:hAnsi="Times New Roman" w:cs="Times New Roman"/>
        </w:rPr>
        <w:lastRenderedPageBreak/>
        <w:t>correct classification rate improved significantly to 78% (156 out of 200 cases) at the PP ≥ 0.8 and TP ≥ 0.01 thresholds.</w:t>
      </w:r>
    </w:p>
    <w:p w14:paraId="02AC2C6C" w14:textId="788FF3D1" w:rsidR="00F06EE9" w:rsidRPr="00F06EE9" w:rsidRDefault="00F06EE9" w:rsidP="00F06EE9">
      <w:pPr>
        <w:spacing w:line="480" w:lineRule="auto"/>
        <w:ind w:firstLine="720"/>
        <w:rPr>
          <w:rFonts w:ascii="Times New Roman" w:hAnsi="Times New Roman" w:cs="Times New Roman"/>
        </w:rPr>
      </w:pPr>
      <w:r w:rsidRPr="00F06EE9">
        <w:rPr>
          <w:rFonts w:ascii="Times New Roman" w:hAnsi="Times New Roman" w:cs="Times New Roman"/>
        </w:rPr>
        <w:t>These findings demonstrate that classification success is highly dependent on the completeness of the data and the specification of sex. This presents a considerable limitation for forensic casework, where trauma, fragmentation, pathological changes, or taphonomic damage often result in incomplete or compromised cranial measurements. As a result, Fordisc may be less reliable in realistic forensic contexts, where perfect data is rarely available</w:t>
      </w:r>
      <w:r w:rsidR="00735128">
        <w:rPr>
          <w:rFonts w:ascii="Times New Roman" w:hAnsi="Times New Roman" w:cs="Times New Roman"/>
        </w:rPr>
        <w:t xml:space="preserve"> and </w:t>
      </w:r>
      <w:r w:rsidR="006B715F">
        <w:rPr>
          <w:rFonts w:ascii="Times New Roman" w:hAnsi="Times New Roman" w:cs="Times New Roman"/>
        </w:rPr>
        <w:t>suggests that</w:t>
      </w:r>
      <w:r w:rsidR="00735128">
        <w:rPr>
          <w:rFonts w:ascii="Times New Roman" w:hAnsi="Times New Roman" w:cs="Times New Roman"/>
        </w:rPr>
        <w:t xml:space="preserve"> previously classified cases may have been misidentified.</w:t>
      </w:r>
    </w:p>
    <w:p w14:paraId="502FF8B0" w14:textId="11C34CE6" w:rsidR="005228FF" w:rsidRDefault="00243EA9" w:rsidP="00001A0E">
      <w:pPr>
        <w:spacing w:line="480" w:lineRule="auto"/>
        <w:ind w:firstLine="720"/>
        <w:rPr>
          <w:rFonts w:ascii="Times New Roman" w:hAnsi="Times New Roman" w:cs="Times New Roman"/>
        </w:rPr>
      </w:pPr>
      <w:r>
        <w:rPr>
          <w:rFonts w:ascii="Times New Roman" w:hAnsi="Times New Roman" w:cs="Times New Roman"/>
        </w:rPr>
        <w:t>Dr. Dudzik and Dr. Jantz (2016) did a study on the misclassifications of Hispanics and Asians in Fordisc and compared 29 Korean males and 15 Korean females to the known populations in Fordisc. Their study resulted in the conclusion that a Japanese classification cannot rule out the possibility of the individual being Hispanic due to the admixture of past populations and debated origins (Dudzik &amp; Jantz 2017). They also noted their limitations due to a lack of data available because of discrimination towards Asians and Hispanics (Dudzik &amp; Jantz 2017). This could mean cases previously identified using Fordisc were wrongly classified.</w:t>
      </w:r>
      <w:r w:rsidR="00D16347">
        <w:rPr>
          <w:rFonts w:ascii="Times New Roman" w:hAnsi="Times New Roman" w:cs="Times New Roman"/>
        </w:rPr>
        <w:t xml:space="preserve"> </w:t>
      </w:r>
      <w:r w:rsidR="00BC339E">
        <w:rPr>
          <w:rFonts w:ascii="Times New Roman" w:hAnsi="Times New Roman" w:cs="Times New Roman"/>
        </w:rPr>
        <w:t xml:space="preserve">Similarly, </w:t>
      </w:r>
      <w:r w:rsidR="005228FF" w:rsidRPr="00BC339E">
        <w:rPr>
          <w:rFonts w:ascii="Times New Roman" w:hAnsi="Times New Roman" w:cs="Times New Roman"/>
        </w:rPr>
        <w:t>Hughes et al.</w:t>
      </w:r>
      <w:r w:rsidR="00BC339E">
        <w:rPr>
          <w:rFonts w:ascii="Times New Roman" w:hAnsi="Times New Roman" w:cs="Times New Roman"/>
        </w:rPr>
        <w:t xml:space="preserve"> (2019)</w:t>
      </w:r>
      <w:r w:rsidR="008A1E1B">
        <w:rPr>
          <w:rFonts w:ascii="Times New Roman" w:hAnsi="Times New Roman" w:cs="Times New Roman"/>
        </w:rPr>
        <w:t xml:space="preserve"> conducted a study on the misclassification of Hispanic or Latino individuals</w:t>
      </w:r>
      <w:r w:rsidR="00BC339E">
        <w:rPr>
          <w:rFonts w:ascii="Times New Roman" w:hAnsi="Times New Roman" w:cs="Times New Roman"/>
        </w:rPr>
        <w:t xml:space="preserve"> where t</w:t>
      </w:r>
      <w:r w:rsidR="001F3014">
        <w:rPr>
          <w:rFonts w:ascii="Times New Roman" w:hAnsi="Times New Roman" w:cs="Times New Roman"/>
        </w:rPr>
        <w:t xml:space="preserve">hey </w:t>
      </w:r>
      <w:r w:rsidR="00BA6089">
        <w:rPr>
          <w:rFonts w:ascii="Times New Roman" w:hAnsi="Times New Roman" w:cs="Times New Roman"/>
        </w:rPr>
        <w:t xml:space="preserve">hypothesized that Fordisc’s population affinity results were directly related to craniometric </w:t>
      </w:r>
      <w:r w:rsidR="00DD2B1E">
        <w:rPr>
          <w:rFonts w:ascii="Times New Roman" w:hAnsi="Times New Roman" w:cs="Times New Roman"/>
        </w:rPr>
        <w:t>trends that are and were influenced by the admixture of past populations</w:t>
      </w:r>
      <w:r w:rsidR="00BC339E">
        <w:rPr>
          <w:rFonts w:ascii="Times New Roman" w:hAnsi="Times New Roman" w:cs="Times New Roman"/>
        </w:rPr>
        <w:t xml:space="preserve">. </w:t>
      </w:r>
      <w:r w:rsidR="00D16347">
        <w:rPr>
          <w:rFonts w:ascii="Times New Roman" w:hAnsi="Times New Roman" w:cs="Times New Roman"/>
        </w:rPr>
        <w:t xml:space="preserve">They found that </w:t>
      </w:r>
      <w:r w:rsidR="00190619">
        <w:rPr>
          <w:rFonts w:ascii="Times New Roman" w:hAnsi="Times New Roman" w:cs="Times New Roman"/>
        </w:rPr>
        <w:t>almost 70% of their cases would be</w:t>
      </w:r>
      <w:r w:rsidR="0085440A">
        <w:rPr>
          <w:rFonts w:ascii="Times New Roman" w:hAnsi="Times New Roman" w:cs="Times New Roman"/>
        </w:rPr>
        <w:t xml:space="preserve"> likely be affiliated with an incorrect population (Hughes et al., 2019).</w:t>
      </w:r>
      <w:r w:rsidR="00001A0E">
        <w:rPr>
          <w:rFonts w:ascii="Times New Roman" w:hAnsi="Times New Roman" w:cs="Times New Roman"/>
        </w:rPr>
        <w:t xml:space="preserve"> </w:t>
      </w:r>
      <w:r w:rsidR="00CE1837">
        <w:rPr>
          <w:rFonts w:ascii="Times New Roman" w:hAnsi="Times New Roman" w:cs="Times New Roman"/>
        </w:rPr>
        <w:t>For the purpose of their study, a case was considered as classified correctly when it was affiliated with either Hispanic or Guatemalan</w:t>
      </w:r>
      <w:r w:rsidR="00A66A8E">
        <w:rPr>
          <w:rFonts w:ascii="Times New Roman" w:hAnsi="Times New Roman" w:cs="Times New Roman"/>
        </w:rPr>
        <w:t xml:space="preserve"> and disregarded</w:t>
      </w:r>
      <w:r w:rsidR="00D66078">
        <w:rPr>
          <w:rFonts w:ascii="Times New Roman" w:hAnsi="Times New Roman" w:cs="Times New Roman"/>
        </w:rPr>
        <w:t xml:space="preserve"> </w:t>
      </w:r>
      <w:r w:rsidR="00A66A8E">
        <w:rPr>
          <w:rFonts w:ascii="Times New Roman" w:hAnsi="Times New Roman" w:cs="Times New Roman"/>
        </w:rPr>
        <w:t>the typical standards of a PP</w:t>
      </w:r>
      <w:r w:rsidR="00285FB1">
        <w:rPr>
          <w:rFonts w:ascii="Times New Roman" w:hAnsi="Times New Roman" w:cs="Times New Roman"/>
        </w:rPr>
        <w:t xml:space="preserve"> greater than 0.8 and a TP greater than 0.01</w:t>
      </w:r>
      <w:r w:rsidR="00852279">
        <w:rPr>
          <w:rFonts w:ascii="Times New Roman" w:hAnsi="Times New Roman" w:cs="Times New Roman"/>
        </w:rPr>
        <w:t xml:space="preserve">. </w:t>
      </w:r>
      <w:r w:rsidR="00243A96">
        <w:rPr>
          <w:rFonts w:ascii="Times New Roman" w:hAnsi="Times New Roman" w:cs="Times New Roman"/>
        </w:rPr>
        <w:t xml:space="preserve"> </w:t>
      </w:r>
    </w:p>
    <w:p w14:paraId="379157DD" w14:textId="77777777" w:rsidR="00962381" w:rsidRDefault="00962381" w:rsidP="00115605">
      <w:pPr>
        <w:spacing w:line="480" w:lineRule="auto"/>
        <w:jc w:val="center"/>
        <w:rPr>
          <w:rFonts w:ascii="Times New Roman" w:hAnsi="Times New Roman" w:cs="Times New Roman"/>
          <w:b/>
          <w:bCs/>
        </w:rPr>
      </w:pPr>
    </w:p>
    <w:p w14:paraId="778817B0" w14:textId="34082572" w:rsidR="00852279" w:rsidRPr="00852279" w:rsidRDefault="00852279" w:rsidP="00115605">
      <w:pPr>
        <w:spacing w:line="480" w:lineRule="auto"/>
        <w:jc w:val="center"/>
        <w:rPr>
          <w:rFonts w:ascii="Times New Roman" w:hAnsi="Times New Roman" w:cs="Times New Roman"/>
          <w:b/>
          <w:bCs/>
        </w:rPr>
      </w:pPr>
      <w:r w:rsidRPr="00852279">
        <w:rPr>
          <w:rFonts w:ascii="Times New Roman" w:hAnsi="Times New Roman" w:cs="Times New Roman"/>
          <w:b/>
          <w:bCs/>
        </w:rPr>
        <w:lastRenderedPageBreak/>
        <w:t>Methods</w:t>
      </w:r>
    </w:p>
    <w:p w14:paraId="338CF715" w14:textId="6074DF94" w:rsidR="00273D03" w:rsidRDefault="00ED53FF" w:rsidP="00CC0451">
      <w:pPr>
        <w:spacing w:line="480" w:lineRule="auto"/>
        <w:rPr>
          <w:rFonts w:ascii="Times New Roman" w:hAnsi="Times New Roman" w:cs="Times New Roman"/>
        </w:rPr>
      </w:pPr>
      <w:r>
        <w:rPr>
          <w:rFonts w:ascii="Times New Roman" w:hAnsi="Times New Roman" w:cs="Times New Roman"/>
        </w:rPr>
        <w:tab/>
        <w:t xml:space="preserve">This </w:t>
      </w:r>
      <w:r w:rsidR="00DF1E73">
        <w:rPr>
          <w:rFonts w:ascii="Times New Roman" w:hAnsi="Times New Roman" w:cs="Times New Roman"/>
        </w:rPr>
        <w:t>research</w:t>
      </w:r>
      <w:r>
        <w:rPr>
          <w:rFonts w:ascii="Times New Roman" w:hAnsi="Times New Roman" w:cs="Times New Roman"/>
        </w:rPr>
        <w:t xml:space="preserve"> aims to </w:t>
      </w:r>
      <w:r w:rsidR="00F60F96">
        <w:rPr>
          <w:rFonts w:ascii="Times New Roman" w:hAnsi="Times New Roman" w:cs="Times New Roman"/>
        </w:rPr>
        <w:t xml:space="preserve">study the outputs to determine if there is a pattern that can indicate a case </w:t>
      </w:r>
      <w:r w:rsidR="00DF1E73">
        <w:rPr>
          <w:rFonts w:ascii="Times New Roman" w:hAnsi="Times New Roman" w:cs="Times New Roman"/>
        </w:rPr>
        <w:t>has the potential to</w:t>
      </w:r>
      <w:r w:rsidR="00F60F96">
        <w:rPr>
          <w:rFonts w:ascii="Times New Roman" w:hAnsi="Times New Roman" w:cs="Times New Roman"/>
        </w:rPr>
        <w:t xml:space="preserve"> be from an outside population</w:t>
      </w:r>
      <w:r w:rsidR="000C1E4D">
        <w:rPr>
          <w:rFonts w:ascii="Times New Roman" w:hAnsi="Times New Roman" w:cs="Times New Roman"/>
        </w:rPr>
        <w:t xml:space="preserve">. </w:t>
      </w:r>
      <w:r w:rsidR="009D0B65">
        <w:rPr>
          <w:rFonts w:ascii="Times New Roman" w:hAnsi="Times New Roman" w:cs="Times New Roman"/>
        </w:rPr>
        <w:t xml:space="preserve">As well as if a case is from an outside population, </w:t>
      </w:r>
      <w:r w:rsidR="003D2102">
        <w:rPr>
          <w:rFonts w:ascii="Times New Roman" w:hAnsi="Times New Roman" w:cs="Times New Roman"/>
        </w:rPr>
        <w:t>will the program assign the sample to a population geographically close to the sample’s true population</w:t>
      </w:r>
      <w:r w:rsidR="006531E0">
        <w:rPr>
          <w:rFonts w:ascii="Times New Roman" w:hAnsi="Times New Roman" w:cs="Times New Roman"/>
        </w:rPr>
        <w:t>.</w:t>
      </w:r>
      <w:r w:rsidR="0083464F">
        <w:rPr>
          <w:rFonts w:ascii="Times New Roman" w:hAnsi="Times New Roman" w:cs="Times New Roman"/>
        </w:rPr>
        <w:t xml:space="preserve"> </w:t>
      </w:r>
      <w:r w:rsidR="0083464F" w:rsidRPr="0083464F">
        <w:rPr>
          <w:rFonts w:ascii="Times New Roman" w:hAnsi="Times New Roman" w:cs="Times New Roman"/>
        </w:rPr>
        <w:t>To investigate these limitations, this study analyzed 319 Korean forensic cases to assess Fordisc’s classification reliability and misclassification patterns.</w:t>
      </w:r>
    </w:p>
    <w:p w14:paraId="0D2A01C5" w14:textId="680835BF" w:rsidR="00F4544D" w:rsidRDefault="003E18CA" w:rsidP="00273D03">
      <w:pPr>
        <w:spacing w:line="480" w:lineRule="auto"/>
        <w:ind w:firstLine="720"/>
        <w:rPr>
          <w:rFonts w:ascii="Times New Roman" w:hAnsi="Times New Roman" w:cs="Times New Roman"/>
        </w:rPr>
      </w:pPr>
      <w:r>
        <w:rPr>
          <w:rFonts w:ascii="Times New Roman" w:hAnsi="Times New Roman" w:cs="Times New Roman"/>
        </w:rPr>
        <w:t>For the study, 319 Korean fore</w:t>
      </w:r>
      <w:r w:rsidR="00B321BB">
        <w:rPr>
          <w:rFonts w:ascii="Times New Roman" w:hAnsi="Times New Roman" w:cs="Times New Roman"/>
        </w:rPr>
        <w:t xml:space="preserve">nsic cases were provided by the National Forensic Service. </w:t>
      </w:r>
      <w:r w:rsidR="00CC59DC">
        <w:rPr>
          <w:rFonts w:ascii="Times New Roman" w:hAnsi="Times New Roman" w:cs="Times New Roman"/>
        </w:rPr>
        <w:t>There were 172 males and 147 females.</w:t>
      </w:r>
      <w:r w:rsidR="007D5816">
        <w:rPr>
          <w:rFonts w:ascii="Times New Roman" w:hAnsi="Times New Roman" w:cs="Times New Roman"/>
        </w:rPr>
        <w:t xml:space="preserve"> </w:t>
      </w:r>
      <w:r w:rsidR="00B702FF">
        <w:rPr>
          <w:rFonts w:ascii="Times New Roman" w:hAnsi="Times New Roman" w:cs="Times New Roman"/>
        </w:rPr>
        <w:t>The mean age for males was 46.7 years old with a standard deviation of 13.3</w:t>
      </w:r>
      <w:r w:rsidR="0084431A">
        <w:rPr>
          <w:rFonts w:ascii="Times New Roman" w:hAnsi="Times New Roman" w:cs="Times New Roman"/>
        </w:rPr>
        <w:t xml:space="preserve"> years and for females 44.9 with a standard deviation of 14.5. </w:t>
      </w:r>
      <w:r w:rsidR="00E0320D">
        <w:rPr>
          <w:rFonts w:ascii="Times New Roman" w:hAnsi="Times New Roman" w:cs="Times New Roman"/>
        </w:rPr>
        <w:t xml:space="preserve">The </w:t>
      </w:r>
      <w:r w:rsidR="00CA629F">
        <w:rPr>
          <w:rFonts w:ascii="Times New Roman" w:hAnsi="Times New Roman" w:cs="Times New Roman"/>
        </w:rPr>
        <w:t xml:space="preserve">total age range for all cases was </w:t>
      </w:r>
      <w:r w:rsidR="0066666A">
        <w:rPr>
          <w:rFonts w:ascii="Times New Roman" w:hAnsi="Times New Roman" w:cs="Times New Roman"/>
        </w:rPr>
        <w:t>20 to 86 years old.</w:t>
      </w:r>
      <w:r w:rsidR="00E0320D">
        <w:rPr>
          <w:rFonts w:ascii="Times New Roman" w:hAnsi="Times New Roman" w:cs="Times New Roman"/>
        </w:rPr>
        <w:t xml:space="preserve"> </w:t>
      </w:r>
      <w:r w:rsidR="00B321BB">
        <w:rPr>
          <w:rFonts w:ascii="Times New Roman" w:hAnsi="Times New Roman" w:cs="Times New Roman"/>
        </w:rPr>
        <w:t xml:space="preserve">The crania </w:t>
      </w:r>
      <w:r w:rsidR="00F64121">
        <w:rPr>
          <w:rFonts w:ascii="Times New Roman" w:hAnsi="Times New Roman" w:cs="Times New Roman"/>
        </w:rPr>
        <w:t xml:space="preserve">had computed tomography </w:t>
      </w:r>
      <w:r w:rsidR="00A11EE2">
        <w:rPr>
          <w:rFonts w:ascii="Times New Roman" w:hAnsi="Times New Roman" w:cs="Times New Roman"/>
        </w:rPr>
        <w:t xml:space="preserve">scans done </w:t>
      </w:r>
      <w:r w:rsidR="004E2F3C">
        <w:rPr>
          <w:rFonts w:ascii="Times New Roman" w:hAnsi="Times New Roman" w:cs="Times New Roman"/>
        </w:rPr>
        <w:t xml:space="preserve">and </w:t>
      </w:r>
      <w:r w:rsidR="00A11EE2">
        <w:rPr>
          <w:rFonts w:ascii="Times New Roman" w:hAnsi="Times New Roman" w:cs="Times New Roman"/>
        </w:rPr>
        <w:t>seventeen measurements were taken where possible</w:t>
      </w:r>
      <w:r w:rsidR="00745620">
        <w:rPr>
          <w:rFonts w:ascii="Times New Roman" w:hAnsi="Times New Roman" w:cs="Times New Roman"/>
        </w:rPr>
        <w:t xml:space="preserve"> (Table 1).</w:t>
      </w:r>
    </w:p>
    <w:p w14:paraId="3556DE85" w14:textId="40F5EDCA"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GOL</w:t>
      </w:r>
      <w:r w:rsidRPr="00F43DB0">
        <w:rPr>
          <w:rFonts w:ascii="Times New Roman" w:hAnsi="Times New Roman" w:cs="Times New Roman"/>
        </w:rPr>
        <w:t xml:space="preserve"> – Maximum Cranial Length</w:t>
      </w:r>
    </w:p>
    <w:p w14:paraId="60A3568D" w14:textId="0A640731"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XCB</w:t>
      </w:r>
      <w:r w:rsidRPr="00F43DB0">
        <w:rPr>
          <w:rFonts w:ascii="Times New Roman" w:hAnsi="Times New Roman" w:cs="Times New Roman"/>
        </w:rPr>
        <w:t xml:space="preserve"> – Maximum Cranial Breadth</w:t>
      </w:r>
    </w:p>
    <w:p w14:paraId="753C4EF0" w14:textId="58F27D4E"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ZYB</w:t>
      </w:r>
      <w:r w:rsidRPr="00F43DB0">
        <w:rPr>
          <w:rFonts w:ascii="Times New Roman" w:hAnsi="Times New Roman" w:cs="Times New Roman"/>
        </w:rPr>
        <w:t xml:space="preserve"> – Bizygomatic Breadth</w:t>
      </w:r>
    </w:p>
    <w:p w14:paraId="25AD46B9" w14:textId="62CCE74F"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BBH</w:t>
      </w:r>
      <w:r w:rsidRPr="00F43DB0">
        <w:rPr>
          <w:rFonts w:ascii="Times New Roman" w:hAnsi="Times New Roman" w:cs="Times New Roman"/>
        </w:rPr>
        <w:t xml:space="preserve"> – Basion-Bregma Height</w:t>
      </w:r>
    </w:p>
    <w:p w14:paraId="037EF2AA" w14:textId="3DB3ED1D"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MAB</w:t>
      </w:r>
      <w:r w:rsidRPr="00F43DB0">
        <w:rPr>
          <w:rFonts w:ascii="Times New Roman" w:hAnsi="Times New Roman" w:cs="Times New Roman"/>
        </w:rPr>
        <w:t xml:space="preserve"> – Palate Breadth</w:t>
      </w:r>
    </w:p>
    <w:p w14:paraId="383013DD" w14:textId="5167A3A8"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MAL</w:t>
      </w:r>
      <w:r w:rsidRPr="00F43DB0">
        <w:rPr>
          <w:rFonts w:ascii="Times New Roman" w:hAnsi="Times New Roman" w:cs="Times New Roman"/>
        </w:rPr>
        <w:t xml:space="preserve"> – Palate Length</w:t>
      </w:r>
    </w:p>
    <w:p w14:paraId="2776D04A" w14:textId="56B77DC0"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AUB</w:t>
      </w:r>
      <w:r w:rsidRPr="00F43DB0">
        <w:rPr>
          <w:rFonts w:ascii="Times New Roman" w:hAnsi="Times New Roman" w:cs="Times New Roman"/>
        </w:rPr>
        <w:t xml:space="preserve"> – Biauricular Breadth</w:t>
      </w:r>
    </w:p>
    <w:p w14:paraId="142179E8" w14:textId="3269C98E"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UFHT</w:t>
      </w:r>
      <w:r w:rsidRPr="00F43DB0">
        <w:rPr>
          <w:rFonts w:ascii="Times New Roman" w:hAnsi="Times New Roman" w:cs="Times New Roman"/>
        </w:rPr>
        <w:t xml:space="preserve"> – Upper Facial Height</w:t>
      </w:r>
    </w:p>
    <w:p w14:paraId="634E76A5" w14:textId="73CE3EC4"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WFB</w:t>
      </w:r>
      <w:r w:rsidRPr="00F43DB0">
        <w:rPr>
          <w:rFonts w:ascii="Times New Roman" w:hAnsi="Times New Roman" w:cs="Times New Roman"/>
        </w:rPr>
        <w:t xml:space="preserve"> – Minimum Frontal Breadth</w:t>
      </w:r>
    </w:p>
    <w:p w14:paraId="542A8F14" w14:textId="336CDAC8"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UFBR</w:t>
      </w:r>
      <w:r w:rsidRPr="00F43DB0">
        <w:rPr>
          <w:rFonts w:ascii="Times New Roman" w:hAnsi="Times New Roman" w:cs="Times New Roman"/>
        </w:rPr>
        <w:t xml:space="preserve"> – Upper Facial Breadth</w:t>
      </w:r>
    </w:p>
    <w:p w14:paraId="7FBFC4C2" w14:textId="79C9106B"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NLB</w:t>
      </w:r>
      <w:r w:rsidRPr="00F43DB0">
        <w:rPr>
          <w:rFonts w:ascii="Times New Roman" w:hAnsi="Times New Roman" w:cs="Times New Roman"/>
        </w:rPr>
        <w:t xml:space="preserve"> – Nasal Breadth</w:t>
      </w:r>
    </w:p>
    <w:p w14:paraId="7AEC4627" w14:textId="55EDEA8E"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lastRenderedPageBreak/>
        <w:t>EKB</w:t>
      </w:r>
      <w:r w:rsidRPr="00F43DB0">
        <w:rPr>
          <w:rFonts w:ascii="Times New Roman" w:hAnsi="Times New Roman" w:cs="Times New Roman"/>
        </w:rPr>
        <w:t xml:space="preserve"> – Biorbital Breadth</w:t>
      </w:r>
    </w:p>
    <w:p w14:paraId="554C33C9" w14:textId="0F8450B6"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FRC</w:t>
      </w:r>
      <w:r w:rsidRPr="00F43DB0">
        <w:rPr>
          <w:rFonts w:ascii="Times New Roman" w:hAnsi="Times New Roman" w:cs="Times New Roman"/>
        </w:rPr>
        <w:t xml:space="preserve"> – Frontal Chord</w:t>
      </w:r>
    </w:p>
    <w:p w14:paraId="676B9C54" w14:textId="20D84169"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PAC</w:t>
      </w:r>
      <w:r w:rsidRPr="00F43DB0">
        <w:rPr>
          <w:rFonts w:ascii="Times New Roman" w:hAnsi="Times New Roman" w:cs="Times New Roman"/>
        </w:rPr>
        <w:t xml:space="preserve"> – Parietal Chord</w:t>
      </w:r>
    </w:p>
    <w:p w14:paraId="26593B74" w14:textId="16643E3A"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OCC</w:t>
      </w:r>
      <w:r w:rsidRPr="00F43DB0">
        <w:rPr>
          <w:rFonts w:ascii="Times New Roman" w:hAnsi="Times New Roman" w:cs="Times New Roman"/>
        </w:rPr>
        <w:t xml:space="preserve"> – Occipital Chord</w:t>
      </w:r>
    </w:p>
    <w:p w14:paraId="484A8B0F" w14:textId="14C96DA6"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FOB</w:t>
      </w:r>
      <w:r w:rsidRPr="00F43DB0">
        <w:rPr>
          <w:rFonts w:ascii="Times New Roman" w:hAnsi="Times New Roman" w:cs="Times New Roman"/>
        </w:rPr>
        <w:t xml:space="preserve"> – Foramen Magnum Breadth</w:t>
      </w:r>
    </w:p>
    <w:p w14:paraId="6EC5A7F2" w14:textId="42AE1B0B"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DKB</w:t>
      </w:r>
      <w:r w:rsidRPr="00F43DB0">
        <w:rPr>
          <w:rFonts w:ascii="Times New Roman" w:hAnsi="Times New Roman" w:cs="Times New Roman"/>
        </w:rPr>
        <w:t xml:space="preserve"> – Interorbital Breadth</w:t>
      </w:r>
    </w:p>
    <w:p w14:paraId="7E5C5B5B" w14:textId="3CC963C9" w:rsidR="00F43DB0" w:rsidRPr="00F43DB0" w:rsidRDefault="00F43DB0" w:rsidP="00F43DB0">
      <w:pPr>
        <w:pStyle w:val="ListParagraph"/>
        <w:numPr>
          <w:ilvl w:val="0"/>
          <w:numId w:val="3"/>
        </w:numPr>
        <w:spacing w:line="480" w:lineRule="auto"/>
        <w:rPr>
          <w:rFonts w:ascii="Times New Roman" w:hAnsi="Times New Roman" w:cs="Times New Roman"/>
        </w:rPr>
      </w:pPr>
      <w:r w:rsidRPr="00F43DB0">
        <w:rPr>
          <w:rFonts w:ascii="Times New Roman" w:hAnsi="Times New Roman" w:cs="Times New Roman"/>
          <w:b/>
          <w:bCs/>
        </w:rPr>
        <w:t>MDH</w:t>
      </w:r>
      <w:r w:rsidRPr="00F43DB0">
        <w:rPr>
          <w:rFonts w:ascii="Times New Roman" w:hAnsi="Times New Roman" w:cs="Times New Roman"/>
        </w:rPr>
        <w:t xml:space="preserve"> – Mastoid Height</w:t>
      </w:r>
    </w:p>
    <w:p w14:paraId="4ACA31F9" w14:textId="77777777" w:rsidR="00C748B7" w:rsidRDefault="00474BB3" w:rsidP="00932438">
      <w:pPr>
        <w:spacing w:line="480" w:lineRule="auto"/>
        <w:rPr>
          <w:rFonts w:ascii="Times New Roman" w:hAnsi="Times New Roman" w:cs="Times New Roman"/>
        </w:rPr>
      </w:pPr>
      <w:r w:rsidRPr="00474BB3">
        <w:rPr>
          <w:rFonts w:ascii="Times New Roman" w:hAnsi="Times New Roman" w:cs="Times New Roman"/>
        </w:rPr>
        <w:t>Due to the incomplete nature of some crania, the number of measurements available varied across cases.</w:t>
      </w:r>
      <w:r>
        <w:rPr>
          <w:rFonts w:ascii="Times New Roman" w:hAnsi="Times New Roman" w:cs="Times New Roman"/>
        </w:rPr>
        <w:t xml:space="preserve"> </w:t>
      </w:r>
      <w:r w:rsidR="007B231B" w:rsidRPr="007B231B">
        <w:rPr>
          <w:rFonts w:ascii="Times New Roman" w:hAnsi="Times New Roman" w:cs="Times New Roman"/>
        </w:rPr>
        <w:t>Fordisc’s internal filtering selected only reference samples with matching measurement sets for analysis.</w:t>
      </w:r>
      <w:r w:rsidR="007B231B">
        <w:rPr>
          <w:rFonts w:ascii="Times New Roman" w:hAnsi="Times New Roman" w:cs="Times New Roman"/>
        </w:rPr>
        <w:t xml:space="preserve"> </w:t>
      </w:r>
      <w:r w:rsidR="00A11EE2">
        <w:rPr>
          <w:rFonts w:ascii="Times New Roman" w:hAnsi="Times New Roman" w:cs="Times New Roman"/>
        </w:rPr>
        <w:t>These measurements were input into the program following best practice protoco</w:t>
      </w:r>
      <w:r w:rsidR="00F936BE">
        <w:rPr>
          <w:rFonts w:ascii="Times New Roman" w:hAnsi="Times New Roman" w:cs="Times New Roman"/>
        </w:rPr>
        <w:t xml:space="preserve">ls, the sex was specified, and the </w:t>
      </w:r>
      <w:r w:rsidR="00182310">
        <w:rPr>
          <w:rFonts w:ascii="Times New Roman" w:hAnsi="Times New Roman" w:cs="Times New Roman"/>
        </w:rPr>
        <w:t xml:space="preserve">crania were </w:t>
      </w:r>
      <w:r w:rsidR="00696213">
        <w:rPr>
          <w:rFonts w:ascii="Times New Roman" w:hAnsi="Times New Roman" w:cs="Times New Roman"/>
        </w:rPr>
        <w:t>run</w:t>
      </w:r>
      <w:r w:rsidR="00182310">
        <w:rPr>
          <w:rFonts w:ascii="Times New Roman" w:hAnsi="Times New Roman" w:cs="Times New Roman"/>
        </w:rPr>
        <w:t xml:space="preserve"> against the Forensic Data Bank (FDB)</w:t>
      </w:r>
      <w:r w:rsidR="00890A3B">
        <w:rPr>
          <w:rFonts w:ascii="Times New Roman" w:hAnsi="Times New Roman" w:cs="Times New Roman"/>
        </w:rPr>
        <w:t xml:space="preserve"> sample populations</w:t>
      </w:r>
      <w:r w:rsidR="00A11EE2">
        <w:rPr>
          <w:rFonts w:ascii="Times New Roman" w:hAnsi="Times New Roman" w:cs="Times New Roman"/>
        </w:rPr>
        <w:t xml:space="preserve">. </w:t>
      </w:r>
      <w:r w:rsidR="007D5816">
        <w:rPr>
          <w:rFonts w:ascii="Times New Roman" w:hAnsi="Times New Roman" w:cs="Times New Roman"/>
        </w:rPr>
        <w:t xml:space="preserve">The stepwise option was </w:t>
      </w:r>
      <w:r w:rsidR="003322E2">
        <w:rPr>
          <w:rFonts w:ascii="Times New Roman" w:hAnsi="Times New Roman" w:cs="Times New Roman"/>
        </w:rPr>
        <w:t>chosen when analyzing the crania as well.</w:t>
      </w:r>
    </w:p>
    <w:p w14:paraId="70212931" w14:textId="769A0F0D" w:rsidR="00666992" w:rsidRPr="006B715F" w:rsidRDefault="00A10FA4" w:rsidP="006B715F">
      <w:pPr>
        <w:spacing w:line="480" w:lineRule="auto"/>
        <w:ind w:firstLine="720"/>
        <w:rPr>
          <w:rFonts w:ascii="Times New Roman" w:hAnsi="Times New Roman" w:cs="Times New Roman"/>
        </w:rPr>
      </w:pPr>
      <w:r>
        <w:rPr>
          <w:rFonts w:ascii="Times New Roman" w:hAnsi="Times New Roman" w:cs="Times New Roman"/>
        </w:rPr>
        <w:t xml:space="preserve">For </w:t>
      </w:r>
      <w:r w:rsidR="00CB7A93">
        <w:rPr>
          <w:rFonts w:ascii="Times New Roman" w:hAnsi="Times New Roman" w:cs="Times New Roman"/>
        </w:rPr>
        <w:t>co</w:t>
      </w:r>
      <w:r w:rsidR="004813A9">
        <w:rPr>
          <w:rFonts w:ascii="Times New Roman" w:hAnsi="Times New Roman" w:cs="Times New Roman"/>
        </w:rPr>
        <w:t>nsistency</w:t>
      </w:r>
      <w:r w:rsidR="00CB7A93">
        <w:rPr>
          <w:rFonts w:ascii="Times New Roman" w:hAnsi="Times New Roman" w:cs="Times New Roman"/>
        </w:rPr>
        <w:t xml:space="preserve"> only</w:t>
      </w:r>
      <w:r w:rsidR="00564A67">
        <w:rPr>
          <w:rFonts w:ascii="Times New Roman" w:hAnsi="Times New Roman" w:cs="Times New Roman"/>
        </w:rPr>
        <w:t xml:space="preserve"> the top</w:t>
      </w:r>
      <w:r w:rsidR="00CB7A93">
        <w:rPr>
          <w:rFonts w:ascii="Times New Roman" w:hAnsi="Times New Roman" w:cs="Times New Roman"/>
        </w:rPr>
        <w:t xml:space="preserve"> three</w:t>
      </w:r>
      <w:r w:rsidR="008D1415">
        <w:rPr>
          <w:rFonts w:ascii="Times New Roman" w:hAnsi="Times New Roman" w:cs="Times New Roman"/>
        </w:rPr>
        <w:t xml:space="preserve"> populations</w:t>
      </w:r>
      <w:r w:rsidR="00CB7A93">
        <w:rPr>
          <w:rFonts w:ascii="Times New Roman" w:hAnsi="Times New Roman" w:cs="Times New Roman"/>
        </w:rPr>
        <w:t xml:space="preserve"> </w:t>
      </w:r>
      <w:r w:rsidR="004813A9">
        <w:rPr>
          <w:rFonts w:ascii="Times New Roman" w:hAnsi="Times New Roman" w:cs="Times New Roman"/>
        </w:rPr>
        <w:t xml:space="preserve">were recorded based on the </w:t>
      </w:r>
      <w:r w:rsidR="003B1845">
        <w:rPr>
          <w:rFonts w:ascii="Times New Roman" w:hAnsi="Times New Roman" w:cs="Times New Roman"/>
        </w:rPr>
        <w:t>PP</w:t>
      </w:r>
      <w:r w:rsidR="00B3196F">
        <w:rPr>
          <w:rFonts w:ascii="Times New Roman" w:hAnsi="Times New Roman" w:cs="Times New Roman"/>
        </w:rPr>
        <w:t xml:space="preserve"> and </w:t>
      </w:r>
      <w:r w:rsidR="004813A9">
        <w:rPr>
          <w:rFonts w:ascii="Times New Roman" w:hAnsi="Times New Roman" w:cs="Times New Roman"/>
        </w:rPr>
        <w:t xml:space="preserve">the corresponding </w:t>
      </w:r>
      <w:r w:rsidR="00B3196F">
        <w:rPr>
          <w:rFonts w:ascii="Times New Roman" w:hAnsi="Times New Roman" w:cs="Times New Roman"/>
        </w:rPr>
        <w:t>T</w:t>
      </w:r>
      <w:r w:rsidR="008D1415">
        <w:rPr>
          <w:rFonts w:ascii="Times New Roman" w:hAnsi="Times New Roman" w:cs="Times New Roman"/>
        </w:rPr>
        <w:t>P</w:t>
      </w:r>
      <w:r w:rsidR="003B1845">
        <w:rPr>
          <w:rFonts w:ascii="Times New Roman" w:hAnsi="Times New Roman" w:cs="Times New Roman"/>
        </w:rPr>
        <w:t xml:space="preserve"> </w:t>
      </w:r>
      <w:r w:rsidR="00B617B9">
        <w:rPr>
          <w:rFonts w:ascii="Times New Roman" w:hAnsi="Times New Roman" w:cs="Times New Roman"/>
        </w:rPr>
        <w:t>for each case.</w:t>
      </w:r>
      <w:r w:rsidR="00564A67">
        <w:rPr>
          <w:rFonts w:ascii="Times New Roman" w:hAnsi="Times New Roman" w:cs="Times New Roman"/>
        </w:rPr>
        <w:t xml:space="preserve"> </w:t>
      </w:r>
      <w:r w:rsidR="00925655">
        <w:rPr>
          <w:rFonts w:ascii="Times New Roman" w:hAnsi="Times New Roman" w:cs="Times New Roman"/>
        </w:rPr>
        <w:t xml:space="preserve">Since it is known that there are no Korean cranial measurements in the </w:t>
      </w:r>
      <w:r w:rsidR="00E10632">
        <w:rPr>
          <w:rFonts w:ascii="Times New Roman" w:hAnsi="Times New Roman" w:cs="Times New Roman"/>
        </w:rPr>
        <w:t>F</w:t>
      </w:r>
      <w:r w:rsidR="00182310">
        <w:rPr>
          <w:rFonts w:ascii="Times New Roman" w:hAnsi="Times New Roman" w:cs="Times New Roman"/>
        </w:rPr>
        <w:t>DB</w:t>
      </w:r>
      <w:r w:rsidR="00925655">
        <w:rPr>
          <w:rFonts w:ascii="Times New Roman" w:hAnsi="Times New Roman" w:cs="Times New Roman"/>
        </w:rPr>
        <w:t xml:space="preserve">, the Korean crania will identify with a population that is 100% incorrect. </w:t>
      </w:r>
      <w:r w:rsidR="00B617B9">
        <w:rPr>
          <w:rFonts w:ascii="Times New Roman" w:hAnsi="Times New Roman" w:cs="Times New Roman"/>
        </w:rPr>
        <w:t>Therefore, this study focused on identifying patterns of consistent misclassifications.</w:t>
      </w:r>
      <w:r w:rsidR="00EC1CD9">
        <w:rPr>
          <w:rFonts w:ascii="Times New Roman" w:hAnsi="Times New Roman" w:cs="Times New Roman"/>
        </w:rPr>
        <w:t xml:space="preserve"> Additionally, a more conservative threshold of a PP of 0.9 </w:t>
      </w:r>
      <w:r w:rsidR="00BA7A1E">
        <w:rPr>
          <w:rFonts w:ascii="Times New Roman" w:hAnsi="Times New Roman" w:cs="Times New Roman"/>
        </w:rPr>
        <w:t>or greater and a typicality between 0.01 and 0.05 was applied to evaluate whether s</w:t>
      </w:r>
      <w:r w:rsidR="00A02216">
        <w:rPr>
          <w:rFonts w:ascii="Times New Roman" w:hAnsi="Times New Roman" w:cs="Times New Roman"/>
        </w:rPr>
        <w:t xml:space="preserve">tricter criteria would reduce the error risk. </w:t>
      </w:r>
    </w:p>
    <w:p w14:paraId="572DF5B8" w14:textId="524D0762" w:rsidR="003E18CA" w:rsidRPr="00666992" w:rsidRDefault="003E18CA" w:rsidP="00115605">
      <w:pPr>
        <w:spacing w:line="480" w:lineRule="auto"/>
        <w:jc w:val="center"/>
        <w:rPr>
          <w:rFonts w:ascii="Times New Roman" w:hAnsi="Times New Roman" w:cs="Times New Roman"/>
          <w:b/>
          <w:bCs/>
        </w:rPr>
      </w:pPr>
      <w:r w:rsidRPr="00666992">
        <w:rPr>
          <w:rFonts w:ascii="Times New Roman" w:hAnsi="Times New Roman" w:cs="Times New Roman"/>
          <w:b/>
          <w:bCs/>
        </w:rPr>
        <w:t>Results</w:t>
      </w:r>
    </w:p>
    <w:p w14:paraId="65C3F80A" w14:textId="0F9B0FBC" w:rsidR="006263C0" w:rsidRDefault="00612646" w:rsidP="009A1204">
      <w:pPr>
        <w:spacing w:line="480" w:lineRule="auto"/>
        <w:ind w:firstLine="720"/>
        <w:rPr>
          <w:rFonts w:ascii="Times New Roman" w:hAnsi="Times New Roman" w:cs="Times New Roman"/>
        </w:rPr>
      </w:pPr>
      <w:r>
        <w:rPr>
          <w:rFonts w:ascii="Times New Roman" w:hAnsi="Times New Roman" w:cs="Times New Roman"/>
        </w:rPr>
        <w:t xml:space="preserve">Of the 319 cases, </w:t>
      </w:r>
      <w:r w:rsidR="005D1588">
        <w:rPr>
          <w:rFonts w:ascii="Times New Roman" w:hAnsi="Times New Roman" w:cs="Times New Roman"/>
        </w:rPr>
        <w:t>130</w:t>
      </w:r>
      <w:r>
        <w:rPr>
          <w:rFonts w:ascii="Times New Roman" w:hAnsi="Times New Roman" w:cs="Times New Roman"/>
        </w:rPr>
        <w:t xml:space="preserve"> (</w:t>
      </w:r>
      <w:r w:rsidR="000356FF">
        <w:rPr>
          <w:rFonts w:ascii="Times New Roman" w:hAnsi="Times New Roman" w:cs="Times New Roman"/>
        </w:rPr>
        <w:t>40.7%)</w:t>
      </w:r>
      <w:r w:rsidR="005D1588">
        <w:rPr>
          <w:rFonts w:ascii="Times New Roman" w:hAnsi="Times New Roman" w:cs="Times New Roman"/>
        </w:rPr>
        <w:t xml:space="preserve"> met the </w:t>
      </w:r>
      <w:r w:rsidR="000356FF">
        <w:rPr>
          <w:rFonts w:ascii="Times New Roman" w:hAnsi="Times New Roman" w:cs="Times New Roman"/>
        </w:rPr>
        <w:t xml:space="preserve">standard threshold </w:t>
      </w:r>
      <w:r w:rsidR="005D1588">
        <w:rPr>
          <w:rFonts w:ascii="Times New Roman" w:hAnsi="Times New Roman" w:cs="Times New Roman"/>
        </w:rPr>
        <w:t xml:space="preserve">of </w:t>
      </w:r>
      <w:r w:rsidR="008517D7">
        <w:rPr>
          <w:rFonts w:ascii="Times New Roman" w:hAnsi="Times New Roman" w:cs="Times New Roman"/>
        </w:rPr>
        <w:t xml:space="preserve">a PP of 0.8 or </w:t>
      </w:r>
      <w:r w:rsidR="003D1D0D">
        <w:rPr>
          <w:rFonts w:ascii="Times New Roman" w:hAnsi="Times New Roman" w:cs="Times New Roman"/>
        </w:rPr>
        <w:t>greater,</w:t>
      </w:r>
      <w:r w:rsidR="003B315C">
        <w:rPr>
          <w:rFonts w:ascii="Times New Roman" w:hAnsi="Times New Roman" w:cs="Times New Roman"/>
        </w:rPr>
        <w:t xml:space="preserve"> suggesting high confidence in the assigned population despite the known absence of Koreans in Fordisc’s database</w:t>
      </w:r>
      <w:r w:rsidR="003A7466">
        <w:rPr>
          <w:rFonts w:ascii="Times New Roman" w:hAnsi="Times New Roman" w:cs="Times New Roman"/>
        </w:rPr>
        <w:t xml:space="preserve"> (F</w:t>
      </w:r>
      <w:r w:rsidR="003B315C">
        <w:rPr>
          <w:rFonts w:ascii="Times New Roman" w:hAnsi="Times New Roman" w:cs="Times New Roman"/>
        </w:rPr>
        <w:t>i</w:t>
      </w:r>
      <w:r w:rsidR="003A7466">
        <w:rPr>
          <w:rFonts w:ascii="Times New Roman" w:hAnsi="Times New Roman" w:cs="Times New Roman"/>
        </w:rPr>
        <w:t>gure 1)</w:t>
      </w:r>
      <w:r w:rsidR="009D594A">
        <w:rPr>
          <w:rFonts w:ascii="Times New Roman" w:hAnsi="Times New Roman" w:cs="Times New Roman"/>
        </w:rPr>
        <w:t xml:space="preserve">. </w:t>
      </w:r>
      <w:r w:rsidR="00E3352C">
        <w:rPr>
          <w:rFonts w:ascii="Times New Roman" w:hAnsi="Times New Roman" w:cs="Times New Roman"/>
        </w:rPr>
        <w:t xml:space="preserve">156 cases </w:t>
      </w:r>
      <w:r w:rsidR="00FE3512">
        <w:rPr>
          <w:rFonts w:ascii="Times New Roman" w:hAnsi="Times New Roman" w:cs="Times New Roman"/>
        </w:rPr>
        <w:t>had the</w:t>
      </w:r>
      <w:r w:rsidR="00EA5F01">
        <w:rPr>
          <w:rFonts w:ascii="Times New Roman" w:hAnsi="Times New Roman" w:cs="Times New Roman"/>
        </w:rPr>
        <w:t xml:space="preserve"> </w:t>
      </w:r>
      <w:r w:rsidR="00ED0218">
        <w:rPr>
          <w:rFonts w:ascii="Times New Roman" w:hAnsi="Times New Roman" w:cs="Times New Roman"/>
        </w:rPr>
        <w:t xml:space="preserve">top </w:t>
      </w:r>
      <w:r w:rsidR="00FE3512">
        <w:rPr>
          <w:rFonts w:ascii="Times New Roman" w:hAnsi="Times New Roman" w:cs="Times New Roman"/>
        </w:rPr>
        <w:t>TP</w:t>
      </w:r>
      <w:r w:rsidR="00ED0218">
        <w:rPr>
          <w:rFonts w:ascii="Times New Roman" w:hAnsi="Times New Roman" w:cs="Times New Roman"/>
        </w:rPr>
        <w:t>Rank</w:t>
      </w:r>
      <w:r w:rsidR="00FE3512">
        <w:rPr>
          <w:rFonts w:ascii="Times New Roman" w:hAnsi="Times New Roman" w:cs="Times New Roman"/>
        </w:rPr>
        <w:t xml:space="preserve"> between 0.003 and 0.103.</w:t>
      </w:r>
      <w:r w:rsidR="000C7B87" w:rsidRPr="000C7B87">
        <w:rPr>
          <w:rFonts w:ascii="Times New Roman" w:hAnsi="Times New Roman" w:cs="Times New Roman"/>
        </w:rPr>
        <w:t xml:space="preserve"> </w:t>
      </w:r>
      <w:r w:rsidR="00FC6496">
        <w:rPr>
          <w:rFonts w:ascii="Times New Roman" w:hAnsi="Times New Roman" w:cs="Times New Roman"/>
        </w:rPr>
        <w:t xml:space="preserve">This </w:t>
      </w:r>
      <w:r w:rsidR="003D1D0D">
        <w:rPr>
          <w:rFonts w:ascii="Times New Roman" w:hAnsi="Times New Roman" w:cs="Times New Roman"/>
        </w:rPr>
        <w:lastRenderedPageBreak/>
        <w:t>indicates</w:t>
      </w:r>
      <w:r w:rsidR="00FC6496">
        <w:rPr>
          <w:rFonts w:ascii="Times New Roman" w:hAnsi="Times New Roman" w:cs="Times New Roman"/>
        </w:rPr>
        <w:t xml:space="preserve"> that while Fordisc assigned them to a population, the crania are generally more atypical than typical relative to the reference group. </w:t>
      </w:r>
      <w:r w:rsidR="000C7B87">
        <w:rPr>
          <w:rFonts w:ascii="Times New Roman" w:hAnsi="Times New Roman" w:cs="Times New Roman"/>
        </w:rPr>
        <w:t>Only 2</w:t>
      </w:r>
      <w:r w:rsidR="006F3DF7">
        <w:rPr>
          <w:rFonts w:ascii="Times New Roman" w:hAnsi="Times New Roman" w:cs="Times New Roman"/>
        </w:rPr>
        <w:t xml:space="preserve">9 </w:t>
      </w:r>
      <w:r w:rsidR="000C7B87">
        <w:rPr>
          <w:rFonts w:ascii="Times New Roman" w:hAnsi="Times New Roman" w:cs="Times New Roman"/>
        </w:rPr>
        <w:t>cases</w:t>
      </w:r>
      <w:r w:rsidR="006263C0">
        <w:rPr>
          <w:rFonts w:ascii="Times New Roman" w:hAnsi="Times New Roman" w:cs="Times New Roman"/>
        </w:rPr>
        <w:t xml:space="preserve"> (9.1%) </w:t>
      </w:r>
      <w:r w:rsidR="000C7B87">
        <w:rPr>
          <w:rFonts w:ascii="Times New Roman" w:hAnsi="Times New Roman" w:cs="Times New Roman"/>
        </w:rPr>
        <w:t>fell below the standard</w:t>
      </w:r>
      <w:r w:rsidR="006F3DF7">
        <w:rPr>
          <w:rFonts w:ascii="Times New Roman" w:hAnsi="Times New Roman" w:cs="Times New Roman"/>
        </w:rPr>
        <w:t xml:space="preserve"> </w:t>
      </w:r>
      <w:r w:rsidR="006263C0">
        <w:rPr>
          <w:rFonts w:ascii="Times New Roman" w:hAnsi="Times New Roman" w:cs="Times New Roman"/>
        </w:rPr>
        <w:t>threshold</w:t>
      </w:r>
      <w:r w:rsidR="000C7B87">
        <w:rPr>
          <w:rFonts w:ascii="Times New Roman" w:hAnsi="Times New Roman" w:cs="Times New Roman"/>
        </w:rPr>
        <w:t xml:space="preserve"> of 0.01 or greater</w:t>
      </w:r>
      <w:r w:rsidR="003A7466">
        <w:rPr>
          <w:rFonts w:ascii="Times New Roman" w:hAnsi="Times New Roman" w:cs="Times New Roman"/>
        </w:rPr>
        <w:t xml:space="preserve"> (Figure 2)</w:t>
      </w:r>
      <w:r w:rsidR="000C7B87">
        <w:rPr>
          <w:rFonts w:ascii="Times New Roman" w:hAnsi="Times New Roman" w:cs="Times New Roman"/>
        </w:rPr>
        <w:t>.</w:t>
      </w:r>
      <w:r w:rsidR="0093648C">
        <w:rPr>
          <w:rFonts w:ascii="Times New Roman" w:hAnsi="Times New Roman" w:cs="Times New Roman"/>
        </w:rPr>
        <w:t xml:space="preserve"> </w:t>
      </w:r>
      <w:r w:rsidR="008E2D9A">
        <w:rPr>
          <w:rFonts w:ascii="Times New Roman" w:hAnsi="Times New Roman" w:cs="Times New Roman"/>
        </w:rPr>
        <w:t>The three highest population</w:t>
      </w:r>
      <w:r w:rsidR="000E7F9E">
        <w:rPr>
          <w:rFonts w:ascii="Times New Roman" w:hAnsi="Times New Roman" w:cs="Times New Roman"/>
        </w:rPr>
        <w:t xml:space="preserve"> affiliations for males</w:t>
      </w:r>
      <w:r w:rsidR="00D5098F">
        <w:rPr>
          <w:rFonts w:ascii="Times New Roman" w:hAnsi="Times New Roman" w:cs="Times New Roman"/>
        </w:rPr>
        <w:t xml:space="preserve"> (n=172)</w:t>
      </w:r>
      <w:r w:rsidR="000E7F9E">
        <w:rPr>
          <w:rFonts w:ascii="Times New Roman" w:hAnsi="Times New Roman" w:cs="Times New Roman"/>
        </w:rPr>
        <w:t xml:space="preserve"> were</w:t>
      </w:r>
      <w:r w:rsidR="006263C0">
        <w:rPr>
          <w:rFonts w:ascii="Times New Roman" w:hAnsi="Times New Roman" w:cs="Times New Roman"/>
        </w:rPr>
        <w:t>:</w:t>
      </w:r>
    </w:p>
    <w:p w14:paraId="03A62401" w14:textId="7E02A27F" w:rsidR="006263C0" w:rsidRPr="006263C0" w:rsidRDefault="0049759C" w:rsidP="006263C0">
      <w:pPr>
        <w:pStyle w:val="ListParagraph"/>
        <w:numPr>
          <w:ilvl w:val="0"/>
          <w:numId w:val="4"/>
        </w:numPr>
        <w:spacing w:line="480" w:lineRule="auto"/>
        <w:rPr>
          <w:rFonts w:ascii="Times New Roman" w:hAnsi="Times New Roman" w:cs="Times New Roman"/>
        </w:rPr>
      </w:pPr>
      <w:r w:rsidRPr="006263C0">
        <w:rPr>
          <w:rFonts w:ascii="Times New Roman" w:hAnsi="Times New Roman" w:cs="Times New Roman"/>
        </w:rPr>
        <w:t>American Indian (51)</w:t>
      </w:r>
    </w:p>
    <w:p w14:paraId="2D7014AD" w14:textId="77777777" w:rsidR="006263C0" w:rsidRDefault="0049759C" w:rsidP="006263C0">
      <w:pPr>
        <w:pStyle w:val="ListParagraph"/>
        <w:numPr>
          <w:ilvl w:val="0"/>
          <w:numId w:val="4"/>
        </w:numPr>
        <w:spacing w:line="480" w:lineRule="auto"/>
        <w:rPr>
          <w:rFonts w:ascii="Times New Roman" w:hAnsi="Times New Roman" w:cs="Times New Roman"/>
        </w:rPr>
      </w:pPr>
      <w:r w:rsidRPr="006263C0">
        <w:rPr>
          <w:rFonts w:ascii="Times New Roman" w:hAnsi="Times New Roman" w:cs="Times New Roman"/>
        </w:rPr>
        <w:t>Vietnamese (40)</w:t>
      </w:r>
      <w:r w:rsidR="006263C0">
        <w:rPr>
          <w:rFonts w:ascii="Times New Roman" w:hAnsi="Times New Roman" w:cs="Times New Roman"/>
        </w:rPr>
        <w:t xml:space="preserve"> </w:t>
      </w:r>
    </w:p>
    <w:p w14:paraId="43F9508F" w14:textId="2DF88CBE" w:rsidR="006263C0" w:rsidRPr="006263C0" w:rsidRDefault="0049759C" w:rsidP="006263C0">
      <w:pPr>
        <w:pStyle w:val="ListParagraph"/>
        <w:numPr>
          <w:ilvl w:val="0"/>
          <w:numId w:val="4"/>
        </w:numPr>
        <w:spacing w:line="480" w:lineRule="auto"/>
        <w:rPr>
          <w:rFonts w:ascii="Times New Roman" w:hAnsi="Times New Roman" w:cs="Times New Roman"/>
        </w:rPr>
      </w:pPr>
      <w:r w:rsidRPr="006263C0">
        <w:rPr>
          <w:rFonts w:ascii="Times New Roman" w:hAnsi="Times New Roman" w:cs="Times New Roman"/>
        </w:rPr>
        <w:t xml:space="preserve">Chinese (31). </w:t>
      </w:r>
    </w:p>
    <w:p w14:paraId="1C8FD70D" w14:textId="04AE83A6" w:rsidR="00ED1718" w:rsidRDefault="0049759C" w:rsidP="006263C0">
      <w:pPr>
        <w:spacing w:line="480" w:lineRule="auto"/>
        <w:rPr>
          <w:rFonts w:ascii="Times New Roman" w:hAnsi="Times New Roman" w:cs="Times New Roman"/>
        </w:rPr>
      </w:pPr>
      <w:r w:rsidRPr="006263C0">
        <w:rPr>
          <w:rFonts w:ascii="Times New Roman" w:hAnsi="Times New Roman" w:cs="Times New Roman"/>
        </w:rPr>
        <w:t>The rest of the</w:t>
      </w:r>
      <w:r w:rsidR="00ED1718">
        <w:rPr>
          <w:rFonts w:ascii="Times New Roman" w:hAnsi="Times New Roman" w:cs="Times New Roman"/>
        </w:rPr>
        <w:t xml:space="preserve"> male</w:t>
      </w:r>
      <w:r w:rsidRPr="006263C0">
        <w:rPr>
          <w:rFonts w:ascii="Times New Roman" w:hAnsi="Times New Roman" w:cs="Times New Roman"/>
        </w:rPr>
        <w:t xml:space="preserve"> cases</w:t>
      </w:r>
      <w:r w:rsidR="009A1204" w:rsidRPr="006263C0">
        <w:rPr>
          <w:rFonts w:ascii="Times New Roman" w:hAnsi="Times New Roman" w:cs="Times New Roman"/>
        </w:rPr>
        <w:t xml:space="preserve"> affiliated with Japanese (28), Guatemalan (8), White (7), Hispanic (5), Black (2)</w:t>
      </w:r>
      <w:r w:rsidR="006B715F">
        <w:rPr>
          <w:rFonts w:ascii="Times New Roman" w:hAnsi="Times New Roman" w:cs="Times New Roman"/>
        </w:rPr>
        <w:t xml:space="preserve"> (Figure 3)</w:t>
      </w:r>
      <w:r w:rsidR="009A1204" w:rsidRPr="006263C0">
        <w:rPr>
          <w:rFonts w:ascii="Times New Roman" w:hAnsi="Times New Roman" w:cs="Times New Roman"/>
        </w:rPr>
        <w:t>. The three highest for females</w:t>
      </w:r>
      <w:r w:rsidR="00D5098F">
        <w:rPr>
          <w:rFonts w:ascii="Times New Roman" w:hAnsi="Times New Roman" w:cs="Times New Roman"/>
        </w:rPr>
        <w:t xml:space="preserve"> (n=147)</w:t>
      </w:r>
      <w:r w:rsidR="009A1204" w:rsidRPr="006263C0">
        <w:rPr>
          <w:rFonts w:ascii="Times New Roman" w:hAnsi="Times New Roman" w:cs="Times New Roman"/>
        </w:rPr>
        <w:t xml:space="preserve"> were</w:t>
      </w:r>
      <w:r w:rsidR="00ED1718">
        <w:rPr>
          <w:rFonts w:ascii="Times New Roman" w:hAnsi="Times New Roman" w:cs="Times New Roman"/>
        </w:rPr>
        <w:t>:</w:t>
      </w:r>
    </w:p>
    <w:p w14:paraId="00EE79F5" w14:textId="77777777" w:rsidR="00ED1718" w:rsidRDefault="008A63AB" w:rsidP="00ED1718">
      <w:pPr>
        <w:pStyle w:val="ListParagraph"/>
        <w:numPr>
          <w:ilvl w:val="0"/>
          <w:numId w:val="6"/>
        </w:numPr>
        <w:spacing w:line="480" w:lineRule="auto"/>
        <w:rPr>
          <w:rFonts w:ascii="Times New Roman" w:hAnsi="Times New Roman" w:cs="Times New Roman"/>
        </w:rPr>
      </w:pPr>
      <w:r w:rsidRPr="00ED1718">
        <w:rPr>
          <w:rFonts w:ascii="Times New Roman" w:hAnsi="Times New Roman" w:cs="Times New Roman"/>
        </w:rPr>
        <w:t>Japanese (57)</w:t>
      </w:r>
    </w:p>
    <w:p w14:paraId="3DFCCA07" w14:textId="77777777" w:rsidR="00ED1718" w:rsidRDefault="008A63AB" w:rsidP="00ED1718">
      <w:pPr>
        <w:pStyle w:val="ListParagraph"/>
        <w:numPr>
          <w:ilvl w:val="0"/>
          <w:numId w:val="6"/>
        </w:numPr>
        <w:spacing w:line="480" w:lineRule="auto"/>
        <w:rPr>
          <w:rFonts w:ascii="Times New Roman" w:hAnsi="Times New Roman" w:cs="Times New Roman"/>
        </w:rPr>
      </w:pPr>
      <w:r w:rsidRPr="00ED1718">
        <w:rPr>
          <w:rFonts w:ascii="Times New Roman" w:hAnsi="Times New Roman" w:cs="Times New Roman"/>
        </w:rPr>
        <w:t xml:space="preserve">American Indian (41) </w:t>
      </w:r>
    </w:p>
    <w:p w14:paraId="4EF134CD" w14:textId="77777777" w:rsidR="00D5098F" w:rsidRDefault="008A63AB" w:rsidP="00D5098F">
      <w:pPr>
        <w:pStyle w:val="ListParagraph"/>
        <w:numPr>
          <w:ilvl w:val="0"/>
          <w:numId w:val="6"/>
        </w:numPr>
        <w:spacing w:line="480" w:lineRule="auto"/>
        <w:rPr>
          <w:rFonts w:ascii="Times New Roman" w:hAnsi="Times New Roman" w:cs="Times New Roman"/>
        </w:rPr>
      </w:pPr>
      <w:r w:rsidRPr="00ED1718">
        <w:rPr>
          <w:rFonts w:ascii="Times New Roman" w:hAnsi="Times New Roman" w:cs="Times New Roman"/>
        </w:rPr>
        <w:t>His</w:t>
      </w:r>
      <w:r w:rsidR="00B56A79" w:rsidRPr="00ED1718">
        <w:rPr>
          <w:rFonts w:ascii="Times New Roman" w:hAnsi="Times New Roman" w:cs="Times New Roman"/>
        </w:rPr>
        <w:t>panic (35)</w:t>
      </w:r>
      <w:r w:rsidR="009A1204" w:rsidRPr="00ED1718">
        <w:rPr>
          <w:rFonts w:ascii="Times New Roman" w:hAnsi="Times New Roman" w:cs="Times New Roman"/>
        </w:rPr>
        <w:t xml:space="preserve">. </w:t>
      </w:r>
    </w:p>
    <w:p w14:paraId="517753FA" w14:textId="6A1A8C1A" w:rsidR="00C47370" w:rsidRDefault="009A1204" w:rsidP="00C47370">
      <w:pPr>
        <w:spacing w:line="480" w:lineRule="auto"/>
        <w:rPr>
          <w:rFonts w:ascii="Times New Roman" w:hAnsi="Times New Roman" w:cs="Times New Roman"/>
        </w:rPr>
      </w:pPr>
      <w:r w:rsidRPr="00D5098F">
        <w:rPr>
          <w:rFonts w:ascii="Times New Roman" w:hAnsi="Times New Roman" w:cs="Times New Roman"/>
        </w:rPr>
        <w:t xml:space="preserve">The remainder of the female cases affiliated with </w:t>
      </w:r>
      <w:r w:rsidR="005D48DA" w:rsidRPr="00D5098F">
        <w:rPr>
          <w:rFonts w:ascii="Times New Roman" w:hAnsi="Times New Roman" w:cs="Times New Roman"/>
        </w:rPr>
        <w:t>Black (10)</w:t>
      </w:r>
      <w:r w:rsidRPr="00D5098F">
        <w:rPr>
          <w:rFonts w:ascii="Times New Roman" w:hAnsi="Times New Roman" w:cs="Times New Roman"/>
        </w:rPr>
        <w:t xml:space="preserve"> and</w:t>
      </w:r>
      <w:r w:rsidR="005D48DA" w:rsidRPr="00D5098F">
        <w:rPr>
          <w:rFonts w:ascii="Times New Roman" w:hAnsi="Times New Roman" w:cs="Times New Roman"/>
        </w:rPr>
        <w:t xml:space="preserve"> White (4)</w:t>
      </w:r>
      <w:r w:rsidR="006B715F">
        <w:rPr>
          <w:rFonts w:ascii="Times New Roman" w:hAnsi="Times New Roman" w:cs="Times New Roman"/>
        </w:rPr>
        <w:t xml:space="preserve"> (Figure 3)</w:t>
      </w:r>
      <w:r w:rsidRPr="00D5098F">
        <w:rPr>
          <w:rFonts w:ascii="Times New Roman" w:hAnsi="Times New Roman" w:cs="Times New Roman"/>
        </w:rPr>
        <w:t>.</w:t>
      </w:r>
      <w:r w:rsidR="00254822" w:rsidRPr="00D5098F">
        <w:rPr>
          <w:rFonts w:ascii="Times New Roman" w:hAnsi="Times New Roman" w:cs="Times New Roman"/>
        </w:rPr>
        <w:t xml:space="preserve"> </w:t>
      </w:r>
      <w:r w:rsidR="00D5098F">
        <w:rPr>
          <w:rFonts w:ascii="Times New Roman" w:hAnsi="Times New Roman" w:cs="Times New Roman"/>
        </w:rPr>
        <w:t xml:space="preserve">Overall, 248 cases were classified as “Asian” Populations (American Indian, Japanese, Vietnamese, or Chinese). This is 77.7% of the total cases. </w:t>
      </w:r>
      <w:r w:rsidR="00C47370">
        <w:rPr>
          <w:rFonts w:ascii="Times New Roman" w:hAnsi="Times New Roman" w:cs="Times New Roman"/>
        </w:rPr>
        <w:t xml:space="preserve">The difference in male and female classification patterns may reflect morphological variation and is likely influenced by the limited female populations available in the program. </w:t>
      </w:r>
    </w:p>
    <w:p w14:paraId="7EF6937A" w14:textId="77777777" w:rsidR="00957034" w:rsidRDefault="0074567A" w:rsidP="00312AD9">
      <w:pPr>
        <w:spacing w:line="480" w:lineRule="auto"/>
        <w:rPr>
          <w:rFonts w:ascii="Times New Roman" w:hAnsi="Times New Roman" w:cs="Times New Roman"/>
        </w:rPr>
      </w:pPr>
      <w:r>
        <w:rPr>
          <w:rFonts w:ascii="Times New Roman" w:hAnsi="Times New Roman" w:cs="Times New Roman"/>
        </w:rPr>
        <w:tab/>
        <w:t xml:space="preserve">When the </w:t>
      </w:r>
      <w:r w:rsidR="00CE7D3F">
        <w:rPr>
          <w:rFonts w:ascii="Times New Roman" w:hAnsi="Times New Roman" w:cs="Times New Roman"/>
        </w:rPr>
        <w:t>stricter threshold was applied</w:t>
      </w:r>
      <w:r w:rsidR="00F57A66">
        <w:rPr>
          <w:rFonts w:ascii="Times New Roman" w:hAnsi="Times New Roman" w:cs="Times New Roman"/>
        </w:rPr>
        <w:t xml:space="preserve"> </w:t>
      </w:r>
      <w:r w:rsidR="002E39CB">
        <w:rPr>
          <w:rFonts w:ascii="Times New Roman" w:hAnsi="Times New Roman" w:cs="Times New Roman"/>
        </w:rPr>
        <w:t xml:space="preserve">of a </w:t>
      </w:r>
      <w:r w:rsidR="00300795">
        <w:rPr>
          <w:rFonts w:ascii="Times New Roman" w:hAnsi="Times New Roman" w:cs="Times New Roman"/>
        </w:rPr>
        <w:t xml:space="preserve">PP </w:t>
      </w:r>
      <w:r w:rsidR="00EB082D">
        <w:rPr>
          <w:rFonts w:ascii="Times New Roman" w:hAnsi="Times New Roman" w:cs="Times New Roman"/>
        </w:rPr>
        <w:t>of greater than 0.9</w:t>
      </w:r>
      <w:r w:rsidR="00BC78C3">
        <w:rPr>
          <w:rFonts w:ascii="Times New Roman" w:hAnsi="Times New Roman" w:cs="Times New Roman"/>
        </w:rPr>
        <w:t xml:space="preserve"> </w:t>
      </w:r>
      <w:r w:rsidR="00300795">
        <w:rPr>
          <w:rFonts w:ascii="Times New Roman" w:hAnsi="Times New Roman" w:cs="Times New Roman"/>
        </w:rPr>
        <w:t xml:space="preserve">and a TP </w:t>
      </w:r>
      <w:r w:rsidR="00D53946">
        <w:rPr>
          <w:rFonts w:ascii="Times New Roman" w:hAnsi="Times New Roman" w:cs="Times New Roman"/>
        </w:rPr>
        <w:t>between</w:t>
      </w:r>
      <w:r w:rsidR="00300795">
        <w:rPr>
          <w:rFonts w:ascii="Times New Roman" w:hAnsi="Times New Roman" w:cs="Times New Roman"/>
        </w:rPr>
        <w:t xml:space="preserve"> </w:t>
      </w:r>
      <w:r w:rsidR="00234008">
        <w:rPr>
          <w:rFonts w:ascii="Times New Roman" w:hAnsi="Times New Roman" w:cs="Times New Roman"/>
        </w:rPr>
        <w:t>0.01 and 0.05 the error r</w:t>
      </w:r>
      <w:r w:rsidR="00826466">
        <w:rPr>
          <w:rFonts w:ascii="Times New Roman" w:hAnsi="Times New Roman" w:cs="Times New Roman"/>
        </w:rPr>
        <w:t xml:space="preserve">ate </w:t>
      </w:r>
      <w:r w:rsidR="00234008">
        <w:rPr>
          <w:rFonts w:ascii="Times New Roman" w:hAnsi="Times New Roman" w:cs="Times New Roman"/>
        </w:rPr>
        <w:t xml:space="preserve">was reduced to </w:t>
      </w:r>
      <w:r w:rsidR="00553FDB">
        <w:rPr>
          <w:rFonts w:ascii="Times New Roman" w:hAnsi="Times New Roman" w:cs="Times New Roman"/>
        </w:rPr>
        <w:t>2.5</w:t>
      </w:r>
      <w:r w:rsidR="002D48B1">
        <w:rPr>
          <w:rFonts w:ascii="Times New Roman" w:hAnsi="Times New Roman" w:cs="Times New Roman"/>
        </w:rPr>
        <w:t xml:space="preserve">% </w:t>
      </w:r>
      <w:r w:rsidR="00373E24">
        <w:rPr>
          <w:rFonts w:ascii="Times New Roman" w:hAnsi="Times New Roman" w:cs="Times New Roman"/>
        </w:rPr>
        <w:t>(n=</w:t>
      </w:r>
      <w:r w:rsidR="000A7AFD">
        <w:rPr>
          <w:rFonts w:ascii="Times New Roman" w:hAnsi="Times New Roman" w:cs="Times New Roman"/>
        </w:rPr>
        <w:t xml:space="preserve"> </w:t>
      </w:r>
      <w:r w:rsidR="009040C7">
        <w:rPr>
          <w:rFonts w:ascii="Times New Roman" w:hAnsi="Times New Roman" w:cs="Times New Roman"/>
        </w:rPr>
        <w:t>8</w:t>
      </w:r>
      <w:r w:rsidR="00585D6F">
        <w:rPr>
          <w:rFonts w:ascii="Times New Roman" w:hAnsi="Times New Roman" w:cs="Times New Roman"/>
        </w:rPr>
        <w:t xml:space="preserve">, </w:t>
      </w:r>
      <w:r w:rsidR="004929EB">
        <w:rPr>
          <w:rFonts w:ascii="Times New Roman" w:hAnsi="Times New Roman" w:cs="Times New Roman"/>
        </w:rPr>
        <w:t>5</w:t>
      </w:r>
      <w:r w:rsidR="00585D6F">
        <w:rPr>
          <w:rFonts w:ascii="Times New Roman" w:hAnsi="Times New Roman" w:cs="Times New Roman"/>
        </w:rPr>
        <w:t xml:space="preserve">M, </w:t>
      </w:r>
      <w:r w:rsidR="004929EB">
        <w:rPr>
          <w:rFonts w:ascii="Times New Roman" w:hAnsi="Times New Roman" w:cs="Times New Roman"/>
        </w:rPr>
        <w:t>3</w:t>
      </w:r>
      <w:r w:rsidR="00585D6F">
        <w:rPr>
          <w:rFonts w:ascii="Times New Roman" w:hAnsi="Times New Roman" w:cs="Times New Roman"/>
        </w:rPr>
        <w:t>F)</w:t>
      </w:r>
      <w:r w:rsidR="001418AA">
        <w:rPr>
          <w:rFonts w:ascii="Times New Roman" w:hAnsi="Times New Roman" w:cs="Times New Roman"/>
        </w:rPr>
        <w:t>,</w:t>
      </w:r>
      <w:r w:rsidR="00373E24">
        <w:rPr>
          <w:rFonts w:ascii="Times New Roman" w:hAnsi="Times New Roman" w:cs="Times New Roman"/>
        </w:rPr>
        <w:t xml:space="preserve"> excluding cases labeled too dissimilar. </w:t>
      </w:r>
      <w:r w:rsidR="00B82B24">
        <w:rPr>
          <w:rFonts w:ascii="Times New Roman" w:hAnsi="Times New Roman" w:cs="Times New Roman"/>
        </w:rPr>
        <w:t xml:space="preserve">These thresholds were chosen </w:t>
      </w:r>
      <w:r w:rsidR="00CB4A98">
        <w:rPr>
          <w:rFonts w:ascii="Times New Roman" w:hAnsi="Times New Roman" w:cs="Times New Roman"/>
        </w:rPr>
        <w:t xml:space="preserve">considering a </w:t>
      </w:r>
      <w:r w:rsidR="00D53946">
        <w:rPr>
          <w:rFonts w:ascii="Times New Roman" w:hAnsi="Times New Roman" w:cs="Times New Roman"/>
        </w:rPr>
        <w:t>TP</w:t>
      </w:r>
      <w:r w:rsidR="00D95559">
        <w:rPr>
          <w:rFonts w:ascii="Times New Roman" w:hAnsi="Times New Roman" w:cs="Times New Roman"/>
        </w:rPr>
        <w:t xml:space="preserve"> show</w:t>
      </w:r>
      <w:r w:rsidR="00BC78C3">
        <w:rPr>
          <w:rFonts w:ascii="Times New Roman" w:hAnsi="Times New Roman" w:cs="Times New Roman"/>
        </w:rPr>
        <w:t>s</w:t>
      </w:r>
      <w:r w:rsidR="00D95559">
        <w:rPr>
          <w:rFonts w:ascii="Times New Roman" w:hAnsi="Times New Roman" w:cs="Times New Roman"/>
        </w:rPr>
        <w:t xml:space="preserve"> the probability of the null hypothesis </w:t>
      </w:r>
      <w:r w:rsidR="00022C53">
        <w:rPr>
          <w:rFonts w:ascii="Times New Roman" w:hAnsi="Times New Roman" w:cs="Times New Roman"/>
        </w:rPr>
        <w:t>that an individual comes from a specific group. A</w:t>
      </w:r>
      <w:r w:rsidR="0009036B">
        <w:rPr>
          <w:rFonts w:ascii="Times New Roman" w:hAnsi="Times New Roman" w:cs="Times New Roman"/>
        </w:rPr>
        <w:t xml:space="preserve">ccording to the manual, a </w:t>
      </w:r>
      <w:r w:rsidR="00022C53">
        <w:rPr>
          <w:rFonts w:ascii="Times New Roman" w:hAnsi="Times New Roman" w:cs="Times New Roman"/>
        </w:rPr>
        <w:t xml:space="preserve">TP above 0.05 </w:t>
      </w:r>
      <w:r w:rsidR="0009036B">
        <w:rPr>
          <w:rFonts w:ascii="Times New Roman" w:hAnsi="Times New Roman" w:cs="Times New Roman"/>
        </w:rPr>
        <w:t xml:space="preserve">should be ignored because </w:t>
      </w:r>
      <w:r w:rsidR="002E12D5">
        <w:rPr>
          <w:rFonts w:ascii="Times New Roman" w:hAnsi="Times New Roman" w:cs="Times New Roman"/>
        </w:rPr>
        <w:t>“we</w:t>
      </w:r>
      <w:r w:rsidR="0009036B">
        <w:rPr>
          <w:rFonts w:ascii="Times New Roman" w:hAnsi="Times New Roman" w:cs="Times New Roman"/>
        </w:rPr>
        <w:t xml:space="preserve"> do not have </w:t>
      </w:r>
      <w:r w:rsidR="002E12D5">
        <w:rPr>
          <w:rFonts w:ascii="Times New Roman" w:hAnsi="Times New Roman" w:cs="Times New Roman"/>
        </w:rPr>
        <w:t xml:space="preserve">statistical grounds to reject the null hypothesis” </w:t>
      </w:r>
      <w:r w:rsidR="002E12D5">
        <w:rPr>
          <w:rFonts w:ascii="Times New Roman" w:hAnsi="Times New Roman" w:cs="Times New Roman"/>
        </w:rPr>
        <w:lastRenderedPageBreak/>
        <w:t>because</w:t>
      </w:r>
      <w:r w:rsidR="006B01B9">
        <w:rPr>
          <w:rFonts w:ascii="Times New Roman" w:hAnsi="Times New Roman" w:cs="Times New Roman"/>
        </w:rPr>
        <w:t xml:space="preserve"> the assumption is that a case does belong to one of the populations</w:t>
      </w:r>
      <w:r w:rsidR="008963D9">
        <w:rPr>
          <w:rFonts w:ascii="Times New Roman" w:hAnsi="Times New Roman" w:cs="Times New Roman"/>
        </w:rPr>
        <w:t xml:space="preserve"> (</w:t>
      </w:r>
      <w:r w:rsidR="0066596F">
        <w:rPr>
          <w:rFonts w:ascii="Times New Roman" w:hAnsi="Times New Roman" w:cs="Times New Roman"/>
        </w:rPr>
        <w:t>Jantz &amp; Ousley</w:t>
      </w:r>
      <w:r w:rsidR="008963D9">
        <w:rPr>
          <w:rFonts w:ascii="Times New Roman" w:hAnsi="Times New Roman" w:cs="Times New Roman"/>
        </w:rPr>
        <w:t>, 2005)</w:t>
      </w:r>
      <w:r w:rsidR="006B01B9">
        <w:rPr>
          <w:rFonts w:ascii="Times New Roman" w:hAnsi="Times New Roman" w:cs="Times New Roman"/>
        </w:rPr>
        <w:t>.</w:t>
      </w:r>
      <w:r w:rsidR="00BC78C3">
        <w:rPr>
          <w:rFonts w:ascii="Times New Roman" w:hAnsi="Times New Roman" w:cs="Times New Roman"/>
        </w:rPr>
        <w:t xml:space="preserve"> </w:t>
      </w:r>
    </w:p>
    <w:p w14:paraId="608ADCCA" w14:textId="7B40C5F0" w:rsidR="00096E8B" w:rsidRPr="007158FD" w:rsidRDefault="00312AD9" w:rsidP="00957034">
      <w:pPr>
        <w:spacing w:line="276" w:lineRule="auto"/>
        <w:rPr>
          <w:rFonts w:ascii="Times New Roman" w:hAnsi="Times New Roman" w:cs="Times New Roman"/>
        </w:rPr>
      </w:pPr>
      <w:r w:rsidRPr="00096E8B">
        <w:rPr>
          <w:rFonts w:ascii="Times New Roman" w:hAnsi="Times New Roman" w:cs="Times New Roman"/>
          <w:b/>
          <w:bCs/>
        </w:rPr>
        <w:t>Figure 1</w:t>
      </w:r>
    </w:p>
    <w:p w14:paraId="6F433CFA" w14:textId="17E8FEFD" w:rsidR="009A1204" w:rsidRDefault="00312AD9" w:rsidP="00957034">
      <w:pPr>
        <w:spacing w:line="276" w:lineRule="auto"/>
        <w:rPr>
          <w:rFonts w:ascii="Times New Roman" w:hAnsi="Times New Roman" w:cs="Times New Roman"/>
        </w:rPr>
      </w:pPr>
      <w:r w:rsidRPr="00EA7D9B">
        <w:rPr>
          <w:rFonts w:ascii="Times New Roman" w:hAnsi="Times New Roman" w:cs="Times New Roman"/>
          <w:i/>
          <w:iCs/>
        </w:rPr>
        <w:t>Distribution of PP 1.</w:t>
      </w:r>
    </w:p>
    <w:p w14:paraId="12D90C80" w14:textId="072899BA" w:rsidR="00510CF8" w:rsidRDefault="006F1CE4" w:rsidP="006F1CE4">
      <w:pPr>
        <w:spacing w:line="480" w:lineRule="auto"/>
        <w:rPr>
          <w:rFonts w:ascii="Times New Roman" w:hAnsi="Times New Roman" w:cs="Times New Roman"/>
        </w:rPr>
      </w:pPr>
      <w:r w:rsidRPr="006F1CE4">
        <w:rPr>
          <w:rFonts w:ascii="Times New Roman" w:hAnsi="Times New Roman" w:cs="Times New Roman"/>
          <w:noProof/>
        </w:rPr>
        <mc:AlternateContent>
          <mc:Choice Requires="cx1">
            <w:drawing>
              <wp:inline distT="0" distB="0" distL="0" distR="0" wp14:anchorId="3B9E347C" wp14:editId="792204A4">
                <wp:extent cx="5890260" cy="3187700"/>
                <wp:effectExtent l="0" t="0" r="15240" b="12700"/>
                <wp:docPr id="907890144" name="Chart 1">
                  <a:extLst xmlns:a="http://schemas.openxmlformats.org/drawingml/2006/main">
                    <a:ext uri="{FF2B5EF4-FFF2-40B4-BE49-F238E27FC236}">
                      <a16:creationId xmlns:a16="http://schemas.microsoft.com/office/drawing/2014/main" id="{5E710B44-CF86-499A-1229-5B4FEF51F9A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
                  </a:graphicData>
                </a:graphic>
              </wp:inline>
            </w:drawing>
          </mc:Choice>
          <mc:Fallback>
            <w:drawing>
              <wp:inline distT="0" distB="0" distL="0" distR="0" wp14:anchorId="3B9E347C" wp14:editId="792204A4">
                <wp:extent cx="5890260" cy="3187700"/>
                <wp:effectExtent l="0" t="0" r="15240" b="12700"/>
                <wp:docPr id="907890144" name="Chart 1">
                  <a:extLst xmlns:a="http://schemas.openxmlformats.org/drawingml/2006/main">
                    <a:ext uri="{FF2B5EF4-FFF2-40B4-BE49-F238E27FC236}">
                      <a16:creationId xmlns:a16="http://schemas.microsoft.com/office/drawing/2014/main" id="{5E710B44-CF86-499A-1229-5B4FEF51F9A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07890144" name="Chart 1">
                          <a:extLst>
                            <a:ext uri="{FF2B5EF4-FFF2-40B4-BE49-F238E27FC236}">
                              <a16:creationId xmlns:a16="http://schemas.microsoft.com/office/drawing/2014/main" id="{5E710B44-CF86-499A-1229-5B4FEF51F9A1}"/>
                            </a:ext>
                          </a:extLst>
                        </pic:cNvPr>
                        <pic:cNvPicPr>
                          <a:picLocks noGrp="1" noRot="1" noChangeAspect="1" noMove="1" noResize="1" noEditPoints="1" noAdjustHandles="1" noChangeArrowheads="1" noChangeShapeType="1"/>
                        </pic:cNvPicPr>
                      </pic:nvPicPr>
                      <pic:blipFill>
                        <a:blip r:embed="rId9"/>
                        <a:stretch>
                          <a:fillRect/>
                        </a:stretch>
                      </pic:blipFill>
                      <pic:spPr>
                        <a:xfrm>
                          <a:off x="0" y="0"/>
                          <a:ext cx="5890260" cy="3187700"/>
                        </a:xfrm>
                        <a:prstGeom prst="rect">
                          <a:avLst/>
                        </a:prstGeom>
                      </pic:spPr>
                    </pic:pic>
                  </a:graphicData>
                </a:graphic>
              </wp:inline>
            </w:drawing>
          </mc:Fallback>
        </mc:AlternateContent>
      </w:r>
    </w:p>
    <w:p w14:paraId="1107B804" w14:textId="13BC6D71" w:rsidR="007158FD" w:rsidRPr="007158FD" w:rsidRDefault="00096E8B" w:rsidP="007158FD">
      <w:pPr>
        <w:spacing w:line="480" w:lineRule="auto"/>
        <w:rPr>
          <w:rFonts w:ascii="Times New Roman" w:hAnsi="Times New Roman" w:cs="Times New Roman"/>
        </w:rPr>
      </w:pPr>
      <w:r w:rsidRPr="00096E8B">
        <w:rPr>
          <w:rFonts w:ascii="Times New Roman" w:hAnsi="Times New Roman" w:cs="Times New Roman"/>
          <w:i/>
          <w:iCs/>
        </w:rPr>
        <w:t>Note.</w:t>
      </w:r>
      <w:r>
        <w:rPr>
          <w:rFonts w:ascii="Times New Roman" w:hAnsi="Times New Roman" w:cs="Times New Roman"/>
        </w:rPr>
        <w:t xml:space="preserve"> </w:t>
      </w:r>
      <w:r w:rsidR="001968CD">
        <w:rPr>
          <w:rFonts w:ascii="Times New Roman" w:hAnsi="Times New Roman" w:cs="Times New Roman"/>
        </w:rPr>
        <w:t>The</w:t>
      </w:r>
      <w:r>
        <w:rPr>
          <w:rFonts w:ascii="Times New Roman" w:hAnsi="Times New Roman" w:cs="Times New Roman"/>
        </w:rPr>
        <w:t xml:space="preserve"> distribution of the PPs of the</w:t>
      </w:r>
      <w:r w:rsidR="001968CD">
        <w:rPr>
          <w:rFonts w:ascii="Times New Roman" w:hAnsi="Times New Roman" w:cs="Times New Roman"/>
        </w:rPr>
        <w:t xml:space="preserve"> top population that the program assign</w:t>
      </w:r>
      <w:r>
        <w:rPr>
          <w:rFonts w:ascii="Times New Roman" w:hAnsi="Times New Roman" w:cs="Times New Roman"/>
        </w:rPr>
        <w:t>ed to each case.</w:t>
      </w:r>
    </w:p>
    <w:p w14:paraId="004D97DC" w14:textId="77777777" w:rsidR="00A1389A" w:rsidRDefault="00A1389A" w:rsidP="00957034">
      <w:pPr>
        <w:spacing w:line="276" w:lineRule="auto"/>
        <w:rPr>
          <w:rFonts w:ascii="Times New Roman" w:hAnsi="Times New Roman" w:cs="Times New Roman"/>
          <w:b/>
          <w:bCs/>
        </w:rPr>
      </w:pPr>
    </w:p>
    <w:p w14:paraId="6DF505D3" w14:textId="77777777" w:rsidR="00A1389A" w:rsidRDefault="00A1389A" w:rsidP="00957034">
      <w:pPr>
        <w:spacing w:line="276" w:lineRule="auto"/>
        <w:rPr>
          <w:rFonts w:ascii="Times New Roman" w:hAnsi="Times New Roman" w:cs="Times New Roman"/>
          <w:b/>
          <w:bCs/>
        </w:rPr>
      </w:pPr>
    </w:p>
    <w:p w14:paraId="0C39F525" w14:textId="77777777" w:rsidR="00A1389A" w:rsidRDefault="00A1389A" w:rsidP="00957034">
      <w:pPr>
        <w:spacing w:line="276" w:lineRule="auto"/>
        <w:rPr>
          <w:rFonts w:ascii="Times New Roman" w:hAnsi="Times New Roman" w:cs="Times New Roman"/>
          <w:b/>
          <w:bCs/>
        </w:rPr>
      </w:pPr>
    </w:p>
    <w:p w14:paraId="52788249" w14:textId="77777777" w:rsidR="00A1389A" w:rsidRDefault="00A1389A" w:rsidP="00957034">
      <w:pPr>
        <w:spacing w:line="276" w:lineRule="auto"/>
        <w:rPr>
          <w:rFonts w:ascii="Times New Roman" w:hAnsi="Times New Roman" w:cs="Times New Roman"/>
          <w:b/>
          <w:bCs/>
        </w:rPr>
      </w:pPr>
    </w:p>
    <w:p w14:paraId="33FF3051" w14:textId="77777777" w:rsidR="00A1389A" w:rsidRDefault="00A1389A" w:rsidP="00957034">
      <w:pPr>
        <w:spacing w:line="276" w:lineRule="auto"/>
        <w:rPr>
          <w:rFonts w:ascii="Times New Roman" w:hAnsi="Times New Roman" w:cs="Times New Roman"/>
          <w:b/>
          <w:bCs/>
        </w:rPr>
      </w:pPr>
    </w:p>
    <w:p w14:paraId="2F32C1A8" w14:textId="77777777" w:rsidR="00A1389A" w:rsidRDefault="00A1389A" w:rsidP="00957034">
      <w:pPr>
        <w:spacing w:line="276" w:lineRule="auto"/>
        <w:rPr>
          <w:rFonts w:ascii="Times New Roman" w:hAnsi="Times New Roman" w:cs="Times New Roman"/>
          <w:b/>
          <w:bCs/>
        </w:rPr>
      </w:pPr>
    </w:p>
    <w:p w14:paraId="21FCC1E9" w14:textId="77777777" w:rsidR="00A1389A" w:rsidRDefault="00A1389A" w:rsidP="00957034">
      <w:pPr>
        <w:spacing w:line="276" w:lineRule="auto"/>
        <w:rPr>
          <w:rFonts w:ascii="Times New Roman" w:hAnsi="Times New Roman" w:cs="Times New Roman"/>
          <w:b/>
          <w:bCs/>
        </w:rPr>
      </w:pPr>
    </w:p>
    <w:p w14:paraId="66F7F877" w14:textId="77777777" w:rsidR="00A1389A" w:rsidRDefault="00A1389A" w:rsidP="00957034">
      <w:pPr>
        <w:spacing w:line="276" w:lineRule="auto"/>
        <w:rPr>
          <w:rFonts w:ascii="Times New Roman" w:hAnsi="Times New Roman" w:cs="Times New Roman"/>
          <w:b/>
          <w:bCs/>
        </w:rPr>
      </w:pPr>
    </w:p>
    <w:p w14:paraId="4BBECB95" w14:textId="77777777" w:rsidR="00A1389A" w:rsidRDefault="00A1389A" w:rsidP="00957034">
      <w:pPr>
        <w:spacing w:line="276" w:lineRule="auto"/>
        <w:rPr>
          <w:rFonts w:ascii="Times New Roman" w:hAnsi="Times New Roman" w:cs="Times New Roman"/>
          <w:b/>
          <w:bCs/>
        </w:rPr>
      </w:pPr>
    </w:p>
    <w:p w14:paraId="7A6DC184" w14:textId="49FF6CA6" w:rsidR="008D4B13" w:rsidRDefault="007158FD" w:rsidP="00957034">
      <w:pPr>
        <w:spacing w:line="276" w:lineRule="auto"/>
        <w:rPr>
          <w:rFonts w:ascii="Times New Roman" w:hAnsi="Times New Roman" w:cs="Times New Roman"/>
          <w:b/>
          <w:bCs/>
        </w:rPr>
      </w:pPr>
      <w:r w:rsidRPr="007158FD">
        <w:rPr>
          <w:rFonts w:ascii="Times New Roman" w:hAnsi="Times New Roman" w:cs="Times New Roman"/>
          <w:b/>
          <w:bCs/>
        </w:rPr>
        <w:lastRenderedPageBreak/>
        <w:t>Figure 2</w:t>
      </w:r>
    </w:p>
    <w:p w14:paraId="3017296E" w14:textId="3EA5D1C8" w:rsidR="003A7466" w:rsidRPr="008D4B13" w:rsidRDefault="007158FD" w:rsidP="00957034">
      <w:pPr>
        <w:spacing w:line="276" w:lineRule="auto"/>
        <w:rPr>
          <w:rFonts w:ascii="Times New Roman" w:hAnsi="Times New Roman" w:cs="Times New Roman"/>
          <w:b/>
          <w:bCs/>
        </w:rPr>
      </w:pPr>
      <w:r w:rsidRPr="007158FD">
        <w:rPr>
          <w:rFonts w:ascii="Times New Roman" w:hAnsi="Times New Roman" w:cs="Times New Roman"/>
          <w:i/>
          <w:iCs/>
        </w:rPr>
        <w:t>Distribution of TP Rank 1</w:t>
      </w:r>
      <w:r w:rsidR="003A7466" w:rsidRPr="003A7466">
        <w:rPr>
          <w:rFonts w:ascii="Times New Roman" w:hAnsi="Times New Roman" w:cs="Times New Roman"/>
          <w:noProof/>
        </w:rPr>
        <mc:AlternateContent>
          <mc:Choice Requires="cx1">
            <w:drawing>
              <wp:inline distT="0" distB="0" distL="0" distR="0" wp14:anchorId="1B311D47" wp14:editId="3BFA3286">
                <wp:extent cx="6515100" cy="3200400"/>
                <wp:effectExtent l="0" t="0" r="0" b="0"/>
                <wp:docPr id="1730527065" name="Chart 1">
                  <a:extLst xmlns:a="http://schemas.openxmlformats.org/drawingml/2006/main">
                    <a:ext uri="{FF2B5EF4-FFF2-40B4-BE49-F238E27FC236}">
                      <a16:creationId xmlns:a16="http://schemas.microsoft.com/office/drawing/2014/main" id="{D2782200-A08F-AF20-3646-05062DD346E4}"/>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
                  </a:graphicData>
                </a:graphic>
              </wp:inline>
            </w:drawing>
          </mc:Choice>
          <mc:Fallback>
            <w:drawing>
              <wp:inline distT="0" distB="0" distL="0" distR="0" wp14:anchorId="1B311D47" wp14:editId="3BFA3286">
                <wp:extent cx="6515100" cy="3200400"/>
                <wp:effectExtent l="0" t="0" r="0" b="0"/>
                <wp:docPr id="1730527065" name="Chart 1">
                  <a:extLst xmlns:a="http://schemas.openxmlformats.org/drawingml/2006/main">
                    <a:ext uri="{FF2B5EF4-FFF2-40B4-BE49-F238E27FC236}">
                      <a16:creationId xmlns:a16="http://schemas.microsoft.com/office/drawing/2014/main" id="{D2782200-A08F-AF20-3646-05062DD346E4}"/>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730527065" name="Chart 1">
                          <a:extLst>
                            <a:ext uri="{FF2B5EF4-FFF2-40B4-BE49-F238E27FC236}">
                              <a16:creationId xmlns:a16="http://schemas.microsoft.com/office/drawing/2014/main" id="{D2782200-A08F-AF20-3646-05062DD346E4}"/>
                            </a:ext>
                          </a:extLst>
                        </pic:cNvPr>
                        <pic:cNvPicPr>
                          <a:picLocks noGrp="1" noRot="1" noChangeAspect="1" noMove="1" noResize="1" noEditPoints="1" noAdjustHandles="1" noChangeArrowheads="1" noChangeShapeType="1"/>
                        </pic:cNvPicPr>
                      </pic:nvPicPr>
                      <pic:blipFill>
                        <a:blip r:embed="rId11"/>
                        <a:stretch>
                          <a:fillRect/>
                        </a:stretch>
                      </pic:blipFill>
                      <pic:spPr>
                        <a:xfrm>
                          <a:off x="0" y="0"/>
                          <a:ext cx="6515100" cy="3200400"/>
                        </a:xfrm>
                        <a:prstGeom prst="rect">
                          <a:avLst/>
                        </a:prstGeom>
                      </pic:spPr>
                    </pic:pic>
                  </a:graphicData>
                </a:graphic>
              </wp:inline>
            </w:drawing>
          </mc:Fallback>
        </mc:AlternateContent>
      </w:r>
    </w:p>
    <w:p w14:paraId="0BF3106C" w14:textId="1C95318D" w:rsidR="007158FD" w:rsidRPr="007158FD" w:rsidRDefault="007158FD" w:rsidP="007158FD">
      <w:pPr>
        <w:spacing w:line="480" w:lineRule="auto"/>
        <w:rPr>
          <w:rFonts w:ascii="Times New Roman" w:hAnsi="Times New Roman" w:cs="Times New Roman"/>
        </w:rPr>
      </w:pPr>
      <w:r>
        <w:rPr>
          <w:rFonts w:ascii="Times New Roman" w:hAnsi="Times New Roman" w:cs="Times New Roman"/>
          <w:i/>
          <w:iCs/>
        </w:rPr>
        <w:t xml:space="preserve">Note. </w:t>
      </w:r>
      <w:r w:rsidR="00FE5B65">
        <w:rPr>
          <w:rFonts w:ascii="Times New Roman" w:hAnsi="Times New Roman" w:cs="Times New Roman"/>
        </w:rPr>
        <w:t>The distribution of the TP of the top population that t</w:t>
      </w:r>
      <w:r w:rsidR="00A73226">
        <w:rPr>
          <w:rFonts w:ascii="Times New Roman" w:hAnsi="Times New Roman" w:cs="Times New Roman"/>
        </w:rPr>
        <w:t>he program assigned to each case.</w:t>
      </w:r>
    </w:p>
    <w:p w14:paraId="74927493" w14:textId="53722CCC" w:rsidR="00957034" w:rsidRPr="00957034" w:rsidRDefault="00957034" w:rsidP="00957034">
      <w:pPr>
        <w:spacing w:line="276" w:lineRule="auto"/>
        <w:rPr>
          <w:rFonts w:ascii="Times New Roman" w:hAnsi="Times New Roman" w:cs="Times New Roman"/>
        </w:rPr>
      </w:pPr>
      <w:r w:rsidRPr="00957034">
        <w:rPr>
          <w:rFonts w:ascii="Times New Roman" w:hAnsi="Times New Roman" w:cs="Times New Roman"/>
          <w:b/>
          <w:bCs/>
        </w:rPr>
        <w:t>Figure 3</w:t>
      </w:r>
      <w:r w:rsidRPr="00957034">
        <w:rPr>
          <w:rFonts w:ascii="Times New Roman" w:hAnsi="Times New Roman" w:cs="Times New Roman"/>
        </w:rPr>
        <w:t xml:space="preserve"> </w:t>
      </w:r>
    </w:p>
    <w:p w14:paraId="3846FDFB" w14:textId="5E2D5D62" w:rsidR="00647C0C" w:rsidRPr="00957034" w:rsidRDefault="00957034" w:rsidP="00957034">
      <w:pPr>
        <w:spacing w:line="276" w:lineRule="auto"/>
        <w:rPr>
          <w:rFonts w:ascii="Times New Roman" w:hAnsi="Times New Roman" w:cs="Times New Roman"/>
          <w:i/>
          <w:iCs/>
        </w:rPr>
      </w:pPr>
      <w:r w:rsidRPr="00957034">
        <w:rPr>
          <w:rFonts w:ascii="Times New Roman" w:hAnsi="Times New Roman" w:cs="Times New Roman"/>
          <w:i/>
          <w:iCs/>
        </w:rPr>
        <w:t>Distribution of R1</w:t>
      </w:r>
    </w:p>
    <w:p w14:paraId="13F59FB8" w14:textId="0752FF62" w:rsidR="003E18CA" w:rsidRDefault="000E3FDF" w:rsidP="00CC0451">
      <w:pPr>
        <w:spacing w:line="480" w:lineRule="auto"/>
        <w:rPr>
          <w:rFonts w:ascii="Times New Roman" w:hAnsi="Times New Roman" w:cs="Times New Roman"/>
        </w:rPr>
      </w:pPr>
      <w:r w:rsidRPr="000E3FDF">
        <w:rPr>
          <w:rFonts w:ascii="Times New Roman" w:hAnsi="Times New Roman" w:cs="Times New Roman"/>
          <w:noProof/>
        </w:rPr>
        <w:drawing>
          <wp:inline distT="0" distB="0" distL="0" distR="0" wp14:anchorId="39D325B9" wp14:editId="05F48351">
            <wp:extent cx="5943600" cy="2286635"/>
            <wp:effectExtent l="0" t="0" r="0" b="18415"/>
            <wp:docPr id="65895419" name="Chart 1">
              <a:extLst xmlns:a="http://schemas.openxmlformats.org/drawingml/2006/main">
                <a:ext uri="{FF2B5EF4-FFF2-40B4-BE49-F238E27FC236}">
                  <a16:creationId xmlns:a16="http://schemas.microsoft.com/office/drawing/2014/main" id="{7720B879-BDD6-7DEF-D789-2045FDD223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957034" w:rsidRPr="00957034">
        <w:rPr>
          <w:rFonts w:ascii="Times New Roman" w:hAnsi="Times New Roman" w:cs="Times New Roman"/>
          <w:i/>
          <w:iCs/>
        </w:rPr>
        <w:t>Note.</w:t>
      </w:r>
      <w:r w:rsidR="00957034">
        <w:rPr>
          <w:rFonts w:ascii="Times New Roman" w:hAnsi="Times New Roman" w:cs="Times New Roman"/>
        </w:rPr>
        <w:t xml:space="preserve"> </w:t>
      </w:r>
      <w:r>
        <w:rPr>
          <w:rFonts w:ascii="Times New Roman" w:hAnsi="Times New Roman" w:cs="Times New Roman"/>
        </w:rPr>
        <w:t>The top population that Fordisc assigned to each case</w:t>
      </w:r>
      <w:r w:rsidR="0071771A">
        <w:rPr>
          <w:rFonts w:ascii="Times New Roman" w:hAnsi="Times New Roman" w:cs="Times New Roman"/>
        </w:rPr>
        <w:t xml:space="preserve"> for both male</w:t>
      </w:r>
      <w:r w:rsidR="0081269D">
        <w:rPr>
          <w:rFonts w:ascii="Times New Roman" w:hAnsi="Times New Roman" w:cs="Times New Roman"/>
        </w:rPr>
        <w:t>s</w:t>
      </w:r>
      <w:r w:rsidR="0071771A">
        <w:rPr>
          <w:rFonts w:ascii="Times New Roman" w:hAnsi="Times New Roman" w:cs="Times New Roman"/>
        </w:rPr>
        <w:t xml:space="preserve"> and female</w:t>
      </w:r>
      <w:r w:rsidR="0081269D">
        <w:rPr>
          <w:rFonts w:ascii="Times New Roman" w:hAnsi="Times New Roman" w:cs="Times New Roman"/>
        </w:rPr>
        <w:t>s</w:t>
      </w:r>
      <w:r>
        <w:rPr>
          <w:rFonts w:ascii="Times New Roman" w:hAnsi="Times New Roman" w:cs="Times New Roman"/>
        </w:rPr>
        <w:t>.</w:t>
      </w:r>
    </w:p>
    <w:p w14:paraId="7A64CB7A" w14:textId="77777777" w:rsidR="00A1389A" w:rsidRDefault="00A1389A" w:rsidP="00A86323">
      <w:pPr>
        <w:spacing w:line="480" w:lineRule="auto"/>
        <w:rPr>
          <w:rFonts w:ascii="Times New Roman" w:hAnsi="Times New Roman" w:cs="Times New Roman"/>
          <w:b/>
          <w:bCs/>
        </w:rPr>
      </w:pPr>
    </w:p>
    <w:p w14:paraId="5EB9D0F1" w14:textId="7194F415" w:rsidR="00CE7D3F" w:rsidRDefault="00CE7D3F" w:rsidP="00A86323">
      <w:pPr>
        <w:spacing w:line="480" w:lineRule="auto"/>
        <w:rPr>
          <w:rFonts w:ascii="Times New Roman" w:hAnsi="Times New Roman" w:cs="Times New Roman"/>
          <w:b/>
          <w:bCs/>
        </w:rPr>
      </w:pPr>
      <w:r>
        <w:rPr>
          <w:rFonts w:ascii="Times New Roman" w:hAnsi="Times New Roman" w:cs="Times New Roman"/>
          <w:b/>
          <w:bCs/>
        </w:rPr>
        <w:lastRenderedPageBreak/>
        <w:t>Discussion</w:t>
      </w:r>
    </w:p>
    <w:p w14:paraId="15795CA7" w14:textId="034CEA1A" w:rsidR="00B141B6" w:rsidRDefault="00A86323" w:rsidP="00B141B6">
      <w:pPr>
        <w:spacing w:line="480" w:lineRule="auto"/>
        <w:ind w:firstLine="720"/>
        <w:rPr>
          <w:rFonts w:ascii="Times New Roman" w:hAnsi="Times New Roman" w:cs="Times New Roman"/>
        </w:rPr>
      </w:pPr>
      <w:r w:rsidRPr="00A86323">
        <w:rPr>
          <w:rFonts w:ascii="Times New Roman" w:hAnsi="Times New Roman" w:cs="Times New Roman"/>
        </w:rPr>
        <w:t>Although the tool produces seemingly confident posterior probabilities,</w:t>
      </w:r>
      <w:r w:rsidR="00E03A6C">
        <w:rPr>
          <w:rFonts w:ascii="Times New Roman" w:hAnsi="Times New Roman" w:cs="Times New Roman"/>
        </w:rPr>
        <w:t xml:space="preserve"> and</w:t>
      </w:r>
      <w:r w:rsidRPr="00A86323">
        <w:rPr>
          <w:rFonts w:ascii="Times New Roman" w:hAnsi="Times New Roman" w:cs="Times New Roman"/>
        </w:rPr>
        <w:t xml:space="preserve"> the typicality values often reveal significant atypicality</w:t>
      </w:r>
      <w:r w:rsidR="00E03A6C">
        <w:rPr>
          <w:rFonts w:ascii="Times New Roman" w:hAnsi="Times New Roman" w:cs="Times New Roman"/>
        </w:rPr>
        <w:t xml:space="preserve">, there were no clear indications </w:t>
      </w:r>
      <w:r w:rsidR="00DA3723">
        <w:rPr>
          <w:rFonts w:ascii="Times New Roman" w:hAnsi="Times New Roman" w:cs="Times New Roman"/>
        </w:rPr>
        <w:t xml:space="preserve">in the outputs </w:t>
      </w:r>
      <w:r w:rsidR="00E03A6C">
        <w:rPr>
          <w:rFonts w:ascii="Times New Roman" w:hAnsi="Times New Roman" w:cs="Times New Roman"/>
        </w:rPr>
        <w:t>that a case could be from an outside population</w:t>
      </w:r>
      <w:r w:rsidRPr="00A86323">
        <w:rPr>
          <w:rFonts w:ascii="Times New Roman" w:hAnsi="Times New Roman" w:cs="Times New Roman"/>
        </w:rPr>
        <w:t xml:space="preserve">. </w:t>
      </w:r>
      <w:r w:rsidR="00EE1A4C" w:rsidRPr="00EE1A4C">
        <w:rPr>
          <w:rFonts w:ascii="Times New Roman" w:hAnsi="Times New Roman" w:cs="Times New Roman"/>
        </w:rPr>
        <w:t>As shown in Figure 1, the majority of cases surpassed the 0.8 PP threshold, yet the low TP values depicted in Figure 2 indicate these assignments were largely atypical.</w:t>
      </w:r>
      <w:r w:rsidR="00EE1A4C">
        <w:rPr>
          <w:rFonts w:ascii="Times New Roman" w:hAnsi="Times New Roman" w:cs="Times New Roman"/>
        </w:rPr>
        <w:t xml:space="preserve"> </w:t>
      </w:r>
      <w:r w:rsidR="00D371F9" w:rsidRPr="00A87EE9">
        <w:rPr>
          <w:rFonts w:ascii="Times New Roman" w:hAnsi="Times New Roman" w:cs="Times New Roman"/>
        </w:rPr>
        <w:t xml:space="preserve">The low TP values observed in the majority of cases serve as a critical </w:t>
      </w:r>
      <w:r w:rsidR="00D371F9">
        <w:rPr>
          <w:rFonts w:ascii="Times New Roman" w:hAnsi="Times New Roman" w:cs="Times New Roman"/>
        </w:rPr>
        <w:t>indication</w:t>
      </w:r>
      <w:r w:rsidR="00D371F9" w:rsidRPr="00A87EE9">
        <w:rPr>
          <w:rFonts w:ascii="Times New Roman" w:hAnsi="Times New Roman" w:cs="Times New Roman"/>
        </w:rPr>
        <w:t xml:space="preserve"> for </w:t>
      </w:r>
      <w:r w:rsidR="00D371F9" w:rsidRPr="0013723E">
        <w:rPr>
          <w:rFonts w:ascii="Times New Roman" w:hAnsi="Times New Roman" w:cs="Times New Roman"/>
        </w:rPr>
        <w:t>forensic anthropologists</w:t>
      </w:r>
      <w:r w:rsidR="00DA3723">
        <w:rPr>
          <w:rFonts w:ascii="Times New Roman" w:hAnsi="Times New Roman" w:cs="Times New Roman"/>
        </w:rPr>
        <w:t xml:space="preserve"> to proceed with caution because wh</w:t>
      </w:r>
      <w:r w:rsidR="00A87EE9" w:rsidRPr="0013723E">
        <w:rPr>
          <w:rFonts w:ascii="Times New Roman" w:hAnsi="Times New Roman" w:cs="Times New Roman"/>
        </w:rPr>
        <w:t>ile Fordisc may assign a population with high PP, the low typicality</w:t>
      </w:r>
      <w:r w:rsidR="00A87EE9" w:rsidRPr="00A87EE9">
        <w:rPr>
          <w:rFonts w:ascii="Times New Roman" w:hAnsi="Times New Roman" w:cs="Times New Roman"/>
          <w:b/>
          <w:bCs/>
        </w:rPr>
        <w:t xml:space="preserve"> </w:t>
      </w:r>
      <w:r w:rsidR="00A87EE9" w:rsidRPr="0013723E">
        <w:rPr>
          <w:rFonts w:ascii="Times New Roman" w:hAnsi="Times New Roman" w:cs="Times New Roman"/>
        </w:rPr>
        <w:t>indicates that the individual does not fit well</w:t>
      </w:r>
      <w:r w:rsidR="00A87EE9" w:rsidRPr="00A87EE9">
        <w:rPr>
          <w:rFonts w:ascii="Times New Roman" w:hAnsi="Times New Roman" w:cs="Times New Roman"/>
        </w:rPr>
        <w:t xml:space="preserve"> within that population’s morphological variation. </w:t>
      </w:r>
      <w:r w:rsidR="00EE1A4C">
        <w:rPr>
          <w:rFonts w:ascii="Times New Roman" w:hAnsi="Times New Roman" w:cs="Times New Roman"/>
        </w:rPr>
        <w:t>T</w:t>
      </w:r>
      <w:r w:rsidR="00A87EE9" w:rsidRPr="00A87EE9">
        <w:rPr>
          <w:rFonts w:ascii="Times New Roman" w:hAnsi="Times New Roman" w:cs="Times New Roman"/>
        </w:rPr>
        <w:t xml:space="preserve">herefore, </w:t>
      </w:r>
      <w:r w:rsidR="00EE1A4C">
        <w:rPr>
          <w:rFonts w:ascii="Times New Roman" w:hAnsi="Times New Roman" w:cs="Times New Roman"/>
        </w:rPr>
        <w:t>FAs</w:t>
      </w:r>
      <w:r w:rsidR="00A87EE9" w:rsidRPr="00A87EE9">
        <w:rPr>
          <w:rFonts w:ascii="Times New Roman" w:hAnsi="Times New Roman" w:cs="Times New Roman"/>
        </w:rPr>
        <w:t xml:space="preserve"> should interpret Fordisc results</w:t>
      </w:r>
      <w:r w:rsidR="002441F9">
        <w:rPr>
          <w:rFonts w:ascii="Times New Roman" w:hAnsi="Times New Roman" w:cs="Times New Roman"/>
        </w:rPr>
        <w:t xml:space="preserve"> carefully</w:t>
      </w:r>
      <w:r w:rsidR="00A87EE9" w:rsidRPr="0013723E">
        <w:rPr>
          <w:rFonts w:ascii="Times New Roman" w:hAnsi="Times New Roman" w:cs="Times New Roman"/>
        </w:rPr>
        <w:t xml:space="preserve"> and contextually</w:t>
      </w:r>
      <w:r w:rsidR="002441F9">
        <w:rPr>
          <w:rFonts w:ascii="Times New Roman" w:hAnsi="Times New Roman" w:cs="Times New Roman"/>
        </w:rPr>
        <w:t>, and</w:t>
      </w:r>
      <w:r w:rsidR="00A87EE9" w:rsidRPr="00A87EE9">
        <w:rPr>
          <w:rFonts w:ascii="Times New Roman" w:hAnsi="Times New Roman" w:cs="Times New Roman"/>
        </w:rPr>
        <w:t xml:space="preserve"> consider geographical, historical, and morphological factors beyond just the numerical outputs.</w:t>
      </w:r>
      <w:r w:rsidR="00A87EE9">
        <w:rPr>
          <w:rFonts w:ascii="Times New Roman" w:hAnsi="Times New Roman" w:cs="Times New Roman"/>
        </w:rPr>
        <w:t xml:space="preserve"> </w:t>
      </w:r>
      <w:r w:rsidR="00E03A6C">
        <w:rPr>
          <w:rFonts w:ascii="Times New Roman" w:hAnsi="Times New Roman" w:cs="Times New Roman"/>
        </w:rPr>
        <w:t>A</w:t>
      </w:r>
      <w:r w:rsidR="00E03A6C" w:rsidRPr="00A86323">
        <w:rPr>
          <w:rFonts w:ascii="Times New Roman" w:hAnsi="Times New Roman" w:cs="Times New Roman"/>
        </w:rPr>
        <w:t>pplying more conservative thresholds can reduce misclassification rates</w:t>
      </w:r>
      <w:r w:rsidR="00E03A6C">
        <w:rPr>
          <w:rFonts w:ascii="Times New Roman" w:hAnsi="Times New Roman" w:cs="Times New Roman"/>
        </w:rPr>
        <w:t xml:space="preserve">, but </w:t>
      </w:r>
      <w:r w:rsidR="007B04DC">
        <w:rPr>
          <w:rFonts w:ascii="Times New Roman" w:hAnsi="Times New Roman" w:cs="Times New Roman"/>
        </w:rPr>
        <w:t xml:space="preserve">not </w:t>
      </w:r>
      <w:r w:rsidR="00E03A6C">
        <w:rPr>
          <w:rFonts w:ascii="Times New Roman" w:hAnsi="Times New Roman" w:cs="Times New Roman"/>
        </w:rPr>
        <w:t>enough to significantly reduce the risk of error</w:t>
      </w:r>
      <w:r w:rsidR="007B04DC">
        <w:rPr>
          <w:rFonts w:ascii="Times New Roman" w:hAnsi="Times New Roman" w:cs="Times New Roman"/>
        </w:rPr>
        <w:t xml:space="preserve"> to confidently estimate population affiliation based off of Fordisc’s results alone.  </w:t>
      </w:r>
    </w:p>
    <w:p w14:paraId="6CD6EAFE" w14:textId="5F2367EE" w:rsidR="003D5CD7" w:rsidRDefault="003D5CD7" w:rsidP="00B141B6">
      <w:pPr>
        <w:spacing w:line="480" w:lineRule="auto"/>
        <w:ind w:firstLine="720"/>
        <w:rPr>
          <w:rFonts w:ascii="Times New Roman" w:hAnsi="Times New Roman" w:cs="Times New Roman"/>
        </w:rPr>
      </w:pPr>
      <w:r>
        <w:rPr>
          <w:rFonts w:ascii="Times New Roman" w:hAnsi="Times New Roman" w:cs="Times New Roman"/>
        </w:rPr>
        <w:t xml:space="preserve">The </w:t>
      </w:r>
      <w:r w:rsidR="00F93DA7">
        <w:rPr>
          <w:rFonts w:ascii="Times New Roman" w:hAnsi="Times New Roman" w:cs="Times New Roman"/>
        </w:rPr>
        <w:t xml:space="preserve">interpretation of the various geographic regions represented in Fordisc could prove useful. </w:t>
      </w:r>
      <w:r w:rsidR="002D461C">
        <w:rPr>
          <w:rFonts w:ascii="Times New Roman" w:hAnsi="Times New Roman" w:cs="Times New Roman"/>
        </w:rPr>
        <w:t>A Japanese affiliation could technically be an incorrect estimation, but if the FA</w:t>
      </w:r>
      <w:r w:rsidR="000923FB">
        <w:rPr>
          <w:rFonts w:ascii="Times New Roman" w:hAnsi="Times New Roman" w:cs="Times New Roman"/>
        </w:rPr>
        <w:t xml:space="preserve"> building the biological profile interprets it as an Asian population affinity and includes similar geographic regions, the results could be considered “correct”</w:t>
      </w:r>
      <w:r w:rsidR="00607F95">
        <w:rPr>
          <w:rFonts w:ascii="Times New Roman" w:hAnsi="Times New Roman" w:cs="Times New Roman"/>
        </w:rPr>
        <w:t>.</w:t>
      </w:r>
      <w:r w:rsidR="00FD16A0" w:rsidRPr="00FD16A0">
        <w:rPr>
          <w:rFonts w:ascii="Times New Roman" w:hAnsi="Times New Roman" w:cs="Times New Roman"/>
        </w:rPr>
        <w:t xml:space="preserve"> </w:t>
      </w:r>
      <w:r w:rsidR="00FD16A0">
        <w:rPr>
          <w:rFonts w:ascii="Times New Roman" w:hAnsi="Times New Roman" w:cs="Times New Roman"/>
        </w:rPr>
        <w:t>F</w:t>
      </w:r>
      <w:r w:rsidR="00FD16A0" w:rsidRPr="00A86323">
        <w:rPr>
          <w:rFonts w:ascii="Times New Roman" w:hAnsi="Times New Roman" w:cs="Times New Roman"/>
        </w:rPr>
        <w:t>uture improvements to forensic classification tools</w:t>
      </w:r>
      <w:r w:rsidR="00FD16A0">
        <w:rPr>
          <w:rFonts w:ascii="Times New Roman" w:hAnsi="Times New Roman" w:cs="Times New Roman"/>
        </w:rPr>
        <w:t xml:space="preserve"> should</w:t>
      </w:r>
      <w:r w:rsidR="00FD16A0" w:rsidRPr="00A86323">
        <w:rPr>
          <w:rFonts w:ascii="Times New Roman" w:hAnsi="Times New Roman" w:cs="Times New Roman"/>
        </w:rPr>
        <w:t xml:space="preserve"> prioritize expanding reference datasets to include currently underrepresented populations</w:t>
      </w:r>
      <w:r w:rsidR="00FD16A0">
        <w:rPr>
          <w:rFonts w:ascii="Times New Roman" w:hAnsi="Times New Roman" w:cs="Times New Roman"/>
        </w:rPr>
        <w:t xml:space="preserve"> as well as a broad range of morphological variation</w:t>
      </w:r>
      <w:r w:rsidR="00FD16A0" w:rsidRPr="00A86323">
        <w:rPr>
          <w:rFonts w:ascii="Times New Roman" w:hAnsi="Times New Roman" w:cs="Times New Roman"/>
        </w:rPr>
        <w:t>.</w:t>
      </w:r>
    </w:p>
    <w:p w14:paraId="320F93DF" w14:textId="4BD20BB8" w:rsidR="00B141B6" w:rsidRPr="00B141B6" w:rsidRDefault="00B141B6" w:rsidP="00B141B6">
      <w:pPr>
        <w:spacing w:line="480" w:lineRule="auto"/>
        <w:rPr>
          <w:rFonts w:ascii="Times New Roman" w:hAnsi="Times New Roman" w:cs="Times New Roman"/>
          <w:b/>
          <w:bCs/>
        </w:rPr>
      </w:pPr>
      <w:r w:rsidRPr="00B141B6">
        <w:rPr>
          <w:rFonts w:ascii="Times New Roman" w:hAnsi="Times New Roman" w:cs="Times New Roman"/>
          <w:b/>
          <w:bCs/>
        </w:rPr>
        <w:t>Conclusion</w:t>
      </w:r>
    </w:p>
    <w:p w14:paraId="459D84A1" w14:textId="15D38F6F" w:rsidR="00B141B6" w:rsidRPr="00A86323" w:rsidRDefault="00B141B6" w:rsidP="00B141B6">
      <w:pPr>
        <w:spacing w:line="480" w:lineRule="auto"/>
        <w:rPr>
          <w:rFonts w:ascii="Times New Roman" w:hAnsi="Times New Roman" w:cs="Times New Roman"/>
        </w:rPr>
      </w:pPr>
      <w:r>
        <w:rPr>
          <w:rFonts w:ascii="Times New Roman" w:hAnsi="Times New Roman" w:cs="Times New Roman"/>
        </w:rPr>
        <w:tab/>
      </w:r>
      <w:r w:rsidR="00E52658">
        <w:rPr>
          <w:rFonts w:ascii="Times New Roman" w:hAnsi="Times New Roman" w:cs="Times New Roman"/>
        </w:rPr>
        <w:t xml:space="preserve">Fordisc </w:t>
      </w:r>
      <w:r w:rsidR="003D5CD7">
        <w:rPr>
          <w:rFonts w:ascii="Times New Roman" w:hAnsi="Times New Roman" w:cs="Times New Roman"/>
        </w:rPr>
        <w:t xml:space="preserve">does not provide users with a clear indication that a case could be from an outside population, but careful observation and broad interpretations of population affinities could still </w:t>
      </w:r>
      <w:r w:rsidR="003D5CD7">
        <w:rPr>
          <w:rFonts w:ascii="Times New Roman" w:hAnsi="Times New Roman" w:cs="Times New Roman"/>
        </w:rPr>
        <w:lastRenderedPageBreak/>
        <w:t xml:space="preserve">prove useful in identification efforts for law enforcement. </w:t>
      </w:r>
      <w:r w:rsidR="00F82AEA">
        <w:rPr>
          <w:rFonts w:ascii="Times New Roman" w:hAnsi="Times New Roman" w:cs="Times New Roman"/>
        </w:rPr>
        <w:t>The warning signs in built into the program should always be taken into consideration as well, such as TPs lower than 0.01 highlighted in red</w:t>
      </w:r>
      <w:r w:rsidR="007E5338">
        <w:rPr>
          <w:rFonts w:ascii="Times New Roman" w:hAnsi="Times New Roman" w:cs="Times New Roman"/>
        </w:rPr>
        <w:t xml:space="preserve"> or PPs distributed relatively even across all populations.</w:t>
      </w:r>
    </w:p>
    <w:p w14:paraId="0FDAB09E" w14:textId="77777777" w:rsidR="00402236" w:rsidRPr="00CC0451" w:rsidRDefault="00402236" w:rsidP="00CC0451">
      <w:pPr>
        <w:spacing w:line="480" w:lineRule="auto"/>
        <w:rPr>
          <w:rFonts w:ascii="Times New Roman" w:hAnsi="Times New Roman" w:cs="Times New Roman"/>
        </w:rPr>
      </w:pPr>
    </w:p>
    <w:p w14:paraId="135DBDA8" w14:textId="77777777" w:rsidR="00402236" w:rsidRPr="00CC0451" w:rsidRDefault="00402236" w:rsidP="00CC0451">
      <w:pPr>
        <w:spacing w:line="480" w:lineRule="auto"/>
        <w:rPr>
          <w:rFonts w:ascii="Times New Roman" w:hAnsi="Times New Roman" w:cs="Times New Roman"/>
        </w:rPr>
      </w:pPr>
    </w:p>
    <w:p w14:paraId="2F273C29" w14:textId="6240867D" w:rsidR="00953BF1" w:rsidRDefault="00953BF1" w:rsidP="00953BF1">
      <w:pPr>
        <w:spacing w:line="480" w:lineRule="auto"/>
        <w:rPr>
          <w:rFonts w:ascii="Times New Roman" w:hAnsi="Times New Roman" w:cs="Times New Roman"/>
        </w:rPr>
      </w:pPr>
    </w:p>
    <w:p w14:paraId="10C3CD53" w14:textId="77777777" w:rsidR="00B84DE0" w:rsidRPr="00CC0451" w:rsidRDefault="00B84DE0" w:rsidP="00CC0451">
      <w:pPr>
        <w:spacing w:line="480" w:lineRule="auto"/>
        <w:rPr>
          <w:rFonts w:ascii="Times New Roman" w:hAnsi="Times New Roman" w:cs="Times New Roman"/>
        </w:rPr>
      </w:pPr>
    </w:p>
    <w:p w14:paraId="58AD683F" w14:textId="77777777" w:rsidR="00B84DE0" w:rsidRPr="00CC0451" w:rsidRDefault="00B84DE0" w:rsidP="00CC0451">
      <w:pPr>
        <w:spacing w:line="480" w:lineRule="auto"/>
        <w:rPr>
          <w:rFonts w:ascii="Times New Roman" w:hAnsi="Times New Roman" w:cs="Times New Roman"/>
        </w:rPr>
      </w:pPr>
    </w:p>
    <w:p w14:paraId="0148A2EF" w14:textId="77777777" w:rsidR="00B84DE0" w:rsidRPr="00CC0451" w:rsidRDefault="00B84DE0" w:rsidP="00CC0451">
      <w:pPr>
        <w:spacing w:line="480" w:lineRule="auto"/>
        <w:rPr>
          <w:rFonts w:ascii="Times New Roman" w:hAnsi="Times New Roman" w:cs="Times New Roman"/>
        </w:rPr>
      </w:pPr>
    </w:p>
    <w:p w14:paraId="2DC0CF5B" w14:textId="77777777" w:rsidR="00B84DE0" w:rsidRPr="00CC0451" w:rsidRDefault="00B84DE0" w:rsidP="00CC0451">
      <w:pPr>
        <w:spacing w:line="480" w:lineRule="auto"/>
        <w:rPr>
          <w:rFonts w:ascii="Times New Roman" w:hAnsi="Times New Roman" w:cs="Times New Roman"/>
        </w:rPr>
      </w:pPr>
    </w:p>
    <w:p w14:paraId="5052A959" w14:textId="77777777" w:rsidR="0031424E" w:rsidRDefault="0031424E" w:rsidP="00614324">
      <w:pPr>
        <w:spacing w:line="480" w:lineRule="auto"/>
        <w:jc w:val="center"/>
        <w:rPr>
          <w:rFonts w:ascii="Times New Roman" w:hAnsi="Times New Roman" w:cs="Times New Roman"/>
        </w:rPr>
      </w:pPr>
    </w:p>
    <w:p w14:paraId="0750F46A" w14:textId="77777777" w:rsidR="0031424E" w:rsidRDefault="0031424E" w:rsidP="00614324">
      <w:pPr>
        <w:spacing w:line="480" w:lineRule="auto"/>
        <w:jc w:val="center"/>
        <w:rPr>
          <w:rFonts w:ascii="Times New Roman" w:hAnsi="Times New Roman" w:cs="Times New Roman"/>
        </w:rPr>
      </w:pPr>
    </w:p>
    <w:p w14:paraId="44576856" w14:textId="77777777" w:rsidR="0031424E" w:rsidRDefault="0031424E" w:rsidP="00614324">
      <w:pPr>
        <w:spacing w:line="480" w:lineRule="auto"/>
        <w:jc w:val="center"/>
        <w:rPr>
          <w:rFonts w:ascii="Times New Roman" w:hAnsi="Times New Roman" w:cs="Times New Roman"/>
        </w:rPr>
      </w:pPr>
    </w:p>
    <w:p w14:paraId="10F43FA8" w14:textId="77777777" w:rsidR="00A1389A" w:rsidRDefault="00A1389A" w:rsidP="00614324">
      <w:pPr>
        <w:spacing w:line="480" w:lineRule="auto"/>
        <w:jc w:val="center"/>
        <w:rPr>
          <w:rFonts w:ascii="Times New Roman" w:hAnsi="Times New Roman" w:cs="Times New Roman"/>
        </w:rPr>
      </w:pPr>
    </w:p>
    <w:p w14:paraId="3A5704CE" w14:textId="77777777" w:rsidR="00A1389A" w:rsidRDefault="00A1389A" w:rsidP="00614324">
      <w:pPr>
        <w:spacing w:line="480" w:lineRule="auto"/>
        <w:jc w:val="center"/>
        <w:rPr>
          <w:rFonts w:ascii="Times New Roman" w:hAnsi="Times New Roman" w:cs="Times New Roman"/>
        </w:rPr>
      </w:pPr>
    </w:p>
    <w:p w14:paraId="7E206BB7" w14:textId="77777777" w:rsidR="00A1389A" w:rsidRDefault="00A1389A" w:rsidP="00614324">
      <w:pPr>
        <w:spacing w:line="480" w:lineRule="auto"/>
        <w:jc w:val="center"/>
        <w:rPr>
          <w:rFonts w:ascii="Times New Roman" w:hAnsi="Times New Roman" w:cs="Times New Roman"/>
        </w:rPr>
      </w:pPr>
    </w:p>
    <w:p w14:paraId="45E69803" w14:textId="77777777" w:rsidR="00A1389A" w:rsidRDefault="00A1389A" w:rsidP="00614324">
      <w:pPr>
        <w:spacing w:line="480" w:lineRule="auto"/>
        <w:jc w:val="center"/>
        <w:rPr>
          <w:rFonts w:ascii="Times New Roman" w:hAnsi="Times New Roman" w:cs="Times New Roman"/>
        </w:rPr>
      </w:pPr>
    </w:p>
    <w:p w14:paraId="6FA99A9B" w14:textId="77777777" w:rsidR="00A1389A" w:rsidRDefault="00A1389A" w:rsidP="00614324">
      <w:pPr>
        <w:spacing w:line="480" w:lineRule="auto"/>
        <w:jc w:val="center"/>
        <w:rPr>
          <w:rFonts w:ascii="Times New Roman" w:hAnsi="Times New Roman" w:cs="Times New Roman"/>
        </w:rPr>
      </w:pPr>
    </w:p>
    <w:p w14:paraId="1EF863D4" w14:textId="77777777" w:rsidR="00A1389A" w:rsidRDefault="00A1389A" w:rsidP="00614324">
      <w:pPr>
        <w:spacing w:line="480" w:lineRule="auto"/>
        <w:jc w:val="center"/>
        <w:rPr>
          <w:rFonts w:ascii="Times New Roman" w:hAnsi="Times New Roman" w:cs="Times New Roman"/>
        </w:rPr>
      </w:pPr>
    </w:p>
    <w:p w14:paraId="3DBE10FA" w14:textId="589D2099" w:rsidR="00614324" w:rsidRDefault="00614324" w:rsidP="00614324">
      <w:pPr>
        <w:spacing w:line="480" w:lineRule="auto"/>
        <w:jc w:val="center"/>
        <w:rPr>
          <w:rFonts w:ascii="Times New Roman" w:hAnsi="Times New Roman" w:cs="Times New Roman"/>
        </w:rPr>
      </w:pPr>
      <w:r>
        <w:rPr>
          <w:rFonts w:ascii="Times New Roman" w:hAnsi="Times New Roman" w:cs="Times New Roman"/>
        </w:rPr>
        <w:lastRenderedPageBreak/>
        <w:t>References</w:t>
      </w:r>
    </w:p>
    <w:p w14:paraId="7482AFF3" w14:textId="2F8DC45D" w:rsidR="007B04DC" w:rsidRDefault="00A7542D" w:rsidP="00C317FC">
      <w:pPr>
        <w:ind w:left="720" w:hanging="720"/>
        <w:rPr>
          <w:rFonts w:ascii="Times New Roman" w:hAnsi="Times New Roman" w:cs="Times New Roman"/>
        </w:rPr>
      </w:pPr>
      <w:r w:rsidRPr="00F12904">
        <w:rPr>
          <w:rFonts w:ascii="Times New Roman" w:hAnsi="Times New Roman" w:cs="Times New Roman"/>
        </w:rPr>
        <w:t>Dudzik, B</w:t>
      </w:r>
      <w:r w:rsidR="007B25DC">
        <w:rPr>
          <w:rFonts w:ascii="Times New Roman" w:hAnsi="Times New Roman" w:cs="Times New Roman"/>
        </w:rPr>
        <w:t>.</w:t>
      </w:r>
      <w:r w:rsidRPr="00F12904">
        <w:rPr>
          <w:rFonts w:ascii="Times New Roman" w:hAnsi="Times New Roman" w:cs="Times New Roman"/>
        </w:rPr>
        <w:t xml:space="preserve">, </w:t>
      </w:r>
      <w:r w:rsidR="007B25DC">
        <w:rPr>
          <w:rFonts w:ascii="Times New Roman" w:hAnsi="Times New Roman" w:cs="Times New Roman"/>
        </w:rPr>
        <w:t xml:space="preserve">&amp; </w:t>
      </w:r>
      <w:r w:rsidRPr="00F12904">
        <w:rPr>
          <w:rFonts w:ascii="Times New Roman" w:hAnsi="Times New Roman" w:cs="Times New Roman"/>
        </w:rPr>
        <w:t>Jantz</w:t>
      </w:r>
      <w:r w:rsidR="007B25DC">
        <w:rPr>
          <w:rFonts w:ascii="Times New Roman" w:hAnsi="Times New Roman" w:cs="Times New Roman"/>
        </w:rPr>
        <w:t>, R.L</w:t>
      </w:r>
      <w:r w:rsidRPr="00F12904">
        <w:rPr>
          <w:rFonts w:ascii="Times New Roman" w:hAnsi="Times New Roman" w:cs="Times New Roman"/>
        </w:rPr>
        <w:t>.</w:t>
      </w:r>
      <w:r w:rsidR="00333B4A">
        <w:rPr>
          <w:rFonts w:ascii="Times New Roman" w:hAnsi="Times New Roman" w:cs="Times New Roman"/>
        </w:rPr>
        <w:t xml:space="preserve"> (2016).</w:t>
      </w:r>
      <w:r w:rsidRPr="00F12904">
        <w:rPr>
          <w:rFonts w:ascii="Times New Roman" w:hAnsi="Times New Roman" w:cs="Times New Roman"/>
        </w:rPr>
        <w:t xml:space="preserve"> Misclassifications of </w:t>
      </w:r>
      <w:r w:rsidR="00BA7A9D">
        <w:rPr>
          <w:rFonts w:ascii="Times New Roman" w:hAnsi="Times New Roman" w:cs="Times New Roman"/>
        </w:rPr>
        <w:t>H</w:t>
      </w:r>
      <w:r w:rsidR="00BA7A9D" w:rsidRPr="00F12904">
        <w:rPr>
          <w:rFonts w:ascii="Times New Roman" w:hAnsi="Times New Roman" w:cs="Times New Roman"/>
        </w:rPr>
        <w:t>ispanics</w:t>
      </w:r>
      <w:r w:rsidRPr="00F12904">
        <w:rPr>
          <w:rFonts w:ascii="Times New Roman" w:hAnsi="Times New Roman" w:cs="Times New Roman"/>
        </w:rPr>
        <w:t xml:space="preserve"> </w:t>
      </w:r>
      <w:r>
        <w:rPr>
          <w:rFonts w:ascii="Times New Roman" w:hAnsi="Times New Roman" w:cs="Times New Roman"/>
        </w:rPr>
        <w:t>u</w:t>
      </w:r>
      <w:r w:rsidRPr="00F12904">
        <w:rPr>
          <w:rFonts w:ascii="Times New Roman" w:hAnsi="Times New Roman" w:cs="Times New Roman"/>
        </w:rPr>
        <w:t xml:space="preserve">sing </w:t>
      </w:r>
      <w:r w:rsidR="00BA7A9D">
        <w:rPr>
          <w:rFonts w:ascii="Times New Roman" w:hAnsi="Times New Roman" w:cs="Times New Roman"/>
        </w:rPr>
        <w:t>F</w:t>
      </w:r>
      <w:r w:rsidRPr="00F12904">
        <w:rPr>
          <w:rFonts w:ascii="Times New Roman" w:hAnsi="Times New Roman" w:cs="Times New Roman"/>
        </w:rPr>
        <w:t xml:space="preserve">ordisc 3.1: Comparing </w:t>
      </w:r>
      <w:r>
        <w:rPr>
          <w:rFonts w:ascii="Times New Roman" w:hAnsi="Times New Roman" w:cs="Times New Roman"/>
        </w:rPr>
        <w:t>c</w:t>
      </w:r>
      <w:r w:rsidRPr="00F12904">
        <w:rPr>
          <w:rFonts w:ascii="Times New Roman" w:hAnsi="Times New Roman" w:cs="Times New Roman"/>
        </w:rPr>
        <w:t xml:space="preserve">ranial </w:t>
      </w:r>
      <w:r>
        <w:rPr>
          <w:rFonts w:ascii="Times New Roman" w:hAnsi="Times New Roman" w:cs="Times New Roman"/>
        </w:rPr>
        <w:t>m</w:t>
      </w:r>
      <w:r w:rsidRPr="00F12904">
        <w:rPr>
          <w:rFonts w:ascii="Times New Roman" w:hAnsi="Times New Roman" w:cs="Times New Roman"/>
        </w:rPr>
        <w:t xml:space="preserve">orphology in </w:t>
      </w:r>
      <w:r w:rsidR="00BA7A9D">
        <w:rPr>
          <w:rFonts w:ascii="Times New Roman" w:hAnsi="Times New Roman" w:cs="Times New Roman"/>
        </w:rPr>
        <w:t>A</w:t>
      </w:r>
      <w:r w:rsidR="00BA7A9D" w:rsidRPr="00F12904">
        <w:rPr>
          <w:rFonts w:ascii="Times New Roman" w:hAnsi="Times New Roman" w:cs="Times New Roman"/>
        </w:rPr>
        <w:t>sian</w:t>
      </w:r>
      <w:r w:rsidRPr="00F12904">
        <w:rPr>
          <w:rFonts w:ascii="Times New Roman" w:hAnsi="Times New Roman" w:cs="Times New Roman"/>
        </w:rPr>
        <w:t xml:space="preserve"> and </w:t>
      </w:r>
      <w:r w:rsidR="00BA7A9D">
        <w:rPr>
          <w:rFonts w:ascii="Times New Roman" w:hAnsi="Times New Roman" w:cs="Times New Roman"/>
        </w:rPr>
        <w:t>H</w:t>
      </w:r>
      <w:r w:rsidR="00BA7A9D" w:rsidRPr="00F12904">
        <w:rPr>
          <w:rFonts w:ascii="Times New Roman" w:hAnsi="Times New Roman" w:cs="Times New Roman"/>
        </w:rPr>
        <w:t>ispanic</w:t>
      </w:r>
      <w:r w:rsidRPr="00F12904">
        <w:rPr>
          <w:rFonts w:ascii="Times New Roman" w:hAnsi="Times New Roman" w:cs="Times New Roman"/>
        </w:rPr>
        <w:t xml:space="preserve"> </w:t>
      </w:r>
      <w:r>
        <w:rPr>
          <w:rFonts w:ascii="Times New Roman" w:hAnsi="Times New Roman" w:cs="Times New Roman"/>
        </w:rPr>
        <w:t>p</w:t>
      </w:r>
      <w:r w:rsidRPr="00F12904">
        <w:rPr>
          <w:rFonts w:ascii="Times New Roman" w:hAnsi="Times New Roman" w:cs="Times New Roman"/>
        </w:rPr>
        <w:t xml:space="preserve">opulations. </w:t>
      </w:r>
      <w:r w:rsidRPr="00F12904">
        <w:rPr>
          <w:rFonts w:ascii="Times New Roman" w:hAnsi="Times New Roman" w:cs="Times New Roman"/>
          <w:i/>
          <w:iCs/>
        </w:rPr>
        <w:t>Journal of forensic sciences</w:t>
      </w:r>
      <w:r w:rsidR="00BA7A9D">
        <w:rPr>
          <w:rFonts w:ascii="Times New Roman" w:hAnsi="Times New Roman" w:cs="Times New Roman"/>
          <w:i/>
          <w:iCs/>
        </w:rPr>
        <w:t xml:space="preserve">. </w:t>
      </w:r>
      <w:r w:rsidRPr="00F12904">
        <w:rPr>
          <w:rFonts w:ascii="Times New Roman" w:hAnsi="Times New Roman" w:cs="Times New Roman"/>
        </w:rPr>
        <w:t xml:space="preserve">61.5: 1311–1318. Web. </w:t>
      </w:r>
      <w:hyperlink r:id="rId13" w:history="1">
        <w:r w:rsidRPr="00F12904">
          <w:rPr>
            <w:rStyle w:val="Hyperlink"/>
            <w:rFonts w:ascii="Times New Roman" w:hAnsi="Times New Roman" w:cs="Times New Roman"/>
          </w:rPr>
          <w:t>https://utk.primo.exlibrisgroup.com/permalink/01UTN_KNOXVILLE/k96n06/cdi_wiley_primary_10_1111_1556_4029_13123_JFO13123</w:t>
        </w:r>
      </w:hyperlink>
    </w:p>
    <w:p w14:paraId="26AD5E10" w14:textId="12A18EBC" w:rsidR="00A40A1D" w:rsidRDefault="00A7542D" w:rsidP="00A40A1D">
      <w:pPr>
        <w:ind w:left="720" w:hanging="720"/>
      </w:pPr>
      <w:r w:rsidRPr="00F12904">
        <w:rPr>
          <w:rFonts w:ascii="Times New Roman" w:hAnsi="Times New Roman" w:cs="Times New Roman"/>
        </w:rPr>
        <w:t>Elliott, M</w:t>
      </w:r>
      <w:r w:rsidR="00CD305C">
        <w:rPr>
          <w:rFonts w:ascii="Times New Roman" w:hAnsi="Times New Roman" w:cs="Times New Roman"/>
        </w:rPr>
        <w:t>.</w:t>
      </w:r>
      <w:r w:rsidRPr="00F12904">
        <w:rPr>
          <w:rFonts w:ascii="Times New Roman" w:hAnsi="Times New Roman" w:cs="Times New Roman"/>
        </w:rPr>
        <w:t>, an</w:t>
      </w:r>
      <w:r w:rsidR="00CD305C">
        <w:rPr>
          <w:rFonts w:ascii="Times New Roman" w:hAnsi="Times New Roman" w:cs="Times New Roman"/>
        </w:rPr>
        <w:t>d</w:t>
      </w:r>
      <w:r w:rsidRPr="00F12904">
        <w:rPr>
          <w:rFonts w:ascii="Times New Roman" w:hAnsi="Times New Roman" w:cs="Times New Roman"/>
        </w:rPr>
        <w:t xml:space="preserve"> Collard</w:t>
      </w:r>
      <w:r w:rsidR="00CD305C">
        <w:rPr>
          <w:rFonts w:ascii="Times New Roman" w:hAnsi="Times New Roman" w:cs="Times New Roman"/>
        </w:rPr>
        <w:t>, M</w:t>
      </w:r>
      <w:r w:rsidRPr="00F12904">
        <w:rPr>
          <w:rFonts w:ascii="Times New Roman" w:hAnsi="Times New Roman" w:cs="Times New Roman"/>
        </w:rPr>
        <w:t xml:space="preserve">. </w:t>
      </w:r>
      <w:r w:rsidR="00333B4A">
        <w:rPr>
          <w:rFonts w:ascii="Times New Roman" w:hAnsi="Times New Roman" w:cs="Times New Roman"/>
        </w:rPr>
        <w:t xml:space="preserve">(2009). </w:t>
      </w:r>
      <w:r w:rsidRPr="00F12904">
        <w:rPr>
          <w:rFonts w:ascii="Times New Roman" w:hAnsi="Times New Roman" w:cs="Times New Roman"/>
        </w:rPr>
        <w:t xml:space="preserve">FORDISC and the determination of ancestry from cranial measurements. </w:t>
      </w:r>
      <w:r w:rsidRPr="00F12904">
        <w:rPr>
          <w:rFonts w:ascii="Times New Roman" w:hAnsi="Times New Roman" w:cs="Times New Roman"/>
          <w:i/>
          <w:iCs/>
        </w:rPr>
        <w:t>Biology letters</w:t>
      </w:r>
      <w:r w:rsidRPr="00F12904">
        <w:rPr>
          <w:rFonts w:ascii="Times New Roman" w:hAnsi="Times New Roman" w:cs="Times New Roman"/>
        </w:rPr>
        <w:t xml:space="preserve"> 5.6: 849-852.</w:t>
      </w:r>
      <w:r>
        <w:rPr>
          <w:rFonts w:ascii="Times New Roman" w:hAnsi="Times New Roman" w:cs="Times New Roman"/>
        </w:rPr>
        <w:t xml:space="preserve"> </w:t>
      </w:r>
      <w:hyperlink r:id="rId14" w:history="1">
        <w:r w:rsidRPr="00F12904">
          <w:rPr>
            <w:rStyle w:val="Hyperlink"/>
            <w:rFonts w:ascii="Times New Roman" w:hAnsi="Times New Roman" w:cs="Times New Roman"/>
          </w:rPr>
          <w:t>https://royalsocietypublishing.org/doi/full/10.1098/rsbl.2009.0462</w:t>
        </w:r>
      </w:hyperlink>
    </w:p>
    <w:p w14:paraId="76F75099" w14:textId="6D06E7BD" w:rsidR="00A7542D" w:rsidRPr="00A40A1D" w:rsidRDefault="00A7542D" w:rsidP="00A40A1D">
      <w:pPr>
        <w:ind w:left="720" w:hanging="720"/>
      </w:pPr>
      <w:r w:rsidRPr="00F12904">
        <w:rPr>
          <w:rFonts w:ascii="Times New Roman" w:hAnsi="Times New Roman" w:cs="Times New Roman"/>
        </w:rPr>
        <w:t>Hughes, C</w:t>
      </w:r>
      <w:r w:rsidR="009728F0">
        <w:rPr>
          <w:rFonts w:ascii="Times New Roman" w:hAnsi="Times New Roman" w:cs="Times New Roman"/>
        </w:rPr>
        <w:t>.</w:t>
      </w:r>
      <w:r w:rsidRPr="00F12904">
        <w:rPr>
          <w:rFonts w:ascii="Times New Roman" w:hAnsi="Times New Roman" w:cs="Times New Roman"/>
        </w:rPr>
        <w:t xml:space="preserve"> E</w:t>
      </w:r>
      <w:r w:rsidR="009728F0">
        <w:rPr>
          <w:rFonts w:ascii="Times New Roman" w:hAnsi="Times New Roman" w:cs="Times New Roman"/>
        </w:rPr>
        <w:t>.</w:t>
      </w:r>
      <w:r w:rsidR="003550E5">
        <w:rPr>
          <w:rFonts w:ascii="Times New Roman" w:hAnsi="Times New Roman" w:cs="Times New Roman"/>
        </w:rPr>
        <w:t xml:space="preserve">, </w:t>
      </w:r>
      <w:r w:rsidR="003550E5" w:rsidRPr="003550E5">
        <w:rPr>
          <w:rFonts w:ascii="Times New Roman" w:hAnsi="Times New Roman" w:cs="Times New Roman"/>
        </w:rPr>
        <w:t>Dudzik</w:t>
      </w:r>
      <w:r w:rsidR="003550E5">
        <w:rPr>
          <w:rFonts w:ascii="Times New Roman" w:hAnsi="Times New Roman" w:cs="Times New Roman"/>
        </w:rPr>
        <w:t>, B.</w:t>
      </w:r>
      <w:r w:rsidR="003550E5" w:rsidRPr="003550E5">
        <w:rPr>
          <w:rFonts w:ascii="Times New Roman" w:hAnsi="Times New Roman" w:cs="Times New Roman"/>
        </w:rPr>
        <w:t>, Algee-Hewitt,</w:t>
      </w:r>
      <w:r w:rsidR="0075633B">
        <w:rPr>
          <w:rFonts w:ascii="Times New Roman" w:hAnsi="Times New Roman" w:cs="Times New Roman"/>
        </w:rPr>
        <w:t xml:space="preserve"> B.,</w:t>
      </w:r>
      <w:r w:rsidR="003550E5" w:rsidRPr="003550E5">
        <w:rPr>
          <w:rFonts w:ascii="Times New Roman" w:hAnsi="Times New Roman" w:cs="Times New Roman"/>
        </w:rPr>
        <w:t xml:space="preserve"> Jones</w:t>
      </w:r>
      <w:r w:rsidR="0075633B">
        <w:rPr>
          <w:rFonts w:ascii="Times New Roman" w:hAnsi="Times New Roman" w:cs="Times New Roman"/>
        </w:rPr>
        <w:t>, A.</w:t>
      </w:r>
      <w:r w:rsidR="003550E5" w:rsidRPr="003550E5">
        <w:rPr>
          <w:rFonts w:ascii="Times New Roman" w:hAnsi="Times New Roman" w:cs="Times New Roman"/>
        </w:rPr>
        <w:t xml:space="preserve">, </w:t>
      </w:r>
      <w:r w:rsidR="0075633B">
        <w:rPr>
          <w:rFonts w:ascii="Times New Roman" w:hAnsi="Times New Roman" w:cs="Times New Roman"/>
        </w:rPr>
        <w:t xml:space="preserve">&amp; </w:t>
      </w:r>
      <w:r w:rsidR="003550E5" w:rsidRPr="003550E5">
        <w:rPr>
          <w:rFonts w:ascii="Times New Roman" w:hAnsi="Times New Roman" w:cs="Times New Roman"/>
        </w:rPr>
        <w:t>Anderson</w:t>
      </w:r>
      <w:r w:rsidR="0075633B">
        <w:rPr>
          <w:rFonts w:ascii="Times New Roman" w:hAnsi="Times New Roman" w:cs="Times New Roman"/>
        </w:rPr>
        <w:t>, B.E.</w:t>
      </w:r>
      <w:r w:rsidR="00BD23B7" w:rsidRPr="00BD23B7">
        <w:rPr>
          <w:rFonts w:ascii="Times New Roman" w:hAnsi="Times New Roman" w:cs="Times New Roman"/>
        </w:rPr>
        <w:t xml:space="preserve"> </w:t>
      </w:r>
      <w:r w:rsidR="00BD23B7" w:rsidRPr="00F12904">
        <w:rPr>
          <w:rFonts w:ascii="Times New Roman" w:hAnsi="Times New Roman" w:cs="Times New Roman"/>
        </w:rPr>
        <w:t>(2019</w:t>
      </w:r>
      <w:r w:rsidR="00BD23B7">
        <w:rPr>
          <w:rFonts w:ascii="Times New Roman" w:hAnsi="Times New Roman" w:cs="Times New Roman"/>
        </w:rPr>
        <w:t>)</w:t>
      </w:r>
      <w:r w:rsidR="0080218D">
        <w:rPr>
          <w:rFonts w:ascii="Times New Roman" w:hAnsi="Times New Roman" w:cs="Times New Roman"/>
        </w:rPr>
        <w:t>.</w:t>
      </w:r>
      <w:r w:rsidR="003550E5" w:rsidRPr="003550E5">
        <w:rPr>
          <w:rFonts w:ascii="Times New Roman" w:hAnsi="Times New Roman" w:cs="Times New Roman"/>
        </w:rPr>
        <w:t xml:space="preserve"> </w:t>
      </w:r>
      <w:r w:rsidRPr="00F12904">
        <w:rPr>
          <w:rFonts w:ascii="Times New Roman" w:hAnsi="Times New Roman" w:cs="Times New Roman"/>
        </w:rPr>
        <w:t>Understanding (</w:t>
      </w:r>
      <w:r>
        <w:rPr>
          <w:rFonts w:ascii="Times New Roman" w:hAnsi="Times New Roman" w:cs="Times New Roman"/>
        </w:rPr>
        <w:t>m</w:t>
      </w:r>
      <w:r w:rsidRPr="00F12904">
        <w:rPr>
          <w:rFonts w:ascii="Times New Roman" w:hAnsi="Times New Roman" w:cs="Times New Roman"/>
        </w:rPr>
        <w:t>is)</w:t>
      </w:r>
      <w:r>
        <w:rPr>
          <w:rFonts w:ascii="Times New Roman" w:hAnsi="Times New Roman" w:cs="Times New Roman"/>
        </w:rPr>
        <w:t>c</w:t>
      </w:r>
      <w:r w:rsidRPr="00F12904">
        <w:rPr>
          <w:rFonts w:ascii="Times New Roman" w:hAnsi="Times New Roman" w:cs="Times New Roman"/>
        </w:rPr>
        <w:t xml:space="preserve">lassification </w:t>
      </w:r>
      <w:r>
        <w:rPr>
          <w:rFonts w:ascii="Times New Roman" w:hAnsi="Times New Roman" w:cs="Times New Roman"/>
        </w:rPr>
        <w:t>t</w:t>
      </w:r>
      <w:r w:rsidRPr="00F12904">
        <w:rPr>
          <w:rFonts w:ascii="Times New Roman" w:hAnsi="Times New Roman" w:cs="Times New Roman"/>
        </w:rPr>
        <w:t xml:space="preserve">rends of </w:t>
      </w:r>
      <w:r w:rsidR="00BD23B7">
        <w:rPr>
          <w:rFonts w:ascii="Times New Roman" w:hAnsi="Times New Roman" w:cs="Times New Roman"/>
        </w:rPr>
        <w:t>L</w:t>
      </w:r>
      <w:r w:rsidRPr="00F12904">
        <w:rPr>
          <w:rFonts w:ascii="Times New Roman" w:hAnsi="Times New Roman" w:cs="Times New Roman"/>
        </w:rPr>
        <w:t xml:space="preserve">atin </w:t>
      </w:r>
      <w:r w:rsidR="00BD23B7">
        <w:rPr>
          <w:rFonts w:ascii="Times New Roman" w:hAnsi="Times New Roman" w:cs="Times New Roman"/>
        </w:rPr>
        <w:t>A</w:t>
      </w:r>
      <w:r w:rsidRPr="00F12904">
        <w:rPr>
          <w:rFonts w:ascii="Times New Roman" w:hAnsi="Times New Roman" w:cs="Times New Roman"/>
        </w:rPr>
        <w:t>mericans in Fordisc 3.1:</w:t>
      </w:r>
      <w:r w:rsidR="00A40A1D">
        <w:rPr>
          <w:rFonts w:ascii="Times New Roman" w:hAnsi="Times New Roman" w:cs="Times New Roman"/>
        </w:rPr>
        <w:t xml:space="preserve"> </w:t>
      </w:r>
      <w:r w:rsidRPr="00F12904">
        <w:rPr>
          <w:rFonts w:ascii="Times New Roman" w:hAnsi="Times New Roman" w:cs="Times New Roman"/>
        </w:rPr>
        <w:t xml:space="preserve">Incorporating </w:t>
      </w:r>
      <w:r>
        <w:rPr>
          <w:rFonts w:ascii="Times New Roman" w:hAnsi="Times New Roman" w:cs="Times New Roman"/>
        </w:rPr>
        <w:t>c</w:t>
      </w:r>
      <w:r w:rsidRPr="00F12904">
        <w:rPr>
          <w:rFonts w:ascii="Times New Roman" w:hAnsi="Times New Roman" w:cs="Times New Roman"/>
        </w:rPr>
        <w:t xml:space="preserve">ranial </w:t>
      </w:r>
      <w:r>
        <w:rPr>
          <w:rFonts w:ascii="Times New Roman" w:hAnsi="Times New Roman" w:cs="Times New Roman"/>
        </w:rPr>
        <w:t>m</w:t>
      </w:r>
      <w:r w:rsidRPr="00F12904">
        <w:rPr>
          <w:rFonts w:ascii="Times New Roman" w:hAnsi="Times New Roman" w:cs="Times New Roman"/>
        </w:rPr>
        <w:t xml:space="preserve">orphology, </w:t>
      </w:r>
      <w:r>
        <w:rPr>
          <w:rFonts w:ascii="Times New Roman" w:hAnsi="Times New Roman" w:cs="Times New Roman"/>
        </w:rPr>
        <w:t>m</w:t>
      </w:r>
      <w:r w:rsidRPr="00F12904">
        <w:rPr>
          <w:rFonts w:ascii="Times New Roman" w:hAnsi="Times New Roman" w:cs="Times New Roman"/>
        </w:rPr>
        <w:t xml:space="preserve">icrogeographic </w:t>
      </w:r>
      <w:r>
        <w:rPr>
          <w:rFonts w:ascii="Times New Roman" w:hAnsi="Times New Roman" w:cs="Times New Roman"/>
        </w:rPr>
        <w:t>o</w:t>
      </w:r>
      <w:r w:rsidRPr="00F12904">
        <w:rPr>
          <w:rFonts w:ascii="Times New Roman" w:hAnsi="Times New Roman" w:cs="Times New Roman"/>
        </w:rPr>
        <w:t xml:space="preserve">rigin, and </w:t>
      </w:r>
      <w:r>
        <w:rPr>
          <w:rFonts w:ascii="Times New Roman" w:hAnsi="Times New Roman" w:cs="Times New Roman"/>
        </w:rPr>
        <w:t>a</w:t>
      </w:r>
      <w:r w:rsidRPr="00F12904">
        <w:rPr>
          <w:rFonts w:ascii="Times New Roman" w:hAnsi="Times New Roman" w:cs="Times New Roman"/>
        </w:rPr>
        <w:t xml:space="preserve">dmixture </w:t>
      </w:r>
      <w:r>
        <w:rPr>
          <w:rFonts w:ascii="Times New Roman" w:hAnsi="Times New Roman" w:cs="Times New Roman"/>
        </w:rPr>
        <w:t>p</w:t>
      </w:r>
      <w:r w:rsidRPr="00F12904">
        <w:rPr>
          <w:rFonts w:ascii="Times New Roman" w:hAnsi="Times New Roman" w:cs="Times New Roman"/>
        </w:rPr>
        <w:t xml:space="preserve">roportions for </w:t>
      </w:r>
      <w:r>
        <w:rPr>
          <w:rFonts w:ascii="Times New Roman" w:hAnsi="Times New Roman" w:cs="Times New Roman"/>
        </w:rPr>
        <w:t>i</w:t>
      </w:r>
      <w:r w:rsidRPr="00F12904">
        <w:rPr>
          <w:rFonts w:ascii="Times New Roman" w:hAnsi="Times New Roman" w:cs="Times New Roman"/>
        </w:rPr>
        <w:t>nterpretation.</w:t>
      </w:r>
      <w:r w:rsidR="00333B4A">
        <w:rPr>
          <w:rFonts w:ascii="Times New Roman" w:hAnsi="Times New Roman" w:cs="Times New Roman"/>
        </w:rPr>
        <w:t xml:space="preserve"> </w:t>
      </w:r>
      <w:r w:rsidR="0022122B">
        <w:rPr>
          <w:rFonts w:ascii="Times New Roman" w:hAnsi="Times New Roman" w:cs="Times New Roman"/>
          <w:i/>
          <w:iCs/>
        </w:rPr>
        <w:t>J</w:t>
      </w:r>
      <w:r w:rsidRPr="00F12904">
        <w:rPr>
          <w:rFonts w:ascii="Times New Roman" w:hAnsi="Times New Roman" w:cs="Times New Roman"/>
          <w:i/>
          <w:iCs/>
        </w:rPr>
        <w:t>ournal of forensic sciences</w:t>
      </w:r>
      <w:r w:rsidRPr="00F12904">
        <w:rPr>
          <w:rFonts w:ascii="Times New Roman" w:hAnsi="Times New Roman" w:cs="Times New Roman"/>
        </w:rPr>
        <w:t xml:space="preserve"> 64.2: 353–366. Web. </w:t>
      </w:r>
      <w:hyperlink r:id="rId15" w:history="1">
        <w:r w:rsidRPr="00F63AF6">
          <w:rPr>
            <w:rStyle w:val="Hyperlink"/>
            <w:rFonts w:ascii="Times New Roman" w:hAnsi="Times New Roman" w:cs="Times New Roman"/>
            <w:b/>
            <w:bCs/>
          </w:rPr>
          <w:t>https://doi-org.utk.idm.oclc.org/10.1111/1556-4029.13893</w:t>
        </w:r>
      </w:hyperlink>
    </w:p>
    <w:p w14:paraId="1B431A9B" w14:textId="77777777" w:rsidR="00A7542D" w:rsidRDefault="00A7542D" w:rsidP="00C317FC">
      <w:pPr>
        <w:ind w:left="720" w:hanging="720"/>
        <w:rPr>
          <w:rFonts w:ascii="Times New Roman" w:hAnsi="Times New Roman" w:cs="Times New Roman"/>
        </w:rPr>
      </w:pPr>
      <w:r w:rsidRPr="0050353F">
        <w:rPr>
          <w:rFonts w:ascii="Times New Roman" w:hAnsi="Times New Roman" w:cs="Times New Roman"/>
        </w:rPr>
        <w:t xml:space="preserve">Jantz, R. L., &amp; Ousley, S. D. (2005). FORDISC 3: </w:t>
      </w:r>
      <w:r>
        <w:rPr>
          <w:rFonts w:ascii="Times New Roman" w:hAnsi="Times New Roman" w:cs="Times New Roman"/>
        </w:rPr>
        <w:t>C</w:t>
      </w:r>
      <w:r w:rsidRPr="0050353F">
        <w:rPr>
          <w:rFonts w:ascii="Times New Roman" w:hAnsi="Times New Roman" w:cs="Times New Roman"/>
        </w:rPr>
        <w:t xml:space="preserve">omputerized forensic discriminant functions, Version 3.0. </w:t>
      </w:r>
      <w:r w:rsidRPr="0050353F">
        <w:rPr>
          <w:rFonts w:ascii="Times New Roman" w:hAnsi="Times New Roman" w:cs="Times New Roman"/>
          <w:i/>
          <w:iCs/>
        </w:rPr>
        <w:t>The University of Tennessee, Knoxville</w:t>
      </w:r>
      <w:r w:rsidRPr="0050353F">
        <w:rPr>
          <w:rFonts w:ascii="Times New Roman" w:hAnsi="Times New Roman" w:cs="Times New Roman"/>
        </w:rPr>
        <w:t>.</w:t>
      </w:r>
    </w:p>
    <w:p w14:paraId="62B95B27" w14:textId="2E6E2341" w:rsidR="00A7542D" w:rsidRPr="00F12904" w:rsidRDefault="00A7542D" w:rsidP="00C317FC">
      <w:pPr>
        <w:ind w:left="720" w:hanging="720"/>
        <w:rPr>
          <w:rFonts w:ascii="Times New Roman" w:hAnsi="Times New Roman" w:cs="Times New Roman"/>
        </w:rPr>
      </w:pPr>
      <w:r>
        <w:rPr>
          <w:rFonts w:ascii="Times New Roman" w:hAnsi="Times New Roman" w:cs="Times New Roman"/>
        </w:rPr>
        <w:t>Mariana, E., Collard, M. (</w:t>
      </w:r>
      <w:r w:rsidRPr="00C97B12">
        <w:rPr>
          <w:rFonts w:ascii="Times New Roman" w:hAnsi="Times New Roman" w:cs="Times New Roman"/>
        </w:rPr>
        <w:t>2009</w:t>
      </w:r>
      <w:r>
        <w:rPr>
          <w:rFonts w:ascii="Times New Roman" w:hAnsi="Times New Roman" w:cs="Times New Roman"/>
        </w:rPr>
        <w:t xml:space="preserve">). </w:t>
      </w:r>
      <w:r w:rsidRPr="00C97B12">
        <w:rPr>
          <w:rFonts w:ascii="Times New Roman" w:hAnsi="Times New Roman" w:cs="Times New Roman"/>
        </w:rPr>
        <w:t>Fordisc and the determination of ancestry from cranial measurements</w:t>
      </w:r>
      <w:r>
        <w:rPr>
          <w:rFonts w:ascii="Times New Roman" w:hAnsi="Times New Roman" w:cs="Times New Roman"/>
        </w:rPr>
        <w:t xml:space="preserve">. </w:t>
      </w:r>
      <w:r w:rsidRPr="00C97B12">
        <w:rPr>
          <w:rFonts w:ascii="Times New Roman" w:hAnsi="Times New Roman" w:cs="Times New Roman"/>
          <w:i/>
          <w:iCs/>
        </w:rPr>
        <w:t>Biol. Lett.</w:t>
      </w:r>
      <w:r>
        <w:rPr>
          <w:rFonts w:ascii="Times New Roman" w:hAnsi="Times New Roman" w:cs="Times New Roman"/>
          <w:i/>
          <w:iCs/>
        </w:rPr>
        <w:t xml:space="preserve"> 5:</w:t>
      </w:r>
      <w:r w:rsidRPr="00C97B12">
        <w:rPr>
          <w:rFonts w:ascii="Times New Roman" w:hAnsi="Times New Roman" w:cs="Times New Roman"/>
        </w:rPr>
        <w:t>849–852</w:t>
      </w:r>
      <w:r>
        <w:rPr>
          <w:rFonts w:ascii="Times New Roman" w:hAnsi="Times New Roman" w:cs="Times New Roman"/>
        </w:rPr>
        <w:t xml:space="preserve">. </w:t>
      </w:r>
      <w:hyperlink r:id="rId16" w:history="1">
        <w:r w:rsidRPr="00C97B12">
          <w:rPr>
            <w:rStyle w:val="Hyperlink"/>
            <w:rFonts w:ascii="Times New Roman" w:hAnsi="Times New Roman" w:cs="Times New Roman"/>
          </w:rPr>
          <w:t>http://doi.org/10.1098/rsbl.2009.0462</w:t>
        </w:r>
      </w:hyperlink>
    </w:p>
    <w:p w14:paraId="7BEAC965" w14:textId="7E40B347" w:rsidR="00A7542D" w:rsidRDefault="00A7542D" w:rsidP="00C317FC">
      <w:pPr>
        <w:ind w:left="720" w:hanging="720"/>
        <w:rPr>
          <w:rFonts w:ascii="Times New Roman" w:hAnsi="Times New Roman" w:cs="Times New Roman"/>
        </w:rPr>
      </w:pPr>
      <w:r w:rsidRPr="00F12904">
        <w:rPr>
          <w:rFonts w:ascii="Times New Roman" w:hAnsi="Times New Roman" w:cs="Times New Roman"/>
        </w:rPr>
        <w:t xml:space="preserve">Ousley, S, </w:t>
      </w:r>
      <w:r w:rsidR="009F6E8B">
        <w:rPr>
          <w:rFonts w:ascii="Times New Roman" w:hAnsi="Times New Roman" w:cs="Times New Roman"/>
        </w:rPr>
        <w:t>&amp;</w:t>
      </w:r>
      <w:r w:rsidRPr="00F12904">
        <w:rPr>
          <w:rFonts w:ascii="Times New Roman" w:hAnsi="Times New Roman" w:cs="Times New Roman"/>
        </w:rPr>
        <w:t xml:space="preserve"> Jantz</w:t>
      </w:r>
      <w:r w:rsidR="009F6E8B">
        <w:rPr>
          <w:rFonts w:ascii="Times New Roman" w:hAnsi="Times New Roman" w:cs="Times New Roman"/>
        </w:rPr>
        <w:t>, R.L</w:t>
      </w:r>
      <w:r w:rsidRPr="00F12904">
        <w:rPr>
          <w:rFonts w:ascii="Times New Roman" w:hAnsi="Times New Roman" w:cs="Times New Roman"/>
        </w:rPr>
        <w:t>.</w:t>
      </w:r>
      <w:r w:rsidR="00BD23B7" w:rsidRPr="00BD23B7">
        <w:rPr>
          <w:rFonts w:ascii="Times New Roman" w:hAnsi="Times New Roman" w:cs="Times New Roman"/>
        </w:rPr>
        <w:t xml:space="preserve"> </w:t>
      </w:r>
      <w:r w:rsidR="00BD23B7" w:rsidRPr="00F12904">
        <w:rPr>
          <w:rFonts w:ascii="Times New Roman" w:hAnsi="Times New Roman" w:cs="Times New Roman"/>
        </w:rPr>
        <w:t>(2013)</w:t>
      </w:r>
      <w:r w:rsidRPr="00F12904">
        <w:rPr>
          <w:rFonts w:ascii="Times New Roman" w:hAnsi="Times New Roman" w:cs="Times New Roman"/>
        </w:rPr>
        <w:t xml:space="preserve"> Fordisc 3: Third </w:t>
      </w:r>
      <w:r>
        <w:rPr>
          <w:rFonts w:ascii="Times New Roman" w:hAnsi="Times New Roman" w:cs="Times New Roman"/>
        </w:rPr>
        <w:t>g</w:t>
      </w:r>
      <w:r w:rsidRPr="00F12904">
        <w:rPr>
          <w:rFonts w:ascii="Times New Roman" w:hAnsi="Times New Roman" w:cs="Times New Roman"/>
        </w:rPr>
        <w:t xml:space="preserve">eneration of </w:t>
      </w:r>
      <w:r>
        <w:rPr>
          <w:rFonts w:ascii="Times New Roman" w:hAnsi="Times New Roman" w:cs="Times New Roman"/>
        </w:rPr>
        <w:t>c</w:t>
      </w:r>
      <w:r w:rsidRPr="00F12904">
        <w:rPr>
          <w:rFonts w:ascii="Times New Roman" w:hAnsi="Times New Roman" w:cs="Times New Roman"/>
        </w:rPr>
        <w:t>omputer-</w:t>
      </w:r>
      <w:r>
        <w:rPr>
          <w:rFonts w:ascii="Times New Roman" w:hAnsi="Times New Roman" w:cs="Times New Roman"/>
        </w:rPr>
        <w:t>a</w:t>
      </w:r>
      <w:r w:rsidRPr="00F12904">
        <w:rPr>
          <w:rFonts w:ascii="Times New Roman" w:hAnsi="Times New Roman" w:cs="Times New Roman"/>
        </w:rPr>
        <w:t xml:space="preserve">ided </w:t>
      </w:r>
      <w:r>
        <w:rPr>
          <w:rFonts w:ascii="Times New Roman" w:hAnsi="Times New Roman" w:cs="Times New Roman"/>
        </w:rPr>
        <w:t>f</w:t>
      </w:r>
      <w:r w:rsidRPr="00F12904">
        <w:rPr>
          <w:rFonts w:ascii="Times New Roman" w:hAnsi="Times New Roman" w:cs="Times New Roman"/>
        </w:rPr>
        <w:t>orensic</w:t>
      </w:r>
      <w:r>
        <w:rPr>
          <w:rFonts w:ascii="Times New Roman" w:hAnsi="Times New Roman" w:cs="Times New Roman"/>
        </w:rPr>
        <w:t xml:space="preserve"> a</w:t>
      </w:r>
      <w:r w:rsidRPr="00F12904">
        <w:rPr>
          <w:rFonts w:ascii="Times New Roman" w:hAnsi="Times New Roman" w:cs="Times New Roman"/>
        </w:rPr>
        <w:t xml:space="preserve">nthropology. </w:t>
      </w:r>
      <w:r w:rsidRPr="00F12904">
        <w:rPr>
          <w:rFonts w:ascii="Times New Roman" w:hAnsi="Times New Roman" w:cs="Times New Roman"/>
          <w:i/>
          <w:iCs/>
        </w:rPr>
        <w:t>Rechtsmedizin (Berlin, Germany)</w:t>
      </w:r>
      <w:r w:rsidRPr="00F12904">
        <w:rPr>
          <w:rFonts w:ascii="Times New Roman" w:hAnsi="Times New Roman" w:cs="Times New Roman"/>
        </w:rPr>
        <w:t xml:space="preserve"> 23.2: 97–99. Web. </w:t>
      </w:r>
      <w:hyperlink r:id="rId17" w:history="1">
        <w:r w:rsidRPr="00F12904">
          <w:rPr>
            <w:rStyle w:val="Hyperlink"/>
            <w:rFonts w:ascii="Times New Roman" w:hAnsi="Times New Roman" w:cs="Times New Roman"/>
          </w:rPr>
          <w:t>https://utk.primo.exlibrisgroup.com/permalink/01UTN_KNOXVILLE/k96n06/cdi_crossref_primary_10_1007_s00194_013_0874_9</w:t>
        </w:r>
      </w:hyperlink>
    </w:p>
    <w:p w14:paraId="70CFC5AF" w14:textId="2E7C3B9F" w:rsidR="00614324" w:rsidRDefault="00614324" w:rsidP="00C317FC">
      <w:pPr>
        <w:spacing w:line="276" w:lineRule="auto"/>
        <w:ind w:left="720" w:hanging="720"/>
        <w:rPr>
          <w:rFonts w:ascii="Times New Roman" w:hAnsi="Times New Roman" w:cs="Times New Roman"/>
        </w:rPr>
      </w:pPr>
      <w:r w:rsidRPr="00614324">
        <w:rPr>
          <w:rFonts w:ascii="Times New Roman" w:hAnsi="Times New Roman" w:cs="Times New Roman"/>
        </w:rPr>
        <w:t xml:space="preserve">Stockburger, D. (2018). </w:t>
      </w:r>
      <w:r w:rsidR="007B04DC" w:rsidRPr="00614324">
        <w:rPr>
          <w:rFonts w:ascii="Times New Roman" w:hAnsi="Times New Roman" w:cs="Times New Roman"/>
        </w:rPr>
        <w:t>Discrimina</w:t>
      </w:r>
      <w:r w:rsidR="007B04DC">
        <w:rPr>
          <w:rFonts w:ascii="Times New Roman" w:hAnsi="Times New Roman" w:cs="Times New Roman"/>
        </w:rPr>
        <w:t xml:space="preserve">nt </w:t>
      </w:r>
      <w:r w:rsidRPr="00614324">
        <w:rPr>
          <w:rFonts w:ascii="Times New Roman" w:hAnsi="Times New Roman" w:cs="Times New Roman"/>
        </w:rPr>
        <w:t xml:space="preserve">function analysis. </w:t>
      </w:r>
      <w:r w:rsidRPr="009F6E8B">
        <w:rPr>
          <w:rFonts w:ascii="Times New Roman" w:hAnsi="Times New Roman" w:cs="Times New Roman"/>
          <w:i/>
          <w:iCs/>
        </w:rPr>
        <w:t>In The SAGE encyclopedia of educational research, measurement, and evaluation</w:t>
      </w:r>
      <w:r w:rsidRPr="00614324">
        <w:rPr>
          <w:rFonts w:ascii="Times New Roman" w:hAnsi="Times New Roman" w:cs="Times New Roman"/>
        </w:rPr>
        <w:t xml:space="preserve"> (Vol. 4, pp. 526-532). SAGE Publications, Inc., </w:t>
      </w:r>
      <w:hyperlink r:id="rId18" w:history="1">
        <w:r w:rsidR="006B79B6" w:rsidRPr="00A600F8">
          <w:rPr>
            <w:rStyle w:val="Hyperlink"/>
            <w:rFonts w:ascii="Times New Roman" w:hAnsi="Times New Roman" w:cs="Times New Roman"/>
          </w:rPr>
          <w:t>https://doi.org/10.4135/9781506326139.n204</w:t>
        </w:r>
      </w:hyperlink>
    </w:p>
    <w:p w14:paraId="384E74A4" w14:textId="77777777" w:rsidR="006B79B6" w:rsidRPr="0050353F" w:rsidRDefault="006B79B6" w:rsidP="00C317FC">
      <w:pPr>
        <w:ind w:left="720" w:hanging="720"/>
        <w:rPr>
          <w:rFonts w:ascii="Times New Roman" w:hAnsi="Times New Roman" w:cs="Times New Roman"/>
        </w:rPr>
      </w:pPr>
    </w:p>
    <w:p w14:paraId="629E7FA1" w14:textId="77777777" w:rsidR="006B79B6" w:rsidRDefault="006B79B6" w:rsidP="00614324">
      <w:pPr>
        <w:spacing w:line="480" w:lineRule="auto"/>
        <w:rPr>
          <w:rFonts w:ascii="Times New Roman" w:hAnsi="Times New Roman" w:cs="Times New Roman"/>
        </w:rPr>
      </w:pPr>
    </w:p>
    <w:p w14:paraId="2ED69666" w14:textId="77777777" w:rsidR="00614324" w:rsidRDefault="00614324" w:rsidP="00CC0451">
      <w:pPr>
        <w:spacing w:line="480" w:lineRule="auto"/>
        <w:rPr>
          <w:rFonts w:ascii="Times New Roman" w:hAnsi="Times New Roman" w:cs="Times New Roman"/>
        </w:rPr>
      </w:pPr>
    </w:p>
    <w:p w14:paraId="3B20EBBB" w14:textId="56FB2078" w:rsidR="00614324" w:rsidRPr="00CC0451" w:rsidRDefault="00614324" w:rsidP="00614324">
      <w:pPr>
        <w:spacing w:line="480" w:lineRule="auto"/>
        <w:jc w:val="center"/>
        <w:rPr>
          <w:rFonts w:ascii="Times New Roman" w:hAnsi="Times New Roman" w:cs="Times New Roman"/>
        </w:rPr>
      </w:pPr>
      <w:r>
        <w:rPr>
          <w:rFonts w:ascii="Times New Roman" w:hAnsi="Times New Roman" w:cs="Times New Roman"/>
        </w:rPr>
        <w:t xml:space="preserve"> </w:t>
      </w:r>
    </w:p>
    <w:sectPr w:rsidR="00614324" w:rsidRPr="00CC0451">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1FB8E" w14:textId="77777777" w:rsidR="00D416D4" w:rsidRDefault="00D416D4" w:rsidP="00D416D4">
      <w:pPr>
        <w:spacing w:after="0" w:line="240" w:lineRule="auto"/>
      </w:pPr>
      <w:r>
        <w:separator/>
      </w:r>
    </w:p>
  </w:endnote>
  <w:endnote w:type="continuationSeparator" w:id="0">
    <w:p w14:paraId="734792D0" w14:textId="77777777" w:rsidR="00D416D4" w:rsidRDefault="00D416D4" w:rsidP="00D41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02801" w14:textId="77777777" w:rsidR="00D416D4" w:rsidRDefault="00D416D4" w:rsidP="00D416D4">
      <w:pPr>
        <w:spacing w:after="0" w:line="240" w:lineRule="auto"/>
      </w:pPr>
      <w:r>
        <w:separator/>
      </w:r>
    </w:p>
  </w:footnote>
  <w:footnote w:type="continuationSeparator" w:id="0">
    <w:p w14:paraId="0D2FD581" w14:textId="77777777" w:rsidR="00D416D4" w:rsidRDefault="00D416D4" w:rsidP="00D41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05844"/>
      <w:docPartObj>
        <w:docPartGallery w:val="Page Numbers (Top of Page)"/>
        <w:docPartUnique/>
      </w:docPartObj>
    </w:sdtPr>
    <w:sdtEndPr>
      <w:rPr>
        <w:rFonts w:ascii="Times New Roman" w:hAnsi="Times New Roman" w:cs="Times New Roman"/>
        <w:noProof/>
      </w:rPr>
    </w:sdtEndPr>
    <w:sdtContent>
      <w:p w14:paraId="6A1F20AD" w14:textId="2CEF7F3A" w:rsidR="00D416D4" w:rsidRPr="00D416D4" w:rsidRDefault="00D416D4">
        <w:pPr>
          <w:pStyle w:val="Header"/>
          <w:jc w:val="right"/>
          <w:rPr>
            <w:rFonts w:ascii="Times New Roman" w:hAnsi="Times New Roman" w:cs="Times New Roman"/>
          </w:rPr>
        </w:pPr>
        <w:r w:rsidRPr="00D416D4">
          <w:rPr>
            <w:rFonts w:ascii="Times New Roman" w:hAnsi="Times New Roman" w:cs="Times New Roman"/>
          </w:rPr>
          <w:fldChar w:fldCharType="begin"/>
        </w:r>
        <w:r w:rsidRPr="00D416D4">
          <w:rPr>
            <w:rFonts w:ascii="Times New Roman" w:hAnsi="Times New Roman" w:cs="Times New Roman"/>
          </w:rPr>
          <w:instrText xml:space="preserve"> PAGE   \* MERGEFORMAT </w:instrText>
        </w:r>
        <w:r w:rsidRPr="00D416D4">
          <w:rPr>
            <w:rFonts w:ascii="Times New Roman" w:hAnsi="Times New Roman" w:cs="Times New Roman"/>
          </w:rPr>
          <w:fldChar w:fldCharType="separate"/>
        </w:r>
        <w:r w:rsidRPr="00D416D4">
          <w:rPr>
            <w:rFonts w:ascii="Times New Roman" w:hAnsi="Times New Roman" w:cs="Times New Roman"/>
            <w:noProof/>
          </w:rPr>
          <w:t>2</w:t>
        </w:r>
        <w:r w:rsidRPr="00D416D4">
          <w:rPr>
            <w:rFonts w:ascii="Times New Roman" w:hAnsi="Times New Roman" w:cs="Times New Roman"/>
            <w:noProof/>
          </w:rPr>
          <w:fldChar w:fldCharType="end"/>
        </w:r>
      </w:p>
    </w:sdtContent>
  </w:sdt>
  <w:p w14:paraId="3CE5EA9D" w14:textId="77777777" w:rsidR="00D416D4" w:rsidRDefault="00D416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40DF2"/>
    <w:multiLevelType w:val="hybridMultilevel"/>
    <w:tmpl w:val="593A91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2EF6AC0"/>
    <w:multiLevelType w:val="hybridMultilevel"/>
    <w:tmpl w:val="1A78E1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0647E55"/>
    <w:multiLevelType w:val="hybridMultilevel"/>
    <w:tmpl w:val="2038534E"/>
    <w:lvl w:ilvl="0" w:tplc="3AFC2FCA">
      <w:start w:val="1"/>
      <w:numFmt w:val="decimal"/>
      <w:lvlText w:val="%1."/>
      <w:lvlJc w:val="left"/>
      <w:pPr>
        <w:ind w:left="1488" w:hanging="360"/>
      </w:pPr>
      <w:rPr>
        <w:rFonts w:ascii="Times New Roman" w:eastAsiaTheme="minorHAnsi" w:hAnsi="Times New Roman" w:cs="Times New Roman"/>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3" w15:restartNumberingAfterBreak="0">
    <w:nsid w:val="4F616F1E"/>
    <w:multiLevelType w:val="hybridMultilevel"/>
    <w:tmpl w:val="97901E26"/>
    <w:lvl w:ilvl="0" w:tplc="DBC258C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15429B6"/>
    <w:multiLevelType w:val="hybridMultilevel"/>
    <w:tmpl w:val="A19EC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AE6BA9"/>
    <w:multiLevelType w:val="hybridMultilevel"/>
    <w:tmpl w:val="0136D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8162330">
    <w:abstractNumId w:val="0"/>
  </w:num>
  <w:num w:numId="2" w16cid:durableId="804086529">
    <w:abstractNumId w:val="3"/>
  </w:num>
  <w:num w:numId="3" w16cid:durableId="373115879">
    <w:abstractNumId w:val="1"/>
  </w:num>
  <w:num w:numId="4" w16cid:durableId="390466505">
    <w:abstractNumId w:val="2"/>
  </w:num>
  <w:num w:numId="5" w16cid:durableId="1351420461">
    <w:abstractNumId w:val="5"/>
  </w:num>
  <w:num w:numId="6" w16cid:durableId="942488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236"/>
    <w:rsid w:val="00001987"/>
    <w:rsid w:val="000019C9"/>
    <w:rsid w:val="00001A0E"/>
    <w:rsid w:val="00012737"/>
    <w:rsid w:val="00015DE0"/>
    <w:rsid w:val="00016F10"/>
    <w:rsid w:val="00022C53"/>
    <w:rsid w:val="000356FF"/>
    <w:rsid w:val="00066F9E"/>
    <w:rsid w:val="00082B46"/>
    <w:rsid w:val="0009036B"/>
    <w:rsid w:val="000923FB"/>
    <w:rsid w:val="0009396A"/>
    <w:rsid w:val="00096E8B"/>
    <w:rsid w:val="00097479"/>
    <w:rsid w:val="000A3EA9"/>
    <w:rsid w:val="000A76A6"/>
    <w:rsid w:val="000A7AFD"/>
    <w:rsid w:val="000B6FCC"/>
    <w:rsid w:val="000C1E4D"/>
    <w:rsid w:val="000C303D"/>
    <w:rsid w:val="000C7B87"/>
    <w:rsid w:val="000D0288"/>
    <w:rsid w:val="000E3FDF"/>
    <w:rsid w:val="000E610D"/>
    <w:rsid w:val="000E7F9E"/>
    <w:rsid w:val="000F3CBF"/>
    <w:rsid w:val="00115605"/>
    <w:rsid w:val="00121B2D"/>
    <w:rsid w:val="0013723E"/>
    <w:rsid w:val="001418AA"/>
    <w:rsid w:val="00146CBC"/>
    <w:rsid w:val="00150674"/>
    <w:rsid w:val="00157F57"/>
    <w:rsid w:val="0016597B"/>
    <w:rsid w:val="00177D7C"/>
    <w:rsid w:val="00182310"/>
    <w:rsid w:val="00182510"/>
    <w:rsid w:val="00190619"/>
    <w:rsid w:val="0019541C"/>
    <w:rsid w:val="001968CD"/>
    <w:rsid w:val="001C208B"/>
    <w:rsid w:val="001C6DEE"/>
    <w:rsid w:val="001E1446"/>
    <w:rsid w:val="001F3014"/>
    <w:rsid w:val="001F5BB0"/>
    <w:rsid w:val="0021115F"/>
    <w:rsid w:val="0022122B"/>
    <w:rsid w:val="00223CBB"/>
    <w:rsid w:val="00224A53"/>
    <w:rsid w:val="002263B3"/>
    <w:rsid w:val="00230E94"/>
    <w:rsid w:val="00234008"/>
    <w:rsid w:val="00243A96"/>
    <w:rsid w:val="00243EA9"/>
    <w:rsid w:val="002441F9"/>
    <w:rsid w:val="00246E86"/>
    <w:rsid w:val="00247D95"/>
    <w:rsid w:val="00254822"/>
    <w:rsid w:val="00262EE1"/>
    <w:rsid w:val="00273D03"/>
    <w:rsid w:val="00285FB1"/>
    <w:rsid w:val="00286A64"/>
    <w:rsid w:val="002A2613"/>
    <w:rsid w:val="002A2BF4"/>
    <w:rsid w:val="002B5DB1"/>
    <w:rsid w:val="002C6057"/>
    <w:rsid w:val="002D461C"/>
    <w:rsid w:val="002D48B1"/>
    <w:rsid w:val="002D79B8"/>
    <w:rsid w:val="002E12D5"/>
    <w:rsid w:val="002E16F4"/>
    <w:rsid w:val="002E39CB"/>
    <w:rsid w:val="002E52BF"/>
    <w:rsid w:val="002E5668"/>
    <w:rsid w:val="002F207F"/>
    <w:rsid w:val="00300608"/>
    <w:rsid w:val="00300795"/>
    <w:rsid w:val="003042A6"/>
    <w:rsid w:val="00304DC4"/>
    <w:rsid w:val="00307029"/>
    <w:rsid w:val="00312AD9"/>
    <w:rsid w:val="003139DC"/>
    <w:rsid w:val="0031424E"/>
    <w:rsid w:val="00320B46"/>
    <w:rsid w:val="00327027"/>
    <w:rsid w:val="00332055"/>
    <w:rsid w:val="003322E2"/>
    <w:rsid w:val="00333B4A"/>
    <w:rsid w:val="003460C3"/>
    <w:rsid w:val="0034763D"/>
    <w:rsid w:val="0035058D"/>
    <w:rsid w:val="00351CC7"/>
    <w:rsid w:val="003550E5"/>
    <w:rsid w:val="00364D5C"/>
    <w:rsid w:val="00372615"/>
    <w:rsid w:val="00373E24"/>
    <w:rsid w:val="00381B69"/>
    <w:rsid w:val="003970CE"/>
    <w:rsid w:val="003A151E"/>
    <w:rsid w:val="003A7466"/>
    <w:rsid w:val="003B1845"/>
    <w:rsid w:val="003B315C"/>
    <w:rsid w:val="003D01E9"/>
    <w:rsid w:val="003D1D0D"/>
    <w:rsid w:val="003D2102"/>
    <w:rsid w:val="003D5CD7"/>
    <w:rsid w:val="003E18CA"/>
    <w:rsid w:val="003E730D"/>
    <w:rsid w:val="003F185E"/>
    <w:rsid w:val="00402236"/>
    <w:rsid w:val="00422DF3"/>
    <w:rsid w:val="00440F5D"/>
    <w:rsid w:val="004544DB"/>
    <w:rsid w:val="00472507"/>
    <w:rsid w:val="00474BB3"/>
    <w:rsid w:val="004813A9"/>
    <w:rsid w:val="004929EB"/>
    <w:rsid w:val="0049759C"/>
    <w:rsid w:val="004A5C47"/>
    <w:rsid w:val="004B1745"/>
    <w:rsid w:val="004B7269"/>
    <w:rsid w:val="004C02CF"/>
    <w:rsid w:val="004C03CF"/>
    <w:rsid w:val="004D1DC5"/>
    <w:rsid w:val="004D2D81"/>
    <w:rsid w:val="004D3994"/>
    <w:rsid w:val="004D7169"/>
    <w:rsid w:val="004E2F3C"/>
    <w:rsid w:val="004E30B8"/>
    <w:rsid w:val="004F3266"/>
    <w:rsid w:val="00510CF8"/>
    <w:rsid w:val="00520A86"/>
    <w:rsid w:val="00522849"/>
    <w:rsid w:val="005228FF"/>
    <w:rsid w:val="00536CC0"/>
    <w:rsid w:val="00541248"/>
    <w:rsid w:val="005474A9"/>
    <w:rsid w:val="00553FDB"/>
    <w:rsid w:val="00564A67"/>
    <w:rsid w:val="00573B93"/>
    <w:rsid w:val="00585773"/>
    <w:rsid w:val="00585818"/>
    <w:rsid w:val="00585A05"/>
    <w:rsid w:val="00585D6F"/>
    <w:rsid w:val="00594A97"/>
    <w:rsid w:val="005A1D0C"/>
    <w:rsid w:val="005B549A"/>
    <w:rsid w:val="005B5C0A"/>
    <w:rsid w:val="005D1588"/>
    <w:rsid w:val="005D165B"/>
    <w:rsid w:val="005D1A65"/>
    <w:rsid w:val="005D3050"/>
    <w:rsid w:val="005D48DA"/>
    <w:rsid w:val="005D60C6"/>
    <w:rsid w:val="005D6982"/>
    <w:rsid w:val="005F5002"/>
    <w:rsid w:val="005F6A91"/>
    <w:rsid w:val="00604F6C"/>
    <w:rsid w:val="00605964"/>
    <w:rsid w:val="00607F95"/>
    <w:rsid w:val="00612646"/>
    <w:rsid w:val="0061300C"/>
    <w:rsid w:val="00614324"/>
    <w:rsid w:val="006166D7"/>
    <w:rsid w:val="006263C0"/>
    <w:rsid w:val="00626C37"/>
    <w:rsid w:val="00647C0C"/>
    <w:rsid w:val="006531E0"/>
    <w:rsid w:val="00655CBE"/>
    <w:rsid w:val="0066085E"/>
    <w:rsid w:val="0066596F"/>
    <w:rsid w:val="0066666A"/>
    <w:rsid w:val="00666992"/>
    <w:rsid w:val="00672384"/>
    <w:rsid w:val="006776DD"/>
    <w:rsid w:val="00681505"/>
    <w:rsid w:val="00696213"/>
    <w:rsid w:val="006979E8"/>
    <w:rsid w:val="006B01B9"/>
    <w:rsid w:val="006B715F"/>
    <w:rsid w:val="006B79B6"/>
    <w:rsid w:val="006E2D83"/>
    <w:rsid w:val="006F1CE4"/>
    <w:rsid w:val="006F3820"/>
    <w:rsid w:val="006F3DF7"/>
    <w:rsid w:val="007158FD"/>
    <w:rsid w:val="0071771A"/>
    <w:rsid w:val="00730E0D"/>
    <w:rsid w:val="007311C0"/>
    <w:rsid w:val="007317EE"/>
    <w:rsid w:val="0073322E"/>
    <w:rsid w:val="00735128"/>
    <w:rsid w:val="007372D4"/>
    <w:rsid w:val="00745620"/>
    <w:rsid w:val="0074567A"/>
    <w:rsid w:val="00745C78"/>
    <w:rsid w:val="007464BF"/>
    <w:rsid w:val="0075275F"/>
    <w:rsid w:val="0075633B"/>
    <w:rsid w:val="00764331"/>
    <w:rsid w:val="00784F3E"/>
    <w:rsid w:val="00794828"/>
    <w:rsid w:val="007B04DC"/>
    <w:rsid w:val="007B0596"/>
    <w:rsid w:val="007B231B"/>
    <w:rsid w:val="007B25DC"/>
    <w:rsid w:val="007C728A"/>
    <w:rsid w:val="007D5816"/>
    <w:rsid w:val="007E1382"/>
    <w:rsid w:val="007E171C"/>
    <w:rsid w:val="007E2DC3"/>
    <w:rsid w:val="007E5338"/>
    <w:rsid w:val="0080186C"/>
    <w:rsid w:val="0080218D"/>
    <w:rsid w:val="0081269D"/>
    <w:rsid w:val="008141C5"/>
    <w:rsid w:val="0081555E"/>
    <w:rsid w:val="00826466"/>
    <w:rsid w:val="0083464F"/>
    <w:rsid w:val="00836400"/>
    <w:rsid w:val="0084431A"/>
    <w:rsid w:val="008517D7"/>
    <w:rsid w:val="00852279"/>
    <w:rsid w:val="00853560"/>
    <w:rsid w:val="0085440A"/>
    <w:rsid w:val="00873EE4"/>
    <w:rsid w:val="008818BA"/>
    <w:rsid w:val="00890A3B"/>
    <w:rsid w:val="00893E1D"/>
    <w:rsid w:val="008963D9"/>
    <w:rsid w:val="00897BD3"/>
    <w:rsid w:val="008A1E1B"/>
    <w:rsid w:val="008A4C9E"/>
    <w:rsid w:val="008A63AB"/>
    <w:rsid w:val="008C5326"/>
    <w:rsid w:val="008D1415"/>
    <w:rsid w:val="008D4B13"/>
    <w:rsid w:val="008D6144"/>
    <w:rsid w:val="008E2D9A"/>
    <w:rsid w:val="008F7720"/>
    <w:rsid w:val="009040C7"/>
    <w:rsid w:val="00917A7D"/>
    <w:rsid w:val="009201F0"/>
    <w:rsid w:val="00925115"/>
    <w:rsid w:val="00925655"/>
    <w:rsid w:val="00927C39"/>
    <w:rsid w:val="00931617"/>
    <w:rsid w:val="00932438"/>
    <w:rsid w:val="0093648C"/>
    <w:rsid w:val="00942764"/>
    <w:rsid w:val="00953BF1"/>
    <w:rsid w:val="0095573E"/>
    <w:rsid w:val="00957034"/>
    <w:rsid w:val="00962381"/>
    <w:rsid w:val="009728F0"/>
    <w:rsid w:val="00974EDB"/>
    <w:rsid w:val="00982629"/>
    <w:rsid w:val="00984E1D"/>
    <w:rsid w:val="00985565"/>
    <w:rsid w:val="009925DF"/>
    <w:rsid w:val="009968EE"/>
    <w:rsid w:val="009A1204"/>
    <w:rsid w:val="009A1AA0"/>
    <w:rsid w:val="009D0B65"/>
    <w:rsid w:val="009D594A"/>
    <w:rsid w:val="009D6E10"/>
    <w:rsid w:val="009E6E3E"/>
    <w:rsid w:val="009F27BA"/>
    <w:rsid w:val="009F6E8B"/>
    <w:rsid w:val="00A01ADA"/>
    <w:rsid w:val="00A02216"/>
    <w:rsid w:val="00A10FA4"/>
    <w:rsid w:val="00A11EE2"/>
    <w:rsid w:val="00A1389A"/>
    <w:rsid w:val="00A224DF"/>
    <w:rsid w:val="00A271CB"/>
    <w:rsid w:val="00A33C0D"/>
    <w:rsid w:val="00A40A1D"/>
    <w:rsid w:val="00A52D43"/>
    <w:rsid w:val="00A665F0"/>
    <w:rsid w:val="00A66A8E"/>
    <w:rsid w:val="00A73226"/>
    <w:rsid w:val="00A75111"/>
    <w:rsid w:val="00A7542D"/>
    <w:rsid w:val="00A85DAB"/>
    <w:rsid w:val="00A86323"/>
    <w:rsid w:val="00A87EE9"/>
    <w:rsid w:val="00A91A45"/>
    <w:rsid w:val="00A9520A"/>
    <w:rsid w:val="00AA5183"/>
    <w:rsid w:val="00AB68B9"/>
    <w:rsid w:val="00AD401A"/>
    <w:rsid w:val="00AD6B36"/>
    <w:rsid w:val="00AE0E76"/>
    <w:rsid w:val="00AE1178"/>
    <w:rsid w:val="00AF5216"/>
    <w:rsid w:val="00AF6ED3"/>
    <w:rsid w:val="00B0652C"/>
    <w:rsid w:val="00B06F62"/>
    <w:rsid w:val="00B141B6"/>
    <w:rsid w:val="00B17E32"/>
    <w:rsid w:val="00B17E41"/>
    <w:rsid w:val="00B2351A"/>
    <w:rsid w:val="00B3196F"/>
    <w:rsid w:val="00B321BB"/>
    <w:rsid w:val="00B41EAA"/>
    <w:rsid w:val="00B563DE"/>
    <w:rsid w:val="00B56A79"/>
    <w:rsid w:val="00B617B9"/>
    <w:rsid w:val="00B702FF"/>
    <w:rsid w:val="00B82B24"/>
    <w:rsid w:val="00B84DE0"/>
    <w:rsid w:val="00B90446"/>
    <w:rsid w:val="00BA10C8"/>
    <w:rsid w:val="00BA3EA2"/>
    <w:rsid w:val="00BA6089"/>
    <w:rsid w:val="00BA7A1E"/>
    <w:rsid w:val="00BA7A9D"/>
    <w:rsid w:val="00BB4E5A"/>
    <w:rsid w:val="00BC339E"/>
    <w:rsid w:val="00BC5F05"/>
    <w:rsid w:val="00BC6D6C"/>
    <w:rsid w:val="00BC78C3"/>
    <w:rsid w:val="00BD23B7"/>
    <w:rsid w:val="00BD3930"/>
    <w:rsid w:val="00BD61AA"/>
    <w:rsid w:val="00BE1686"/>
    <w:rsid w:val="00BE5266"/>
    <w:rsid w:val="00C07CF6"/>
    <w:rsid w:val="00C1795B"/>
    <w:rsid w:val="00C22DCD"/>
    <w:rsid w:val="00C317FC"/>
    <w:rsid w:val="00C47370"/>
    <w:rsid w:val="00C6598C"/>
    <w:rsid w:val="00C663FA"/>
    <w:rsid w:val="00C748B7"/>
    <w:rsid w:val="00C93CA2"/>
    <w:rsid w:val="00CA629F"/>
    <w:rsid w:val="00CA6C85"/>
    <w:rsid w:val="00CB176E"/>
    <w:rsid w:val="00CB4A98"/>
    <w:rsid w:val="00CB7456"/>
    <w:rsid w:val="00CB7A93"/>
    <w:rsid w:val="00CC0451"/>
    <w:rsid w:val="00CC59DC"/>
    <w:rsid w:val="00CD305C"/>
    <w:rsid w:val="00CE1837"/>
    <w:rsid w:val="00CE7D3F"/>
    <w:rsid w:val="00CF65E8"/>
    <w:rsid w:val="00CF6FB1"/>
    <w:rsid w:val="00D01730"/>
    <w:rsid w:val="00D16347"/>
    <w:rsid w:val="00D3248C"/>
    <w:rsid w:val="00D371F9"/>
    <w:rsid w:val="00D40321"/>
    <w:rsid w:val="00D416D4"/>
    <w:rsid w:val="00D43E8A"/>
    <w:rsid w:val="00D5098F"/>
    <w:rsid w:val="00D51F83"/>
    <w:rsid w:val="00D53946"/>
    <w:rsid w:val="00D66078"/>
    <w:rsid w:val="00D731B5"/>
    <w:rsid w:val="00D74484"/>
    <w:rsid w:val="00D75B23"/>
    <w:rsid w:val="00D86603"/>
    <w:rsid w:val="00D87D74"/>
    <w:rsid w:val="00D95559"/>
    <w:rsid w:val="00DA2D42"/>
    <w:rsid w:val="00DA3723"/>
    <w:rsid w:val="00DB216A"/>
    <w:rsid w:val="00DC2BC5"/>
    <w:rsid w:val="00DC3C4D"/>
    <w:rsid w:val="00DD2B1E"/>
    <w:rsid w:val="00DF1E73"/>
    <w:rsid w:val="00DF3C6B"/>
    <w:rsid w:val="00DF61D5"/>
    <w:rsid w:val="00E0320D"/>
    <w:rsid w:val="00E03A6C"/>
    <w:rsid w:val="00E10632"/>
    <w:rsid w:val="00E15FCE"/>
    <w:rsid w:val="00E31D10"/>
    <w:rsid w:val="00E3352C"/>
    <w:rsid w:val="00E446A8"/>
    <w:rsid w:val="00E454EC"/>
    <w:rsid w:val="00E47D68"/>
    <w:rsid w:val="00E52658"/>
    <w:rsid w:val="00E71CD2"/>
    <w:rsid w:val="00EA5F01"/>
    <w:rsid w:val="00EA7D9B"/>
    <w:rsid w:val="00EB082D"/>
    <w:rsid w:val="00EB32BC"/>
    <w:rsid w:val="00EC1CD9"/>
    <w:rsid w:val="00ED0218"/>
    <w:rsid w:val="00ED1718"/>
    <w:rsid w:val="00ED53FF"/>
    <w:rsid w:val="00ED6942"/>
    <w:rsid w:val="00EE1A4C"/>
    <w:rsid w:val="00F03C98"/>
    <w:rsid w:val="00F04D94"/>
    <w:rsid w:val="00F06EE9"/>
    <w:rsid w:val="00F2335F"/>
    <w:rsid w:val="00F337E7"/>
    <w:rsid w:val="00F352D2"/>
    <w:rsid w:val="00F40AC4"/>
    <w:rsid w:val="00F42982"/>
    <w:rsid w:val="00F43DB0"/>
    <w:rsid w:val="00F4544D"/>
    <w:rsid w:val="00F57A66"/>
    <w:rsid w:val="00F60F96"/>
    <w:rsid w:val="00F64121"/>
    <w:rsid w:val="00F6684B"/>
    <w:rsid w:val="00F775F1"/>
    <w:rsid w:val="00F82AEA"/>
    <w:rsid w:val="00F85054"/>
    <w:rsid w:val="00F908A6"/>
    <w:rsid w:val="00F936BE"/>
    <w:rsid w:val="00F93DA7"/>
    <w:rsid w:val="00FB699F"/>
    <w:rsid w:val="00FC6496"/>
    <w:rsid w:val="00FD16A0"/>
    <w:rsid w:val="00FE3512"/>
    <w:rsid w:val="00FE5B65"/>
    <w:rsid w:val="00FF3C3C"/>
    <w:rsid w:val="00FF4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71EC4"/>
  <w15:chartTrackingRefBased/>
  <w15:docId w15:val="{2E3E8605-EED4-4EC2-9C0E-7524C74A8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22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22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22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22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22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22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2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2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2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2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22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22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22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22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22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2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2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236"/>
    <w:rPr>
      <w:rFonts w:eastAsiaTheme="majorEastAsia" w:cstheme="majorBidi"/>
      <w:color w:val="272727" w:themeColor="text1" w:themeTint="D8"/>
    </w:rPr>
  </w:style>
  <w:style w:type="paragraph" w:styleId="Title">
    <w:name w:val="Title"/>
    <w:basedOn w:val="Normal"/>
    <w:next w:val="Normal"/>
    <w:link w:val="TitleChar"/>
    <w:uiPriority w:val="10"/>
    <w:qFormat/>
    <w:rsid w:val="004022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2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2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2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236"/>
    <w:pPr>
      <w:spacing w:before="160"/>
      <w:jc w:val="center"/>
    </w:pPr>
    <w:rPr>
      <w:i/>
      <w:iCs/>
      <w:color w:val="404040" w:themeColor="text1" w:themeTint="BF"/>
    </w:rPr>
  </w:style>
  <w:style w:type="character" w:customStyle="1" w:styleId="QuoteChar">
    <w:name w:val="Quote Char"/>
    <w:basedOn w:val="DefaultParagraphFont"/>
    <w:link w:val="Quote"/>
    <w:uiPriority w:val="29"/>
    <w:rsid w:val="00402236"/>
    <w:rPr>
      <w:i/>
      <w:iCs/>
      <w:color w:val="404040" w:themeColor="text1" w:themeTint="BF"/>
    </w:rPr>
  </w:style>
  <w:style w:type="paragraph" w:styleId="ListParagraph">
    <w:name w:val="List Paragraph"/>
    <w:basedOn w:val="Normal"/>
    <w:uiPriority w:val="34"/>
    <w:qFormat/>
    <w:rsid w:val="00402236"/>
    <w:pPr>
      <w:ind w:left="720"/>
      <w:contextualSpacing/>
    </w:pPr>
  </w:style>
  <w:style w:type="character" w:styleId="IntenseEmphasis">
    <w:name w:val="Intense Emphasis"/>
    <w:basedOn w:val="DefaultParagraphFont"/>
    <w:uiPriority w:val="21"/>
    <w:qFormat/>
    <w:rsid w:val="00402236"/>
    <w:rPr>
      <w:i/>
      <w:iCs/>
      <w:color w:val="0F4761" w:themeColor="accent1" w:themeShade="BF"/>
    </w:rPr>
  </w:style>
  <w:style w:type="paragraph" w:styleId="IntenseQuote">
    <w:name w:val="Intense Quote"/>
    <w:basedOn w:val="Normal"/>
    <w:next w:val="Normal"/>
    <w:link w:val="IntenseQuoteChar"/>
    <w:uiPriority w:val="30"/>
    <w:qFormat/>
    <w:rsid w:val="004022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2236"/>
    <w:rPr>
      <w:i/>
      <w:iCs/>
      <w:color w:val="0F4761" w:themeColor="accent1" w:themeShade="BF"/>
    </w:rPr>
  </w:style>
  <w:style w:type="character" w:styleId="IntenseReference">
    <w:name w:val="Intense Reference"/>
    <w:basedOn w:val="DefaultParagraphFont"/>
    <w:uiPriority w:val="32"/>
    <w:qFormat/>
    <w:rsid w:val="00402236"/>
    <w:rPr>
      <w:b/>
      <w:bCs/>
      <w:smallCaps/>
      <w:color w:val="0F4761" w:themeColor="accent1" w:themeShade="BF"/>
      <w:spacing w:val="5"/>
    </w:rPr>
  </w:style>
  <w:style w:type="character" w:styleId="Hyperlink">
    <w:name w:val="Hyperlink"/>
    <w:basedOn w:val="DefaultParagraphFont"/>
    <w:uiPriority w:val="99"/>
    <w:unhideWhenUsed/>
    <w:rsid w:val="006B79B6"/>
    <w:rPr>
      <w:color w:val="467886" w:themeColor="hyperlink"/>
      <w:u w:val="single"/>
    </w:rPr>
  </w:style>
  <w:style w:type="character" w:styleId="UnresolvedMention">
    <w:name w:val="Unresolved Mention"/>
    <w:basedOn w:val="DefaultParagraphFont"/>
    <w:uiPriority w:val="99"/>
    <w:semiHidden/>
    <w:unhideWhenUsed/>
    <w:rsid w:val="006B79B6"/>
    <w:rPr>
      <w:color w:val="605E5C"/>
      <w:shd w:val="clear" w:color="auto" w:fill="E1DFDD"/>
    </w:rPr>
  </w:style>
  <w:style w:type="character" w:styleId="FollowedHyperlink">
    <w:name w:val="FollowedHyperlink"/>
    <w:basedOn w:val="DefaultParagraphFont"/>
    <w:uiPriority w:val="99"/>
    <w:semiHidden/>
    <w:unhideWhenUsed/>
    <w:rsid w:val="00157F57"/>
    <w:rPr>
      <w:color w:val="96607D" w:themeColor="followedHyperlink"/>
      <w:u w:val="single"/>
    </w:rPr>
  </w:style>
  <w:style w:type="table" w:styleId="TableGrid">
    <w:name w:val="Table Grid"/>
    <w:basedOn w:val="TableNormal"/>
    <w:uiPriority w:val="39"/>
    <w:rsid w:val="00F45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16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6D4"/>
  </w:style>
  <w:style w:type="paragraph" w:styleId="Footer">
    <w:name w:val="footer"/>
    <w:basedOn w:val="Normal"/>
    <w:link w:val="FooterChar"/>
    <w:uiPriority w:val="99"/>
    <w:unhideWhenUsed/>
    <w:rsid w:val="00D416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758021">
      <w:bodyDiv w:val="1"/>
      <w:marLeft w:val="0"/>
      <w:marRight w:val="0"/>
      <w:marTop w:val="0"/>
      <w:marBottom w:val="0"/>
      <w:divBdr>
        <w:top w:val="none" w:sz="0" w:space="0" w:color="auto"/>
        <w:left w:val="none" w:sz="0" w:space="0" w:color="auto"/>
        <w:bottom w:val="none" w:sz="0" w:space="0" w:color="auto"/>
        <w:right w:val="none" w:sz="0" w:space="0" w:color="auto"/>
      </w:divBdr>
    </w:div>
    <w:div w:id="726152246">
      <w:bodyDiv w:val="1"/>
      <w:marLeft w:val="0"/>
      <w:marRight w:val="0"/>
      <w:marTop w:val="0"/>
      <w:marBottom w:val="0"/>
      <w:divBdr>
        <w:top w:val="none" w:sz="0" w:space="0" w:color="auto"/>
        <w:left w:val="none" w:sz="0" w:space="0" w:color="auto"/>
        <w:bottom w:val="none" w:sz="0" w:space="0" w:color="auto"/>
        <w:right w:val="none" w:sz="0" w:space="0" w:color="auto"/>
      </w:divBdr>
    </w:div>
    <w:div w:id="912280303">
      <w:bodyDiv w:val="1"/>
      <w:marLeft w:val="0"/>
      <w:marRight w:val="0"/>
      <w:marTop w:val="0"/>
      <w:marBottom w:val="0"/>
      <w:divBdr>
        <w:top w:val="none" w:sz="0" w:space="0" w:color="auto"/>
        <w:left w:val="none" w:sz="0" w:space="0" w:color="auto"/>
        <w:bottom w:val="none" w:sz="0" w:space="0" w:color="auto"/>
        <w:right w:val="none" w:sz="0" w:space="0" w:color="auto"/>
      </w:divBdr>
    </w:div>
    <w:div w:id="974260915">
      <w:bodyDiv w:val="1"/>
      <w:marLeft w:val="0"/>
      <w:marRight w:val="0"/>
      <w:marTop w:val="0"/>
      <w:marBottom w:val="0"/>
      <w:divBdr>
        <w:top w:val="none" w:sz="0" w:space="0" w:color="auto"/>
        <w:left w:val="none" w:sz="0" w:space="0" w:color="auto"/>
        <w:bottom w:val="none" w:sz="0" w:space="0" w:color="auto"/>
        <w:right w:val="none" w:sz="0" w:space="0" w:color="auto"/>
      </w:divBdr>
    </w:div>
    <w:div w:id="1031876638">
      <w:bodyDiv w:val="1"/>
      <w:marLeft w:val="0"/>
      <w:marRight w:val="0"/>
      <w:marTop w:val="0"/>
      <w:marBottom w:val="0"/>
      <w:divBdr>
        <w:top w:val="none" w:sz="0" w:space="0" w:color="auto"/>
        <w:left w:val="none" w:sz="0" w:space="0" w:color="auto"/>
        <w:bottom w:val="none" w:sz="0" w:space="0" w:color="auto"/>
        <w:right w:val="none" w:sz="0" w:space="0" w:color="auto"/>
      </w:divBdr>
    </w:div>
    <w:div w:id="1509296668">
      <w:bodyDiv w:val="1"/>
      <w:marLeft w:val="0"/>
      <w:marRight w:val="0"/>
      <w:marTop w:val="0"/>
      <w:marBottom w:val="0"/>
      <w:divBdr>
        <w:top w:val="none" w:sz="0" w:space="0" w:color="auto"/>
        <w:left w:val="none" w:sz="0" w:space="0" w:color="auto"/>
        <w:bottom w:val="none" w:sz="0" w:space="0" w:color="auto"/>
        <w:right w:val="none" w:sz="0" w:space="0" w:color="auto"/>
      </w:divBdr>
    </w:div>
    <w:div w:id="152289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4/relationships/chartEx" Target="charts/chartEx1.xml"/><Relationship Id="rId13" Type="http://schemas.openxmlformats.org/officeDocument/2006/relationships/hyperlink" Target="https://utk.primo.exlibrisgroup.com/permalink/01UTN_KNOXVILLE/k96n06/cdi_wiley_primary_10_1111_1556_4029_13123_JFO13123" TargetMode="External"/><Relationship Id="rId18" Type="http://schemas.openxmlformats.org/officeDocument/2006/relationships/hyperlink" Target="https://doi.org/10.4135/9781506326139.n20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utk.primo.exlibrisgroup.com/permalink/01UTN_KNOXVILLE/k96n06/cdi_crossref_primary_10_1007_s00194_013_0874_9" TargetMode="External"/><Relationship Id="rId2" Type="http://schemas.openxmlformats.org/officeDocument/2006/relationships/numbering" Target="numbering.xml"/><Relationship Id="rId16" Type="http://schemas.openxmlformats.org/officeDocument/2006/relationships/hyperlink" Target="http://doi.org/10.1098/rsbl.2009.046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doi-org.utk.idm.oclc.org/10.1111/1556-4029.13893" TargetMode="External"/><Relationship Id="rId10" Type="http://schemas.microsoft.com/office/2014/relationships/chartEx" Target="charts/chartEx2.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royalsocietypublishing.org/doi/full/10.1098/rsbl.2009.0462"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ttps://d.docs.live.net/2bf968009c57b260/Documents/Fordisc_NFS%20.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ttps://d.docs.live.net/2bf968009c57b260/Documents/Fordisc_NFS%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tx1"/>
                </a:solidFill>
                <a:latin typeface="Times New Roman" panose="02020603050405020304" pitchFamily="18" charset="0"/>
                <a:cs typeface="Times New Roman" panose="02020603050405020304" pitchFamily="18" charset="0"/>
              </a:rPr>
              <a:t>Distribution of R1</a:t>
            </a:r>
          </a:p>
        </c:rich>
      </c:tx>
      <c:layout>
        <c:manualLayout>
          <c:xMode val="edge"/>
          <c:yMode val="edge"/>
          <c:x val="0.38374453193350833"/>
          <c:y val="3.887808941960566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7508917154586441E-2"/>
          <c:y val="0.20599833379616772"/>
          <c:w val="0.87898680934114004"/>
          <c:h val="0.52083607571824975"/>
        </c:manualLayout>
      </c:layout>
      <c:barChart>
        <c:barDir val="col"/>
        <c:grouping val="clustered"/>
        <c:varyColors val="0"/>
        <c:ser>
          <c:idx val="0"/>
          <c:order val="0"/>
          <c:tx>
            <c:strRef>
              <c:f>Sheet2!$B$1</c:f>
              <c:strCache>
                <c:ptCount val="1"/>
                <c:pt idx="0">
                  <c:v>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Sheet2!$A$2:$A$9</c:f>
              <c:strCache>
                <c:ptCount val="8"/>
                <c:pt idx="0">
                  <c:v>American Indian</c:v>
                </c:pt>
                <c:pt idx="1">
                  <c:v>Hispanic</c:v>
                </c:pt>
                <c:pt idx="2">
                  <c:v>Black</c:v>
                </c:pt>
                <c:pt idx="3">
                  <c:v>White</c:v>
                </c:pt>
                <c:pt idx="4">
                  <c:v>Vietnamese</c:v>
                </c:pt>
                <c:pt idx="5">
                  <c:v>Chinese </c:v>
                </c:pt>
                <c:pt idx="6">
                  <c:v>Guatemalan</c:v>
                </c:pt>
                <c:pt idx="7">
                  <c:v>Japanese </c:v>
                </c:pt>
              </c:strCache>
            </c:strRef>
          </c:cat>
          <c:val>
            <c:numRef>
              <c:f>Sheet2!$B$2:$B$9</c:f>
              <c:numCache>
                <c:formatCode>General</c:formatCode>
                <c:ptCount val="8"/>
                <c:pt idx="0">
                  <c:v>51</c:v>
                </c:pt>
                <c:pt idx="1">
                  <c:v>5</c:v>
                </c:pt>
                <c:pt idx="2">
                  <c:v>2</c:v>
                </c:pt>
                <c:pt idx="3">
                  <c:v>7</c:v>
                </c:pt>
                <c:pt idx="4">
                  <c:v>40</c:v>
                </c:pt>
                <c:pt idx="5">
                  <c:v>31</c:v>
                </c:pt>
                <c:pt idx="6">
                  <c:v>8</c:v>
                </c:pt>
                <c:pt idx="7">
                  <c:v>28</c:v>
                </c:pt>
              </c:numCache>
            </c:numRef>
          </c:val>
          <c:extLst>
            <c:ext xmlns:c16="http://schemas.microsoft.com/office/drawing/2014/chart" uri="{C3380CC4-5D6E-409C-BE32-E72D297353CC}">
              <c16:uniqueId val="{00000000-38AA-4226-B40B-08057DC3BC04}"/>
            </c:ext>
          </c:extLst>
        </c:ser>
        <c:ser>
          <c:idx val="1"/>
          <c:order val="1"/>
          <c:tx>
            <c:strRef>
              <c:f>Sheet2!$C$1</c:f>
              <c:strCache>
                <c:ptCount val="1"/>
                <c:pt idx="0">
                  <c:v>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Sheet2!$A$2:$A$9</c:f>
              <c:strCache>
                <c:ptCount val="8"/>
                <c:pt idx="0">
                  <c:v>American Indian</c:v>
                </c:pt>
                <c:pt idx="1">
                  <c:v>Hispanic</c:v>
                </c:pt>
                <c:pt idx="2">
                  <c:v>Black</c:v>
                </c:pt>
                <c:pt idx="3">
                  <c:v>White</c:v>
                </c:pt>
                <c:pt idx="4">
                  <c:v>Vietnamese</c:v>
                </c:pt>
                <c:pt idx="5">
                  <c:v>Chinese </c:v>
                </c:pt>
                <c:pt idx="6">
                  <c:v>Guatemalan</c:v>
                </c:pt>
                <c:pt idx="7">
                  <c:v>Japanese </c:v>
                </c:pt>
              </c:strCache>
            </c:strRef>
          </c:cat>
          <c:val>
            <c:numRef>
              <c:f>Sheet2!$C$2:$C$9</c:f>
              <c:numCache>
                <c:formatCode>General</c:formatCode>
                <c:ptCount val="8"/>
                <c:pt idx="0">
                  <c:v>41</c:v>
                </c:pt>
                <c:pt idx="1">
                  <c:v>35</c:v>
                </c:pt>
                <c:pt idx="2">
                  <c:v>10</c:v>
                </c:pt>
                <c:pt idx="3">
                  <c:v>4</c:v>
                </c:pt>
                <c:pt idx="7">
                  <c:v>57</c:v>
                </c:pt>
              </c:numCache>
            </c:numRef>
          </c:val>
          <c:extLst>
            <c:ext xmlns:c16="http://schemas.microsoft.com/office/drawing/2014/chart" uri="{C3380CC4-5D6E-409C-BE32-E72D297353CC}">
              <c16:uniqueId val="{00000001-38AA-4226-B40B-08057DC3BC04}"/>
            </c:ext>
          </c:extLst>
        </c:ser>
        <c:dLbls>
          <c:dLblPos val="outEnd"/>
          <c:showLegendKey val="0"/>
          <c:showVal val="1"/>
          <c:showCatName val="0"/>
          <c:showSerName val="0"/>
          <c:showPercent val="0"/>
          <c:showBubbleSize val="0"/>
        </c:dLbls>
        <c:gapWidth val="219"/>
        <c:overlap val="-27"/>
        <c:axId val="695754848"/>
        <c:axId val="695756288"/>
      </c:barChart>
      <c:catAx>
        <c:axId val="6957548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Population</a:t>
                </a:r>
                <a:r>
                  <a:rPr lang="en-US" sz="1200" baseline="0">
                    <a:solidFill>
                      <a:schemeClr val="tx1"/>
                    </a:solidFill>
                    <a:latin typeface="Times New Roman" panose="02020603050405020304" pitchFamily="18" charset="0"/>
                    <a:cs typeface="Times New Roman" panose="02020603050405020304" pitchFamily="18" charset="0"/>
                  </a:rPr>
                  <a:t> Affinities</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40552796285079751"/>
              <c:y val="0.8718125105231050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alpha val="94000"/>
                  </a:schemeClr>
                </a:solidFill>
                <a:latin typeface="Times New Roman" panose="02020603050405020304" pitchFamily="18" charset="0"/>
                <a:ea typeface="+mn-ea"/>
                <a:cs typeface="Times New Roman" panose="02020603050405020304" pitchFamily="18" charset="0"/>
              </a:defRPr>
            </a:pPr>
            <a:endParaRPr lang="en-US"/>
          </a:p>
        </c:txPr>
        <c:crossAx val="695756288"/>
        <c:crosses val="autoZero"/>
        <c:auto val="1"/>
        <c:lblAlgn val="ctr"/>
        <c:lblOffset val="100"/>
        <c:noMultiLvlLbl val="0"/>
      </c:catAx>
      <c:valAx>
        <c:axId val="695756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Times New Roman" panose="02020603050405020304" pitchFamily="18" charset="0"/>
                    <a:cs typeface="Times New Roman" panose="02020603050405020304" pitchFamily="18" charset="0"/>
                  </a:rPr>
                  <a:t>Number</a:t>
                </a:r>
                <a:r>
                  <a:rPr lang="en-US" sz="1200" baseline="0">
                    <a:solidFill>
                      <a:schemeClr val="tx1"/>
                    </a:solidFill>
                    <a:latin typeface="Times New Roman" panose="02020603050405020304" pitchFamily="18" charset="0"/>
                    <a:cs typeface="Times New Roman" panose="02020603050405020304" pitchFamily="18" charset="0"/>
                  </a:rPr>
                  <a:t> of Cases </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1.6463759337775087E-2"/>
              <c:y val="0.2569465612133112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5754848"/>
        <c:crosses val="autoZero"/>
        <c:crossBetween val="between"/>
      </c:valAx>
      <c:spPr>
        <a:noFill/>
        <a:ln>
          <a:noFill/>
        </a:ln>
        <a:effectLst/>
      </c:spPr>
    </c:plotArea>
    <c:legend>
      <c:legendPos val="b"/>
      <c:layout>
        <c:manualLayout>
          <c:xMode val="edge"/>
          <c:yMode val="edge"/>
          <c:x val="0.87828672858200418"/>
          <c:y val="0.81741117406144836"/>
          <c:w val="8.1033380442829261E-2"/>
          <c:h val="0.127048698196257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'[Fordisc_NFS .xlsx]NFS'!$G$3:$G$343</cx:f>
        <cx:lvl ptCount="341" formatCode="0.000">
          <cx:pt idx="0">0.373</cx:pt>
          <cx:pt idx="1">0.58399999999999996</cx:pt>
          <cx:pt idx="2">0.70699999999999996</cx:pt>
          <cx:pt idx="3">0.47599999999999998</cx:pt>
          <cx:pt idx="4">0.88900000000000001</cx:pt>
          <cx:pt idx="5">0.77800000000000002</cx:pt>
          <cx:pt idx="6">0.51900000000000002</cx:pt>
          <cx:pt idx="7">0.55800000000000005</cx:pt>
          <cx:pt idx="8">0.42899999999999999</cx:pt>
          <cx:pt idx="9">0.97999999999999998</cx:pt>
          <cx:pt idx="10">0.78100000000000003</cx:pt>
          <cx:pt idx="11">0.90300000000000002</cx:pt>
          <cx:pt idx="12">0.96399999999999997</cx:pt>
          <cx:pt idx="13">0.99399999999999999</cx:pt>
          <cx:pt idx="14">0.76900000000000002</cx:pt>
          <cx:pt idx="15">0.60899999999999999</cx:pt>
          <cx:pt idx="16">0.83099999999999996</cx:pt>
          <cx:pt idx="17">0.92100000000000004</cx:pt>
          <cx:pt idx="18">0.46200000000000002</cx:pt>
          <cx:pt idx="19">0.67300000000000004</cx:pt>
          <cx:pt idx="20">0.83699999999999997</cx:pt>
          <cx:pt idx="21">0.85999999999999999</cx:pt>
          <cx:pt idx="22">0.96099999999999997</cx:pt>
          <cx:pt idx="23">0.91500000000000004</cx:pt>
          <cx:pt idx="24">0.754</cx:pt>
          <cx:pt idx="25">0.89600000000000002</cx:pt>
          <cx:pt idx="26">0.89200000000000002</cx:pt>
          <cx:pt idx="27">0.39300000000000002</cx:pt>
          <cx:pt idx="28">0.80900000000000005</cx:pt>
          <cx:pt idx="29">0.73599999999999999</cx:pt>
          <cx:pt idx="30">0.63900000000000001</cx:pt>
          <cx:pt idx="31">0.73799999999999999</cx:pt>
          <cx:pt idx="32">0.91900000000000004</cx:pt>
          <cx:pt idx="33">0.98999999999999999</cx:pt>
          <cx:pt idx="34">0.51400000000000001</cx:pt>
          <cx:pt idx="35">0.84099999999999997</cx:pt>
          <cx:pt idx="36">0.59899999999999998</cx:pt>
          <cx:pt idx="37">0.85499999999999998</cx:pt>
          <cx:pt idx="38">0.57799999999999996</cx:pt>
          <cx:pt idx="39">0.95799999999999996</cx:pt>
          <cx:pt idx="40">0.502</cx:pt>
          <cx:pt idx="41">0.748</cx:pt>
          <cx:pt idx="42">0.745</cx:pt>
          <cx:pt idx="43">0.69399999999999995</cx:pt>
          <cx:pt idx="44">0.39600000000000002</cx:pt>
          <cx:pt idx="45">0.39800000000000002</cx:pt>
          <cx:pt idx="46">0.70099999999999996</cx:pt>
          <cx:pt idx="47">0.74299999999999999</cx:pt>
          <cx:pt idx="48">0.69099999999999995</cx:pt>
          <cx:pt idx="49">0.92400000000000004</cx:pt>
          <cx:pt idx="50">0.55300000000000005</cx:pt>
          <cx:pt idx="51">0.82299999999999995</cx:pt>
          <cx:pt idx="52">0.80000000000000004</cx:pt>
          <cx:pt idx="53">0.64500000000000002</cx:pt>
          <cx:pt idx="54">0.66900000000000004</cx:pt>
          <cx:pt idx="55">0.47999999999999998</cx:pt>
          <cx:pt idx="56">0.71299999999999997</cx:pt>
          <cx:pt idx="57">0.76200000000000001</cx:pt>
          <cx:pt idx="58">0.89000000000000001</cx:pt>
          <cx:pt idx="59">0.95399999999999996</cx:pt>
          <cx:pt idx="60">0.77200000000000002</cx:pt>
          <cx:pt idx="61">0.99199999999999999</cx:pt>
          <cx:pt idx="62">0.51500000000000001</cx:pt>
          <cx:pt idx="63">0.622</cx:pt>
          <cx:pt idx="64">0.999</cx:pt>
          <cx:pt idx="65">0.46999999999999997</cx:pt>
          <cx:pt idx="66">0.78300000000000003</cx:pt>
          <cx:pt idx="67">0.36699999999999999</cx:pt>
          <cx:pt idx="68">0.78600000000000003</cx:pt>
          <cx:pt idx="69">0.86599999999999999</cx:pt>
          <cx:pt idx="70">0.55900000000000005</cx:pt>
          <cx:pt idx="71">0.77900000000000003</cx:pt>
          <cx:pt idx="72">0.63100000000000001</cx:pt>
          <cx:pt idx="73">0.42299999999999999</cx:pt>
          <cx:pt idx="74">0.78100000000000003</cx:pt>
          <cx:pt idx="75">0.48499999999999999</cx:pt>
          <cx:pt idx="76">0.495</cx:pt>
          <cx:pt idx="77">0.39600000000000002</cx:pt>
          <cx:pt idx="78">0.94799999999999995</cx:pt>
          <cx:pt idx="79">0.93999999999999995</cx:pt>
          <cx:pt idx="80">0.51300000000000001</cx:pt>
          <cx:pt idx="81">0.53700000000000003</cx:pt>
          <cx:pt idx="82">0.876</cx:pt>
          <cx:pt idx="83">0.54400000000000004</cx:pt>
          <cx:pt idx="84">0.90200000000000002</cx:pt>
          <cx:pt idx="85">0.89600000000000002</cx:pt>
          <cx:pt idx="86">0.625</cx:pt>
          <cx:pt idx="87">0.63900000000000001</cx:pt>
          <cx:pt idx="88">0.69199999999999995</cx:pt>
          <cx:pt idx="89">0.70999999999999996</cx:pt>
          <cx:pt idx="90">0.86399999999999999</cx:pt>
          <cx:pt idx="91">0.86399999999999999</cx:pt>
          <cx:pt idx="92">0.91800000000000004</cx:pt>
          <cx:pt idx="93">0.83799999999999997</cx:pt>
          <cx:pt idx="94">0.86199999999999999</cx:pt>
          <cx:pt idx="95">0.99099999999999999</cx:pt>
          <cx:pt idx="96">0.76600000000000001</cx:pt>
          <cx:pt idx="97">0</cx:pt>
          <cx:pt idx="98">0.98499999999999999</cx:pt>
          <cx:pt idx="99">0.41999999999999998</cx:pt>
          <cx:pt idx="100">0.99299999999999999</cx:pt>
          <cx:pt idx="101">0.98699999999999999</cx:pt>
          <cx:pt idx="102">0.90000000000000002</cx:pt>
          <cx:pt idx="103">0.41299999999999998</cx:pt>
          <cx:pt idx="104">0.96999999999999997</cx:pt>
          <cx:pt idx="105">0.93000000000000005</cx:pt>
          <cx:pt idx="106">0.92000000000000004</cx:pt>
          <cx:pt idx="107">0.44500000000000001</cx:pt>
          <cx:pt idx="108">0.67300000000000004</cx:pt>
          <cx:pt idx="109">0.78200000000000003</cx:pt>
          <cx:pt idx="110">0.96999999999999997</cx:pt>
          <cx:pt idx="111">0.57099999999999995</cx:pt>
          <cx:pt idx="112">0.82899999999999996</cx:pt>
          <cx:pt idx="113">0.66500000000000004</cx:pt>
          <cx:pt idx="114">0.58099999999999996</cx:pt>
          <cx:pt idx="115">0.68600000000000005</cx:pt>
          <cx:pt idx="116">0.998</cx:pt>
          <cx:pt idx="117">0.68500000000000005</cx:pt>
          <cx:pt idx="118">0.93000000000000005</cx:pt>
          <cx:pt idx="119">0.54300000000000004</cx:pt>
          <cx:pt idx="120">0.63900000000000001</cx:pt>
          <cx:pt idx="121">0.94499999999999995</cx:pt>
          <cx:pt idx="122">0.50700000000000001</cx:pt>
          <cx:pt idx="123">0.46400000000000002</cx:pt>
          <cx:pt idx="124">0.622</cx:pt>
          <cx:pt idx="125">0.86199999999999999</cx:pt>
          <cx:pt idx="126">0.92000000000000004</cx:pt>
          <cx:pt idx="127">0.78600000000000003</cx:pt>
          <cx:pt idx="128">0.55400000000000005</cx:pt>
          <cx:pt idx="129">0.42699999999999999</cx:pt>
          <cx:pt idx="130">0.624</cx:pt>
          <cx:pt idx="131">0.59099999999999997</cx:pt>
          <cx:pt idx="132">0.55600000000000005</cx:pt>
          <cx:pt idx="133">0.54800000000000004</cx:pt>
          <cx:pt idx="134">0.88100000000000001</cx:pt>
          <cx:pt idx="135">0.65600000000000003</cx:pt>
          <cx:pt idx="136">0.42999999999999999</cx:pt>
          <cx:pt idx="137">0.79700000000000004</cx:pt>
          <cx:pt idx="138">0.77800000000000002</cx:pt>
          <cx:pt idx="139">0.99199999999999999</cx:pt>
          <cx:pt idx="140">0.90700000000000003</cx:pt>
          <cx:pt idx="141">0.50600000000000001</cx:pt>
          <cx:pt idx="142">0.73399999999999999</cx:pt>
          <cx:pt idx="143">0.51100000000000001</cx:pt>
          <cx:pt idx="144">0.496</cx:pt>
          <cx:pt idx="145">0.61599999999999999</cx:pt>
          <cx:pt idx="146">0.64500000000000002</cx:pt>
          <cx:pt idx="147">0.66000000000000003</cx:pt>
          <cx:pt idx="148">0.95599999999999996</cx:pt>
          <cx:pt idx="149">0.85899999999999999</cx:pt>
          <cx:pt idx="150">0.58499999999999996</cx:pt>
          <cx:pt idx="151">0.64900000000000002</cx:pt>
          <cx:pt idx="152">0.56499999999999995</cx:pt>
          <cx:pt idx="153">0.81299999999999994</cx:pt>
          <cx:pt idx="154">0.82399999999999995</cx:pt>
          <cx:pt idx="155">0.78100000000000003</cx:pt>
          <cx:pt idx="156">0.68100000000000005</cx:pt>
          <cx:pt idx="157">0.35099999999999998</cx:pt>
          <cx:pt idx="158">0.92700000000000005</cx:pt>
          <cx:pt idx="159">0.436</cx:pt>
          <cx:pt idx="160">0.88300000000000001</cx:pt>
          <cx:pt idx="161">0.88700000000000001</cx:pt>
          <cx:pt idx="162">0.64900000000000002</cx:pt>
          <cx:pt idx="163">0.71099999999999997</cx:pt>
          <cx:pt idx="164">0.64800000000000002</cx:pt>
          <cx:pt idx="165">0.84699999999999998</cx:pt>
          <cx:pt idx="166">0.46200000000000002</cx:pt>
          <cx:pt idx="167">0.45200000000000001</cx:pt>
          <cx:pt idx="168">0.54200000000000004</cx:pt>
          <cx:pt idx="169">0.91900000000000004</cx:pt>
          <cx:pt idx="170">0.95199999999999996</cx:pt>
          <cx:pt idx="171">0.93000000000000005</cx:pt>
          <cx:pt idx="172">0.84999999999999998</cx:pt>
          <cx:pt idx="173">0.72399999999999998</cx:pt>
          <cx:pt idx="174">1</cx:pt>
          <cx:pt idx="175">0.73599999999999999</cx:pt>
          <cx:pt idx="176">0.60499999999999998</cx:pt>
          <cx:pt idx="177">0.67700000000000005</cx:pt>
          <cx:pt idx="178">0.82499999999999996</cx:pt>
          <cx:pt idx="179">0.66600000000000004</cx:pt>
          <cx:pt idx="180">0.94699999999999995</cx:pt>
          <cx:pt idx="181">0.95199999999999996</cx:pt>
          <cx:pt idx="182">0.82199999999999995</cx:pt>
          <cx:pt idx="183">0.52100000000000002</cx:pt>
          <cx:pt idx="184">0.87</cx:pt>
          <cx:pt idx="185">0.72299999999999998</cx:pt>
          <cx:pt idx="186">0.60999999999999999</cx:pt>
          <cx:pt idx="187">0.999</cx:pt>
          <cx:pt idx="188">0.68899999999999995</cx:pt>
          <cx:pt idx="189">0.60699999999999998</cx:pt>
          <cx:pt idx="190">0.58299999999999996</cx:pt>
          <cx:pt idx="191">0.68700000000000006</cx:pt>
          <cx:pt idx="192">0.97899999999999998</cx:pt>
          <cx:pt idx="193">0.95399999999999996</cx:pt>
          <cx:pt idx="194">0.98199999999999998</cx:pt>
          <cx:pt idx="195">0.79000000000000004</cx:pt>
          <cx:pt idx="196">0.98299999999999998</cx:pt>
          <cx:pt idx="197">0.98799999999999999</cx:pt>
          <cx:pt idx="198">0.995</cx:pt>
          <cx:pt idx="199">0.93600000000000005</cx:pt>
          <cx:pt idx="200">0.70299999999999996</cx:pt>
          <cx:pt idx="201">0.98599999999999999</cx:pt>
          <cx:pt idx="202">0.63</cx:pt>
          <cx:pt idx="203">0.871</cx:pt>
          <cx:pt idx="204">0.60299999999999998</cx:pt>
          <cx:pt idx="205">0.98899999999999999</cx:pt>
          <cx:pt idx="206">0.56399999999999995</cx:pt>
          <cx:pt idx="207">0.55100000000000005</cx:pt>
          <cx:pt idx="208">0.69399999999999995</cx:pt>
          <cx:pt idx="209">0.67800000000000005</cx:pt>
          <cx:pt idx="210">0.72499999999999998</cx:pt>
          <cx:pt idx="211">0.75900000000000001</cx:pt>
          <cx:pt idx="212">0.63700000000000001</cx:pt>
          <cx:pt idx="213">0.87</cx:pt>
          <cx:pt idx="214">0.98699999999999999</cx:pt>
          <cx:pt idx="215">0.84699999999999998</cx:pt>
          <cx:pt idx="216">0.84599999999999997</cx:pt>
          <cx:pt idx="217">0.67600000000000005</cx:pt>
          <cx:pt idx="218">0.99099999999999999</cx:pt>
          <cx:pt idx="219">0.93200000000000005</cx:pt>
          <cx:pt idx="220">0.95599999999999996</cx:pt>
          <cx:pt idx="221">1</cx:pt>
          <cx:pt idx="222">0.66100000000000003</cx:pt>
          <cx:pt idx="223">0.97799999999999998</cx:pt>
          <cx:pt idx="224">0.86899999999999999</cx:pt>
          <cx:pt idx="225">0.60499999999999998</cx:pt>
          <cx:pt idx="226">0.65500000000000003</cx:pt>
          <cx:pt idx="227">0.85499999999999998</cx:pt>
          <cx:pt idx="228">0.41899999999999998</cx:pt>
          <cx:pt idx="229">0.82599999999999996</cx:pt>
          <cx:pt idx="230">0.68000000000000005</cx:pt>
          <cx:pt idx="231">0.85799999999999998</cx:pt>
          <cx:pt idx="232">0.89700000000000002</cx:pt>
          <cx:pt idx="233">0.66500000000000004</cx:pt>
          <cx:pt idx="234">0.91600000000000004</cx:pt>
          <cx:pt idx="235">0.51700000000000002</cx:pt>
          <cx:pt idx="236">0.51400000000000001</cx:pt>
          <cx:pt idx="237">0.85999999999999999</cx:pt>
          <cx:pt idx="238">0.78900000000000003</cx:pt>
          <cx:pt idx="239">0.41599999999999998</cx:pt>
          <cx:pt idx="240">0.77100000000000002</cx:pt>
          <cx:pt idx="241">0.99299999999999999</cx:pt>
          <cx:pt idx="242">0.85399999999999998</cx:pt>
          <cx:pt idx="243">0.77200000000000002</cx:pt>
          <cx:pt idx="244">0.44600000000000001</cx:pt>
          <cx:pt idx="245">0.47199999999999998</cx:pt>
          <cx:pt idx="246">0.84199999999999997</cx:pt>
          <cx:pt idx="247">0.65900000000000003</cx:pt>
          <cx:pt idx="248">0.81799999999999995</cx:pt>
          <cx:pt idx="249">0.753</cx:pt>
          <cx:pt idx="250">0.79400000000000004</cx:pt>
          <cx:pt idx="251">0.93000000000000005</cx:pt>
          <cx:pt idx="252">0.84899999999999998</cx:pt>
          <cx:pt idx="253">0.75600000000000001</cx:pt>
          <cx:pt idx="254">0.63500000000000001</cx:pt>
          <cx:pt idx="255">0.998</cx:pt>
          <cx:pt idx="256">0.51500000000000001</cx:pt>
          <cx:pt idx="257">0.47499999999999998</cx:pt>
          <cx:pt idx="258">0.88500000000000001</cx:pt>
          <cx:pt idx="259">0.49299999999999999</cx:pt>
          <cx:pt idx="260">0.83199999999999996</cx:pt>
          <cx:pt idx="261">0.82599999999999996</cx:pt>
          <cx:pt idx="262">0.496</cx:pt>
          <cx:pt idx="263">0.502</cx:pt>
          <cx:pt idx="264">0.48699999999999999</cx:pt>
          <cx:pt idx="265">0.623</cx:pt>
          <cx:pt idx="266">0.73399999999999999</cx:pt>
          <cx:pt idx="267">0.96599999999999997</cx:pt>
          <cx:pt idx="268">0.70299999999999996</cx:pt>
          <cx:pt idx="269">0.55900000000000005</cx:pt>
          <cx:pt idx="270">0.48299999999999998</cx:pt>
          <cx:pt idx="271">0.53800000000000003</cx:pt>
          <cx:pt idx="272">0.46000000000000002</cx:pt>
          <cx:pt idx="273">0.71499999999999997</cx:pt>
          <cx:pt idx="274">0.54900000000000004</cx:pt>
          <cx:pt idx="275">0.85399999999999998</cx:pt>
          <cx:pt idx="276">0.47799999999999998</cx:pt>
          <cx:pt idx="277">0.46000000000000002</cx:pt>
          <cx:pt idx="278">0.82199999999999995</cx:pt>
          <cx:pt idx="279">0.98699999999999999</cx:pt>
          <cx:pt idx="280">0.97699999999999998</cx:pt>
          <cx:pt idx="281">0.90600000000000003</cx:pt>
          <cx:pt idx="282">0.96499999999999997</cx:pt>
          <cx:pt idx="283">0.66000000000000003</cx:pt>
          <cx:pt idx="284">0.73599999999999999</cx:pt>
          <cx:pt idx="285">0.53000000000000003</cx:pt>
          <cx:pt idx="286">0.42799999999999999</cx:pt>
          <cx:pt idx="287">0.52900000000000003</cx:pt>
          <cx:pt idx="288">0.996</cx:pt>
          <cx:pt idx="289">0.998</cx:pt>
          <cx:pt idx="290">0.46300000000000002</cx:pt>
          <cx:pt idx="291">0.97799999999999998</cx:pt>
          <cx:pt idx="292">0.80600000000000005</cx:pt>
          <cx:pt idx="293">0.99199999999999999</cx:pt>
          <cx:pt idx="294">0.53200000000000003</cx:pt>
          <cx:pt idx="295">0.79200000000000004</cx:pt>
          <cx:pt idx="296">0.79300000000000004</cx:pt>
          <cx:pt idx="297">0.99099999999999999</cx:pt>
          <cx:pt idx="298">0.68999999999999995</cx:pt>
          <cx:pt idx="299">0.74199999999999999</cx:pt>
          <cx:pt idx="300">0.47299999999999998</cx:pt>
          <cx:pt idx="301">0.752</cx:pt>
          <cx:pt idx="302">0.436</cx:pt>
          <cx:pt idx="303">0.77400000000000002</cx:pt>
          <cx:pt idx="304">0.71899999999999997</cx:pt>
          <cx:pt idx="305">0.80100000000000005</cx:pt>
          <cx:pt idx="306">0.47399999999999998</cx:pt>
          <cx:pt idx="307">0.57799999999999996</cx:pt>
          <cx:pt idx="308">0.98899999999999999</cx:pt>
          <cx:pt idx="309">0.76800000000000002</cx:pt>
          <cx:pt idx="310">0.88500000000000001</cx:pt>
          <cx:pt idx="311">0.98299999999999998</cx:pt>
          <cx:pt idx="312">0.80400000000000005</cx:pt>
          <cx:pt idx="313">0.90000000000000002</cx:pt>
          <cx:pt idx="314">0.64100000000000001</cx:pt>
          <cx:pt idx="315">0.59199999999999997</cx:pt>
          <cx:pt idx="316">0.85999999999999999</cx:pt>
          <cx:pt idx="317">0.85099999999999998</cx:pt>
          <cx:pt idx="318">0.60899999999999999</cx:pt>
          <cx:pt idx="325">0</cx:pt>
          <cx:pt idx="326">0</cx:pt>
          <cx:pt idx="328">0</cx:pt>
          <cx:pt idx="330">0</cx:pt>
          <cx:pt idx="332">0</cx:pt>
          <cx:pt idx="334">0</cx:pt>
          <cx:pt idx="336">0</cx:pt>
          <cx:pt idx="338">0</cx:pt>
          <cx:pt idx="340">0</cx:pt>
        </cx:lvl>
      </cx:numDim>
    </cx:data>
  </cx:chartData>
  <cx:chart>
    <cx:title pos="t" align="ctr" overlay="0">
      <cx:tx>
        <cx:txData>
          <cx:v>Distribution of PP1</cx:v>
        </cx:txData>
      </cx:tx>
      <cx:txPr>
        <a:bodyPr spcFirstLastPara="1" vertOverflow="ellipsis" horzOverflow="overflow" wrap="square" lIns="0" tIns="0" rIns="0" bIns="0" anchor="ctr" anchorCtr="1"/>
        <a:lstStyle/>
        <a:p>
          <a:pPr algn="ctr" rtl="0">
            <a:defRPr baseline="0">
              <a:solidFill>
                <a:schemeClr val="tx1"/>
              </a:solidFill>
              <a:latin typeface="Times New Roman" panose="02020603050405020304" pitchFamily="18" charset="0"/>
            </a:defRPr>
          </a:pPr>
          <a:r>
            <a:rPr lang="en-US" sz="1400" b="0" i="0" u="none" strike="noStrike" baseline="0">
              <a:solidFill>
                <a:schemeClr val="tx1"/>
              </a:solidFill>
              <a:latin typeface="Times New Roman" panose="02020603050405020304" pitchFamily="18" charset="0"/>
            </a:rPr>
            <a:t>Distribution of PP1</a:t>
          </a:r>
        </a:p>
      </cx:txPr>
    </cx:title>
    <cx:plotArea>
      <cx:plotAreaRegion>
        <cx:series layoutId="clusteredColumn" uniqueId="{AD1CAE8E-C3B3-4C20-9FB7-31BBD5D878AF}">
          <cx:tx>
            <cx:txData>
              <cx:f>'[Fordisc_NFS .xlsx]NFS'!$G$2</cx:f>
              <cx:v>FDB_PP1</cx:v>
            </cx:txData>
          </cx:tx>
          <cx:dataLabels pos="inEnd">
            <cx:visibility seriesName="0" categoryName="0" value="1"/>
          </cx:dataLabels>
          <cx:dataId val="0"/>
          <cx:layoutPr>
            <cx:binning intervalClosed="r">
              <cx:binSize val="0.10000000000000001"/>
            </cx:binning>
          </cx:layoutPr>
        </cx:series>
      </cx:plotAreaRegion>
      <cx:axis id="0">
        <cx:catScaling gapWidth="0"/>
        <cx:title>
          <cx:tx>
            <cx:txData>
              <cx:v>Posterior Probabilities</cx:v>
            </cx:txData>
          </cx:tx>
          <cx:txPr>
            <a:bodyPr spcFirstLastPara="1" vertOverflow="ellipsis" horzOverflow="overflow" wrap="square" lIns="0" tIns="0" rIns="0" bIns="0" anchor="ctr" anchorCtr="1"/>
            <a:lstStyle/>
            <a:p>
              <a:pPr algn="ctr" rtl="0">
                <a:defRPr>
                  <a:solidFill>
                    <a:schemeClr val="tx1"/>
                  </a:solidFill>
                </a:defRPr>
              </a:pPr>
              <a:r>
                <a:rPr lang="en-US" sz="1100" b="0" i="0" u="none" strike="noStrike" baseline="0">
                  <a:solidFill>
                    <a:schemeClr val="tx1"/>
                  </a:solidFill>
                  <a:latin typeface="Times New Roman" panose="02020603050405020304" pitchFamily="18" charset="0"/>
                  <a:cs typeface="Times New Roman" panose="02020603050405020304" pitchFamily="18" charset="0"/>
                </a:rPr>
                <a:t>Posterior Probabilities</a:t>
              </a:r>
            </a:p>
          </cx:txPr>
        </cx:title>
        <cx:tickLabels/>
        <cx:txPr>
          <a:bodyPr spcFirstLastPara="1" vertOverflow="ellipsis" horzOverflow="overflow" wrap="square" lIns="0" tIns="0" rIns="0" bIns="0" anchor="ctr" anchorCtr="1"/>
          <a:lstStyle/>
          <a:p>
            <a:pPr algn="ctr" rtl="0">
              <a:defRPr baseline="0">
                <a:solidFill>
                  <a:schemeClr val="tx1"/>
                </a:solidFill>
                <a:latin typeface="Times New Roman" panose="02020603050405020304" pitchFamily="18" charset="0"/>
              </a:defRPr>
            </a:pPr>
            <a:endParaRPr lang="en-US" sz="900" b="0" i="0" u="none" strike="noStrike" baseline="0">
              <a:solidFill>
                <a:schemeClr val="tx1"/>
              </a:solidFill>
              <a:latin typeface="Times New Roman" panose="02020603050405020304" pitchFamily="18" charset="0"/>
            </a:endParaRPr>
          </a:p>
        </cx:txPr>
      </cx:axis>
      <cx:axis id="1">
        <cx:valScaling/>
        <cx:title>
          <cx:tx>
            <cx:txData>
              <cx:v>Number of Cases</cx:v>
            </cx:txData>
          </cx:tx>
          <cx:txPr>
            <a:bodyPr spcFirstLastPara="1" vertOverflow="ellipsis" horzOverflow="overflow" wrap="square" lIns="0" tIns="0" rIns="0" bIns="0" anchor="ctr" anchorCtr="1"/>
            <a:lstStyle/>
            <a:p>
              <a:pPr algn="ctr" rtl="0">
                <a:defRPr>
                  <a:solidFill>
                    <a:schemeClr val="tx1"/>
                  </a:solidFill>
                </a:defRPr>
              </a:pPr>
              <a:r>
                <a:rPr lang="en-US" sz="1100" b="0" i="0" u="none" strike="noStrike" baseline="0">
                  <a:solidFill>
                    <a:schemeClr val="tx1"/>
                  </a:solidFill>
                  <a:latin typeface="Times New Roman" panose="02020603050405020304" pitchFamily="18" charset="0"/>
                  <a:cs typeface="Times New Roman" panose="02020603050405020304" pitchFamily="18" charset="0"/>
                </a:rPr>
                <a:t>Number of Cases</a:t>
              </a:r>
            </a:p>
          </cx:txPr>
        </cx:title>
        <cx:majorGridlines/>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'[Fordisc_NFS .xlsx]NFS'!$J$3:$J$321</cx:f>
        <cx:lvl ptCount="319" formatCode="0.000">
          <cx:pt idx="0">0.096000000000000002</cx:pt>
          <cx:pt idx="1">0.014</cx:pt>
          <cx:pt idx="2">0.35499999999999998</cx:pt>
          <cx:pt idx="3">0.02</cx:pt>
          <cx:pt idx="4">0.057000000000000002</cx:pt>
          <cx:pt idx="5">0.97199999999999998</cx:pt>
          <cx:pt idx="6">0.25700000000000001</cx:pt>
          <cx:pt idx="7">0.30599999999999999</cx:pt>
          <cx:pt idx="8">0.017999999999999999</cx:pt>
          <cx:pt idx="9">0.036999999999999998</cx:pt>
          <cx:pt idx="10">0.24099999999999999</cx:pt>
          <cx:pt idx="11">0.36199999999999999</cx:pt>
          <cx:pt idx="12">0.114</cx:pt>
          <cx:pt idx="13">0.036999999999999998</cx:pt>
          <cx:pt idx="14">0.111</cx:pt>
          <cx:pt idx="15">0.025999999999999999</cx:pt>
          <cx:pt idx="16">0.097000000000000003</cx:pt>
          <cx:pt idx="17">0.159</cx:pt>
          <cx:pt idx="18">0.028000000000000001</cx:pt>
          <cx:pt idx="19">0.056000000000000001</cx:pt>
          <cx:pt idx="20">0.044999999999999998</cx:pt>
          <cx:pt idx="21">0.073999999999999996</cx:pt>
          <cx:pt idx="22">0.053999999999999999</cx:pt>
          <cx:pt idx="23">0.036999999999999998</cx:pt>
          <cx:pt idx="24">0.035999999999999997</cx:pt>
          <cx:pt idx="25">0.056000000000000001</cx:pt>
          <cx:pt idx="26">0.32400000000000001</cx:pt>
          <cx:pt idx="27">0.27300000000000002</cx:pt>
          <cx:pt idx="28">0.72299999999999998</cx:pt>
          <cx:pt idx="29">0.51300000000000001</cx:pt>
          <cx:pt idx="30">0.14299999999999999</cx:pt>
          <cx:pt idx="31">0.025000000000000001</cx:pt>
          <cx:pt idx="32">0.63300000000000001</cx:pt>
          <cx:pt idx="33">0.027</cx:pt>
          <cx:pt idx="34">0.042999999999999997</cx:pt>
          <cx:pt idx="35">0.11700000000000001</cx:pt>
          <cx:pt idx="36">0.39500000000000002</cx:pt>
          <cx:pt idx="37">0.0060000000000000001</cx:pt>
          <cx:pt idx="38">0.5</cx:pt>
          <cx:pt idx="39">0.29999999999999999</cx:pt>
          <cx:pt idx="40">0.20499999999999999</cx:pt>
          <cx:pt idx="41">0.075999999999999998</cx:pt>
          <cx:pt idx="42">0.107</cx:pt>
          <cx:pt idx="43">0.021000000000000001</cx:pt>
          <cx:pt idx="44">0.10000000000000001</cx:pt>
          <cx:pt idx="45">0.19500000000000001</cx:pt>
          <cx:pt idx="46">0.035999999999999997</cx:pt>
          <cx:pt idx="47">0.0089999999999999993</cx:pt>
          <cx:pt idx="48">0.017000000000000001</cx:pt>
          <cx:pt idx="49">0.22500000000000001</cx:pt>
          <cx:pt idx="50">0.021000000000000001</cx:pt>
          <cx:pt idx="51">0.55600000000000005</cx:pt>
          <cx:pt idx="52">0.021000000000000001</cx:pt>
          <cx:pt idx="53">0.063</cx:pt>
          <cx:pt idx="54">0.040000000000000001</cx:pt>
          <cx:pt idx="55">0.23400000000000001</cx:pt>
          <cx:pt idx="56">0.021000000000000001</cx:pt>
          <cx:pt idx="57">0.012999999999999999</cx:pt>
          <cx:pt idx="58">0.021000000000000001</cx:pt>
          <cx:pt idx="59">0.021000000000000001</cx:pt>
          <cx:pt idx="60">0.021000000000000001</cx:pt>
          <cx:pt idx="61">0.46000000000000002</cx:pt>
          <cx:pt idx="62">0.11</cx:pt>
          <cx:pt idx="63">0.0050000000000000001</cx:pt>
          <cx:pt idx="64">0.035999999999999997</cx:pt>
          <cx:pt idx="65">0.29699999999999999</cx:pt>
          <cx:pt idx="66">0.029000000000000001</cx:pt>
          <cx:pt idx="67">0.0080000000000000002</cx:pt>
          <cx:pt idx="68">0.012999999999999999</cx:pt>
          <cx:pt idx="69">0.017000000000000001</cx:pt>
          <cx:pt idx="70">0.036999999999999998</cx:pt>
          <cx:pt idx="71">0.122</cx:pt>
          <cx:pt idx="72">0.20499999999999999</cx:pt>
          <cx:pt idx="73">0.092999999999999999</cx:pt>
          <cx:pt idx="74">0.02</cx:pt>
          <cx:pt idx="75">0.014</cx:pt>
          <cx:pt idx="76">0.060999999999999999</cx:pt>
          <cx:pt idx="77">0.97099999999999997</cx:pt>
          <cx:pt idx="78">0.042000000000000003</cx:pt>
          <cx:pt idx="79">0.85699999999999998</cx:pt>
          <cx:pt idx="80">0.016</cx:pt>
          <cx:pt idx="81">0.42899999999999999</cx:pt>
          <cx:pt idx="82">0.02</cx:pt>
          <cx:pt idx="83">0.85699999999999998</cx:pt>
          <cx:pt idx="84">0.082000000000000003</cx:pt>
          <cx:pt idx="85">0.02</cx:pt>
          <cx:pt idx="86">0.14999999999999999</cx:pt>
          <cx:pt idx="87">0.66700000000000004</cx:pt>
          <cx:pt idx="88">0.5</cx:pt>
          <cx:pt idx="89">0.039</cx:pt>
          <cx:pt idx="90">0.111</cx:pt>
          <cx:pt idx="91">0.33300000000000002</cx:pt>
          <cx:pt idx="92">0.222</cx:pt>
          <cx:pt idx="93">0.069000000000000006</cx:pt>
          <cx:pt idx="94">0.29599999999999999</cx:pt>
          <cx:pt idx="95">0.85699999999999998</cx:pt>
          <cx:pt idx="96">0.29999999999999999</cx:pt>
          <cx:pt idx="97">0.68000000000000005</cx:pt>
          <cx:pt idx="98">0.85699999999999998</cx:pt>
          <cx:pt idx="99">0.036999999999999998</cx:pt>
          <cx:pt idx="100">0.073999999999999996</cx:pt>
          <cx:pt idx="101">0.073999999999999996</cx:pt>
          <cx:pt idx="102">0.036999999999999998</cx:pt>
          <cx:pt idx="103">0.18099999999999999</cx:pt>
          <cx:pt idx="104">0.073999999999999996</cx:pt>
          <cx:pt idx="105">0.0080000000000000002</cx:pt>
          <cx:pt idx="106">0.31</cx:pt>
          <cx:pt idx="107">0.59999999999999998</cx:pt>
          <cx:pt idx="108">0.13700000000000001</cx:pt>
          <cx:pt idx="109">0.40000000000000002</cx:pt>
          <cx:pt idx="110">0.875</cx:pt>
          <cx:pt idx="111">0.086999999999999994</cx:pt>
          <cx:pt idx="112">0.24299999999999999</cx:pt>
          <cx:pt idx="113">0.26700000000000002</cx:pt>
          <cx:pt idx="114">0.26300000000000001</cx:pt>
          <cx:pt idx="115">0.080000000000000002</cx:pt>
          <cx:pt idx="116">0.125</cx:pt>
          <cx:pt idx="117">0.027</cx:pt>
          <cx:pt idx="118">0.69999999999999996</cx:pt>
          <cx:pt idx="119">0.095000000000000001</cx:pt>
          <cx:pt idx="120">0.128</cx:pt>
          <cx:pt idx="121">0.111</cx:pt>
          <cx:pt idx="122">0.014</cx:pt>
          <cx:pt idx="123">0.092999999999999999</cx:pt>
          <cx:pt idx="124">0.73999999999999999</cx:pt>
          <cx:pt idx="125">0.90000000000000002</cx:pt>
          <cx:pt idx="126">0.021000000000000001</cx:pt>
          <cx:pt idx="127">0.47899999999999998</cx:pt>
          <cx:pt idx="128">0.25700000000000001</cx:pt>
          <cx:pt idx="129">0.113</cx:pt>
          <cx:pt idx="130">0.192</cx:pt>
          <cx:pt idx="131">0.086999999999999994</cx:pt>
          <cx:pt idx="132">0.189</cx:pt>
          <cx:pt idx="133">0.25</cx:pt>
          <cx:pt idx="134">0.027</cx:pt>
          <cx:pt idx="135">0.021000000000000001</cx:pt>
          <cx:pt idx="136">0.021000000000000001</cx:pt>
          <cx:pt idx="137">0.012999999999999999</cx:pt>
          <cx:pt idx="138">0.014</cx:pt>
          <cx:pt idx="139">0.111</cx:pt>
          <cx:pt idx="140">0.875</cx:pt>
          <cx:pt idx="141">0.012999999999999999</cx:pt>
          <cx:pt idx="142">0.021000000000000001</cx:pt>
          <cx:pt idx="143">0.80000000000000004</cx:pt>
          <cx:pt idx="144">0.0050000000000000001</cx:pt>
          <cx:pt idx="145">0.434</cx:pt>
          <cx:pt idx="146">0.875</cx:pt>
          <cx:pt idx="147">0.59499999999999997</cx:pt>
          <cx:pt idx="148">0.027</cx:pt>
          <cx:pt idx="149">0.034000000000000002</cx:pt>
          <cx:pt idx="150">0.93300000000000005</cx:pt>
          <cx:pt idx="151">0.69399999999999995</cx:pt>
          <cx:pt idx="152">0.0050000000000000001</cx:pt>
          <cx:pt idx="153">0.0089999999999999993</cx:pt>
          <cx:pt idx="154">0.081000000000000003</cx:pt>
          <cx:pt idx="155">0.14199999999999999</cx:pt>
          <cx:pt idx="156">0.034000000000000002</cx:pt>
          <cx:pt idx="157">0.014</cx:pt>
          <cx:pt idx="158">0.014</cx:pt>
          <cx:pt idx="159">0.016</cx:pt>
          <cx:pt idx="160">0.014</cx:pt>
          <cx:pt idx="161">0.02</cx:pt>
          <cx:pt idx="162">0.040000000000000001</cx:pt>
          <cx:pt idx="163">0.24299999999999999</cx:pt>
          <cx:pt idx="164">0.014</cx:pt>
          <cx:pt idx="165">0.59999999999999998</cx:pt>
          <cx:pt idx="166">0.066000000000000003</cx:pt>
          <cx:pt idx="167">0.0030000000000000001</cx:pt>
          <cx:pt idx="168">0.014</cx:pt>
          <cx:pt idx="169">0.5</cx:pt>
          <cx:pt idx="170">0.021000000000000001</cx:pt>
          <cx:pt idx="171">0.153</cx:pt>
          <cx:pt idx="172">0.0050000000000000001</cx:pt>
          <cx:pt idx="173">0.111</cx:pt>
          <cx:pt idx="174">0.036999999999999998</cx:pt>
          <cx:pt idx="175">0.056000000000000001</cx:pt>
          <cx:pt idx="176">0.0089999999999999993</cx:pt>
          <cx:pt idx="177">0.036999999999999998</cx:pt>
          <cx:pt idx="178">0.78600000000000003</cx:pt>
          <cx:pt idx="179">0.025999999999999999</cx:pt>
          <cx:pt idx="180">0.30099999999999999</cx:pt>
          <cx:pt idx="181">0.27500000000000002</cx:pt>
          <cx:pt idx="182">0.0089999999999999993</cx:pt>
          <cx:pt idx="183">0.036999999999999998</cx:pt>
          <cx:pt idx="184">0.0089999999999999993</cx:pt>
          <cx:pt idx="185">0.625</cx:pt>
          <cx:pt idx="186">0.39200000000000002</cx:pt>
          <cx:pt idx="187">0.222</cx:pt>
          <cx:pt idx="188">0.105</cx:pt>
          <cx:pt idx="189">0.57799999999999996</cx:pt>
          <cx:pt idx="190">0.027</cx:pt>
          <cx:pt idx="191">0.88900000000000001</cx:pt>
          <cx:pt idx="192">0.59999999999999998</cx:pt>
          <cx:pt idx="193">0.014</cx:pt>
          <cx:pt idx="194">0.10000000000000001</cx:pt>
          <cx:pt idx="195">0.014</cx:pt>
          <cx:pt idx="196">0.0040000000000000001</cx:pt>
          <cx:pt idx="197">0.33300000000000002</cx:pt>
          <cx:pt idx="198">0.375</cx:pt>
          <cx:pt idx="199">0.222</cx:pt>
          <cx:pt idx="200">0.27900000000000003</cx:pt>
          <cx:pt idx="201">0.66700000000000004</cx:pt>
          <cx:pt idx="202">0.14000000000000001</cx:pt>
          <cx:pt idx="203">0.14599999999999999</cx:pt>
          <cx:pt idx="204">0.13400000000000001</cx:pt>
          <cx:pt idx="205">0.222</cx:pt>
          <cx:pt idx="206">0.76500000000000001</cx:pt>
          <cx:pt idx="207">0.80300000000000005</cx:pt>
          <cx:pt idx="208">0.113</cx:pt>
          <cx:pt idx="209">0.25700000000000001</cx:pt>
          <cx:pt idx="210">0.14299999999999999</cx:pt>
          <cx:pt idx="211">0.095000000000000001</cx:pt>
          <cx:pt idx="212">0.90000000000000002</cx:pt>
          <cx:pt idx="213">0.111</cx:pt>
          <cx:pt idx="214">0.036999999999999998</cx:pt>
          <cx:pt idx="215">0.86799999999999999</cx:pt>
          <cx:pt idx="216">0.073999999999999996</cx:pt>
          <cx:pt idx="217">0.0089999999999999993</cx:pt>
          <cx:pt idx="218">0.222</cx:pt>
          <cx:pt idx="219">0.0089999999999999993</cx:pt>
          <cx:pt idx="220">0.0089999999999999993</cx:pt>
          <cx:pt idx="221">0.036999999999999998</cx:pt>
          <cx:pt idx="222">0.017999999999999999</cx:pt>
          <cx:pt idx="223">0.30399999999999999</cx:pt>
          <cx:pt idx="224">0.26300000000000001</cx:pt>
          <cx:pt idx="225">0.0050000000000000001</cx:pt>
          <cx:pt idx="226">0.77800000000000002</cx:pt>
          <cx:pt idx="227">0.34000000000000002</cx:pt>
          <cx:pt idx="228">0.027</cx:pt>
          <cx:pt idx="229">0.5</cx:pt>
          <cx:pt idx="230">0.070999999999999994</cx:pt>
          <cx:pt idx="231">0.125</cx:pt>
          <cx:pt idx="232">0.014</cx:pt>
          <cx:pt idx="233">0.23400000000000001</cx:pt>
          <cx:pt idx="234">0.02</cx:pt>
          <cx:pt idx="235">0.189</cx:pt>
          <cx:pt idx="236">0.59999999999999998</cx:pt>
          <cx:pt idx="237">0.24299999999999999</cx:pt>
          <cx:pt idx="238">0.55600000000000005</cx:pt>
          <cx:pt idx="239">0.0050000000000000001</cx:pt>
          <cx:pt idx="240">0.049000000000000002</cx:pt>
          <cx:pt idx="241">0.42899999999999999</cx:pt>
          <cx:pt idx="242">0.40500000000000003</cx:pt>
          <cx:pt idx="243">0.055</cx:pt>
          <cx:pt idx="244">0.122</cx:pt>
          <cx:pt idx="245">0.184</cx:pt>
          <cx:pt idx="246">0.47899999999999998</cx:pt>
          <cx:pt idx="247">0.5</cx:pt>
          <cx:pt idx="248">0.064000000000000001</cx:pt>
          <cx:pt idx="249">0.014</cx:pt>
          <cx:pt idx="250">0.42899999999999999</cx:pt>
          <cx:pt idx="251">0.875</cx:pt>
          <cx:pt idx="252">0.128</cx:pt>
          <cx:pt idx="253">0.33300000000000002</cx:pt>
          <cx:pt idx="254">0.73599999999999999</cx:pt>
          <cx:pt idx="255">0.25900000000000001</cx:pt>
          <cx:pt idx="256">0.29499999999999998</cx:pt>
          <cx:pt idx="257">0.56599999999999995</cx:pt>
          <cx:pt idx="258">0.052999999999999999</cx:pt>
          <cx:pt idx="259">0.214</cx:pt>
          <cx:pt idx="260">0.16800000000000001</cx:pt>
          <cx:pt idx="261">0.185</cx:pt>
          <cx:pt idx="262">0.025999999999999999</cx:pt>
          <cx:pt idx="263">0.0089999999999999993</cx:pt>
          <cx:pt idx="264">0.40200000000000002</cx:pt>
          <cx:pt idx="265">0.83699999999999997</cx:pt>
          <cx:pt idx="266">0.02</cx:pt>
          <cx:pt idx="267">0.083000000000000004</cx:pt>
          <cx:pt idx="268">0.042000000000000003</cx:pt>
          <cx:pt idx="269">0.125</cx:pt>
          <cx:pt idx="270">0.0050000000000000001</cx:pt>
          <cx:pt idx="271">0.021000000000000001</cx:pt>
          <cx:pt idx="272">0.10199999999999999</cx:pt>
          <cx:pt idx="273">0.56299999999999994</cx:pt>
          <cx:pt idx="274">0.041000000000000002</cx:pt>
          <cx:pt idx="275">0.050000000000000003</cx:pt>
          <cx:pt idx="276">0.024</cx:pt>
          <cx:pt idx="277">0.0089999999999999993</cx:pt>
          <cx:pt idx="278">0.036999999999999998</cx:pt>
          <cx:pt idx="279">0.0089999999999999993</cx:pt>
          <cx:pt idx="280">0.40200000000000002</cx:pt>
          <cx:pt idx="281">0.89400000000000002</cx:pt>
          <cx:pt idx="282">0.124</cx:pt>
          <cx:pt idx="283">0.33300000000000002</cx:pt>
          <cx:pt idx="284">0.54900000000000004</cx:pt>
          <cx:pt idx="285">0.073999999999999996</cx:pt>
          <cx:pt idx="286">0.14799999999999999</cx:pt>
          <cx:pt idx="287">0.33600000000000002</cx:pt>
          <cx:pt idx="288">0.073999999999999996</cx:pt>
          <cx:pt idx="289">0.073999999999999996</cx:pt>
          <cx:pt idx="290">0.25900000000000001</cx:pt>
          <cx:pt idx="291">0.035000000000000003</cx:pt>
          <cx:pt idx="292">0.29799999999999999</cx:pt>
          <cx:pt idx="293">0.0089999999999999993</cx:pt>
          <cx:pt idx="294">0.31900000000000001</cx:pt>
          <cx:pt idx="295">0.72299999999999998</cx:pt>
          <cx:pt idx="296">0.043999999999999997</cx:pt>
          <cx:pt idx="297">0.0089999999999999993</cx:pt>
          <cx:pt idx="298">0.0080000000000000002</cx:pt>
          <cx:pt idx="299">0.32400000000000001</cx:pt>
          <cx:pt idx="300">0.152</cx:pt>
          <cx:pt idx="301">0.31</cx:pt>
          <cx:pt idx="302">0.11799999999999999</cx:pt>
          <cx:pt idx="303">0.40799999999999997</cx:pt>
          <cx:pt idx="304">0.027</cx:pt>
          <cx:pt idx="305">0.16800000000000001</cx:pt>
          <cx:pt idx="306">0.13500000000000001</cx:pt>
          <cx:pt idx="307">0.042000000000000003</cx:pt>
          <cx:pt idx="308">0.0089999999999999993</cx:pt>
          <cx:pt idx="309">0.26100000000000001</cx:pt>
          <cx:pt idx="310">0.017999999999999999</cx:pt>
          <cx:pt idx="311">0.0089999999999999993</cx:pt>
          <cx:pt idx="312">0.221</cx:pt>
          <cx:pt idx="313">0.073999999999999996</cx:pt>
          <cx:pt idx="314">0.23899999999999999</cx:pt>
          <cx:pt idx="315">0.073999999999999996</cx:pt>
          <cx:pt idx="316">0.0089999999999999993</cx:pt>
          <cx:pt idx="317">0.53100000000000003</cx:pt>
          <cx:pt idx="318">0.375</cx:pt>
        </cx:lvl>
      </cx:numDim>
    </cx:data>
  </cx:chartData>
  <cx:chart>
    <cx:title pos="t" align="ctr" overlay="0">
      <cx:tx>
        <cx:txData>
          <cx:v>Distribtuion of TP1</cx:v>
        </cx:txData>
      </cx:tx>
      <cx:txPr>
        <a:bodyPr spcFirstLastPara="1" vertOverflow="ellipsis" horzOverflow="overflow" wrap="square" lIns="0" tIns="0" rIns="0" bIns="0" anchor="ctr" anchorCtr="1"/>
        <a:lstStyle/>
        <a:p>
          <a:pPr algn="ctr" rtl="0">
            <a:defRPr baseline="0">
              <a:solidFill>
                <a:schemeClr val="tx1"/>
              </a:solidFill>
              <a:latin typeface="Times New Roman" panose="02020603050405020304" pitchFamily="18" charset="0"/>
            </a:defRPr>
          </a:pPr>
          <a:r>
            <a:rPr lang="en-US" sz="1400" b="0" i="0" u="none" strike="noStrike" baseline="0">
              <a:solidFill>
                <a:schemeClr val="tx1"/>
              </a:solidFill>
              <a:latin typeface="Times New Roman" panose="02020603050405020304" pitchFamily="18" charset="0"/>
            </a:rPr>
            <a:t>Distribtuion of TP1</a:t>
          </a:r>
        </a:p>
      </cx:txPr>
    </cx:title>
    <cx:plotArea>
      <cx:plotAreaRegion>
        <cx:series layoutId="clusteredColumn" uniqueId="{28417ED0-8547-4F08-B1FC-812FCFA0922B}">
          <cx:dataLabels pos="inEnd">
            <cx:txPr>
              <a:bodyPr vertOverflow="overflow" horzOverflow="overflow" wrap="square" lIns="0" tIns="0" rIns="0" bIns="0"/>
              <a:lstStyle/>
              <a:p>
                <a:pPr algn="ctr" rtl="0">
                  <a:defRPr sz="1197" b="0" i="0" baseline="0">
                    <a:solidFill>
                      <a:schemeClr val="tx1"/>
                    </a:solidFill>
                    <a:latin typeface="Aptos" panose="020B0004020202020204" pitchFamily="34" charset="0"/>
                    <a:ea typeface="Aptos" panose="020B0004020202020204" pitchFamily="34" charset="0"/>
                    <a:cs typeface="Aptos" panose="020B0004020202020204" pitchFamily="34" charset="0"/>
                  </a:defRPr>
                </a:pPr>
                <a:endParaRPr lang="en-US" baseline="0">
                  <a:solidFill>
                    <a:schemeClr val="tx1"/>
                  </a:solidFill>
                </a:endParaRPr>
              </a:p>
            </cx:txPr>
            <cx:visibility seriesName="0" categoryName="0" value="1"/>
          </cx:dataLabels>
          <cx:dataId val="0"/>
          <cx:layoutPr>
            <cx:binning intervalClosed="r">
              <cx:binSize val="0.10000000000000001"/>
            </cx:binning>
          </cx:layoutPr>
        </cx:series>
      </cx:plotAreaRegion>
      <cx:axis id="0">
        <cx:catScaling gapWidth="0"/>
        <cx:title>
          <cx:tx>
            <cx:txData>
              <cx:v>Typicality Probabilities</cx:v>
            </cx:txData>
          </cx:tx>
          <cx:txPr>
            <a:bodyPr spcFirstLastPara="1" vertOverflow="ellipsis" horzOverflow="overflow" wrap="square" lIns="0" tIns="0" rIns="0" bIns="0" anchor="ctr" anchorCtr="1"/>
            <a:lstStyle/>
            <a:p>
              <a:pPr algn="ctr" rtl="0">
                <a:defRPr/>
              </a:pPr>
              <a:r>
                <a:rPr lang="en-US" sz="1197" b="0" i="0" u="none" strike="noStrike" baseline="0">
                  <a:solidFill>
                    <a:schemeClr val="tx1"/>
                  </a:solidFill>
                  <a:latin typeface="Times New Roman" panose="02020603050405020304" pitchFamily="18" charset="0"/>
                  <a:cs typeface="Times New Roman" panose="02020603050405020304" pitchFamily="18" charset="0"/>
                </a:rPr>
                <a:t>Typicality Probabilities</a:t>
              </a:r>
            </a:p>
          </cx:txPr>
        </cx:title>
        <cx:tickLabels/>
        <cx:txPr>
          <a:bodyPr vertOverflow="overflow" horzOverflow="overflow" wrap="square" lIns="0" tIns="0" rIns="0" bIns="0"/>
          <a:lstStyle/>
          <a:p>
            <a:pPr algn="ctr" rtl="0">
              <a:defRPr sz="1197" b="0" i="0" baseline="0">
                <a:solidFill>
                  <a:schemeClr val="tx1"/>
                </a:solidFill>
                <a:latin typeface="Times New Roman" panose="02020603050405020304" pitchFamily="18" charset="0"/>
                <a:ea typeface="Aptos" panose="020B0004020202020204" pitchFamily="34" charset="0"/>
                <a:cs typeface="Aptos" panose="020B0004020202020204" pitchFamily="34" charset="0"/>
              </a:defRPr>
            </a:pPr>
            <a:endParaRPr lang="en-US" baseline="0">
              <a:solidFill>
                <a:schemeClr val="tx1"/>
              </a:solidFill>
              <a:latin typeface="Times New Roman" panose="02020603050405020304" pitchFamily="18" charset="0"/>
            </a:endParaRPr>
          </a:p>
        </cx:txPr>
      </cx:axis>
      <cx:axis id="1">
        <cx:valScaling/>
        <cx:title>
          <cx:tx>
            <cx:txData>
              <cx:v>Number of Cases</cx:v>
            </cx:txData>
          </cx:tx>
          <cx:txPr>
            <a:bodyPr spcFirstLastPara="1" vertOverflow="ellipsis" horzOverflow="overflow" wrap="square" lIns="0" tIns="0" rIns="0" bIns="0" anchor="ctr" anchorCtr="1"/>
            <a:lstStyle/>
            <a:p>
              <a:pPr algn="ctr" rtl="0">
                <a:defRPr/>
              </a:pPr>
              <a:r>
                <a:rPr lang="en-US" sz="1197" b="0" i="0" u="none" strike="noStrike" baseline="0">
                  <a:solidFill>
                    <a:schemeClr val="tx1"/>
                  </a:solidFill>
                  <a:latin typeface="Times New Roman" panose="02020603050405020304" pitchFamily="18" charset="0"/>
                  <a:cs typeface="Times New Roman" panose="02020603050405020304" pitchFamily="18" charset="0"/>
                </a:rPr>
                <a:t>Number of Cases</a:t>
              </a:r>
            </a:p>
          </cx:txPr>
        </cx:title>
        <cx:majorGridlines/>
        <cx:tickLabels/>
        <cx:txPr>
          <a:bodyPr vertOverflow="overflow" horzOverflow="overflow" wrap="square" lIns="0" tIns="0" rIns="0" bIns="0"/>
          <a:lstStyle/>
          <a:p>
            <a:pPr algn="ctr" rtl="0">
              <a:defRPr sz="1197" b="0" i="0" baseline="0">
                <a:solidFill>
                  <a:schemeClr val="tx1"/>
                </a:solidFill>
                <a:latin typeface="Aptos" panose="020B0004020202020204" pitchFamily="34" charset="0"/>
                <a:ea typeface="Aptos" panose="020B0004020202020204" pitchFamily="34" charset="0"/>
                <a:cs typeface="Aptos" panose="020B0004020202020204" pitchFamily="34" charset="0"/>
              </a:defRPr>
            </a:pPr>
            <a:endParaRPr lang="en-US" baseline="0">
              <a:solidFill>
                <a:schemeClr val="tx1"/>
              </a:solidFill>
            </a:endParaRPr>
          </a:p>
        </cx:txPr>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1197"/>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cs:chartArea>
  <cs:dataLabel>
    <cs:lnRef idx="0"/>
    <cs:fillRef idx="0"/>
    <cs:effectRef idx="0"/>
    <cs:fontRef idx="minor">
      <a:schemeClr val="tx1">
        <a:lumMod val="65000"/>
        <a:lumOff val="35000"/>
      </a:schemeClr>
    </cs:fontRef>
    <cs:defRPr sz="1197"/>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862"/>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1197"/>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D77C0-ED5C-4CA6-86F0-37EEA36F4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2545</Words>
  <Characters>14509</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Addison Springer</dc:creator>
  <cp:keywords/>
  <dc:description/>
  <cp:lastModifiedBy>Addison Springer</cp:lastModifiedBy>
  <cp:revision>2</cp:revision>
  <dcterms:created xsi:type="dcterms:W3CDTF">2025-05-15T12:13:00Z</dcterms:created>
  <dcterms:modified xsi:type="dcterms:W3CDTF">2025-05-15T12:13:00Z</dcterms:modified>
</cp:coreProperties>
</file>