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4F3D4" w14:textId="77777777" w:rsidR="00526151" w:rsidRPr="005E2DE2" w:rsidRDefault="00954F1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Exploring Emerging Adults’ Sexual Possible Selves, Development, and Pathways to Sexual Goal Attainment: A Three Part Examination</w:t>
      </w:r>
    </w:p>
    <w:p w14:paraId="6CBAF9B5" w14:textId="77777777" w:rsidR="003D07F7" w:rsidRPr="005E2DE2" w:rsidRDefault="00DD00DE"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ab/>
      </w:r>
    </w:p>
    <w:p w14:paraId="5C0A91F5" w14:textId="77777777" w:rsidR="00236E6D" w:rsidRPr="005E2DE2" w:rsidRDefault="00236E6D" w:rsidP="00F703B2">
      <w:pPr>
        <w:pStyle w:val="Title"/>
        <w:spacing w:line="276" w:lineRule="auto"/>
        <w:rPr>
          <w:rFonts w:ascii="Times New Roman" w:hAnsi="Times New Roman" w:cs="Times New Roman"/>
          <w:sz w:val="24"/>
        </w:rPr>
      </w:pPr>
    </w:p>
    <w:p w14:paraId="1C8E51ED" w14:textId="77777777" w:rsidR="00236E6D" w:rsidRPr="005E2DE2" w:rsidRDefault="00236E6D" w:rsidP="00F703B2">
      <w:pPr>
        <w:pStyle w:val="Title"/>
        <w:spacing w:line="276" w:lineRule="auto"/>
        <w:rPr>
          <w:rFonts w:ascii="Times New Roman" w:hAnsi="Times New Roman" w:cs="Times New Roman"/>
          <w:sz w:val="24"/>
        </w:rPr>
      </w:pPr>
    </w:p>
    <w:p w14:paraId="1AE9B67C" w14:textId="77777777" w:rsidR="00236E6D" w:rsidRPr="005E2DE2" w:rsidRDefault="00236E6D" w:rsidP="00F703B2">
      <w:pPr>
        <w:pStyle w:val="Title"/>
        <w:spacing w:line="276" w:lineRule="auto"/>
        <w:rPr>
          <w:rFonts w:ascii="Times New Roman" w:hAnsi="Times New Roman" w:cs="Times New Roman"/>
          <w:sz w:val="24"/>
        </w:rPr>
      </w:pPr>
    </w:p>
    <w:p w14:paraId="130A6E2B" w14:textId="77777777" w:rsidR="00236E6D" w:rsidRPr="005E2DE2" w:rsidRDefault="00236E6D" w:rsidP="00F703B2">
      <w:pPr>
        <w:pStyle w:val="Title"/>
        <w:spacing w:line="276" w:lineRule="auto"/>
        <w:rPr>
          <w:rFonts w:ascii="Times New Roman" w:hAnsi="Times New Roman" w:cs="Times New Roman"/>
          <w:sz w:val="24"/>
        </w:rPr>
      </w:pPr>
    </w:p>
    <w:p w14:paraId="1231272A" w14:textId="77777777" w:rsidR="00387656" w:rsidRPr="005E2DE2" w:rsidRDefault="00387656" w:rsidP="00F703B2">
      <w:pPr>
        <w:pStyle w:val="Title"/>
        <w:spacing w:line="276" w:lineRule="auto"/>
        <w:rPr>
          <w:rFonts w:ascii="Times New Roman" w:hAnsi="Times New Roman" w:cs="Times New Roman"/>
          <w:sz w:val="24"/>
        </w:rPr>
      </w:pPr>
    </w:p>
    <w:p w14:paraId="02B82AF0" w14:textId="77777777" w:rsidR="00387656" w:rsidRPr="005E2DE2" w:rsidRDefault="00387656" w:rsidP="00F703B2">
      <w:pPr>
        <w:pStyle w:val="Title"/>
        <w:spacing w:line="276" w:lineRule="auto"/>
        <w:rPr>
          <w:rFonts w:ascii="Times New Roman" w:hAnsi="Times New Roman" w:cs="Times New Roman"/>
          <w:sz w:val="24"/>
        </w:rPr>
      </w:pPr>
    </w:p>
    <w:p w14:paraId="6E53E0E6" w14:textId="77777777" w:rsidR="00387656" w:rsidRPr="005E2DE2" w:rsidRDefault="00387656" w:rsidP="00F703B2">
      <w:pPr>
        <w:pStyle w:val="Title"/>
        <w:spacing w:line="276" w:lineRule="auto"/>
        <w:rPr>
          <w:rFonts w:ascii="Times New Roman" w:hAnsi="Times New Roman" w:cs="Times New Roman"/>
          <w:sz w:val="24"/>
        </w:rPr>
      </w:pPr>
    </w:p>
    <w:p w14:paraId="22E7BBBD" w14:textId="77777777" w:rsidR="00387656" w:rsidRPr="005E2DE2" w:rsidRDefault="00387656" w:rsidP="00F703B2">
      <w:pPr>
        <w:pStyle w:val="Title"/>
        <w:spacing w:line="276" w:lineRule="auto"/>
        <w:rPr>
          <w:rFonts w:ascii="Times New Roman" w:hAnsi="Times New Roman" w:cs="Times New Roman"/>
          <w:sz w:val="24"/>
        </w:rPr>
      </w:pPr>
    </w:p>
    <w:p w14:paraId="2F1A0685" w14:textId="77777777" w:rsidR="00387656" w:rsidRPr="005E2DE2" w:rsidRDefault="00387656" w:rsidP="00F703B2">
      <w:pPr>
        <w:pStyle w:val="Title"/>
        <w:spacing w:line="276" w:lineRule="auto"/>
        <w:rPr>
          <w:rFonts w:ascii="Times New Roman" w:hAnsi="Times New Roman" w:cs="Times New Roman"/>
          <w:sz w:val="24"/>
        </w:rPr>
      </w:pPr>
    </w:p>
    <w:p w14:paraId="1478F363" w14:textId="77777777" w:rsidR="00F703B2" w:rsidRDefault="00F703B2" w:rsidP="00F703B2">
      <w:pPr>
        <w:pStyle w:val="Title"/>
        <w:spacing w:line="276" w:lineRule="auto"/>
        <w:rPr>
          <w:rFonts w:ascii="Times New Roman" w:hAnsi="Times New Roman" w:cs="Times New Roman"/>
          <w:sz w:val="24"/>
        </w:rPr>
      </w:pPr>
    </w:p>
    <w:p w14:paraId="7F1DD2FC" w14:textId="77777777" w:rsidR="00F703B2" w:rsidRDefault="00F703B2" w:rsidP="00F703B2">
      <w:pPr>
        <w:pStyle w:val="Title"/>
        <w:spacing w:line="276" w:lineRule="auto"/>
        <w:rPr>
          <w:rFonts w:ascii="Times New Roman" w:hAnsi="Times New Roman" w:cs="Times New Roman"/>
          <w:sz w:val="24"/>
        </w:rPr>
      </w:pPr>
    </w:p>
    <w:p w14:paraId="36340C54" w14:textId="77777777" w:rsidR="00236E6D" w:rsidRPr="005E2DE2" w:rsidRDefault="009C755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 xml:space="preserve">A </w:t>
      </w:r>
      <w:r w:rsidR="00954F1C" w:rsidRPr="005E2DE2">
        <w:rPr>
          <w:rFonts w:ascii="Times New Roman" w:hAnsi="Times New Roman" w:cs="Times New Roman"/>
          <w:sz w:val="24"/>
        </w:rPr>
        <w:t>Dissertation</w:t>
      </w:r>
      <w:r w:rsidRPr="005E2DE2">
        <w:rPr>
          <w:rFonts w:ascii="Times New Roman" w:hAnsi="Times New Roman" w:cs="Times New Roman"/>
          <w:sz w:val="24"/>
        </w:rPr>
        <w:t xml:space="preserve"> Presented for</w:t>
      </w:r>
      <w:r w:rsidR="008865B6" w:rsidRPr="005E2DE2">
        <w:rPr>
          <w:rFonts w:ascii="Times New Roman" w:hAnsi="Times New Roman" w:cs="Times New Roman"/>
          <w:sz w:val="24"/>
        </w:rPr>
        <w:t xml:space="preserve"> the</w:t>
      </w:r>
    </w:p>
    <w:p w14:paraId="05C9B2E2" w14:textId="77777777" w:rsidR="009C755C" w:rsidRPr="005E2DE2" w:rsidRDefault="00954F1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Doctor of Philosophy</w:t>
      </w:r>
    </w:p>
    <w:p w14:paraId="25E03CB4" w14:textId="77777777" w:rsidR="009C755C" w:rsidRPr="005E2DE2" w:rsidRDefault="009C755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Degree</w:t>
      </w:r>
    </w:p>
    <w:p w14:paraId="26858C80" w14:textId="77777777" w:rsidR="009C755C" w:rsidRPr="005E2DE2" w:rsidRDefault="009C755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The University of Tennessee, Knoxville</w:t>
      </w:r>
    </w:p>
    <w:p w14:paraId="6C6BCC6F" w14:textId="77777777" w:rsidR="00387656" w:rsidRPr="005E2DE2" w:rsidRDefault="00387656" w:rsidP="00F703B2">
      <w:pPr>
        <w:pStyle w:val="Title"/>
        <w:spacing w:line="276" w:lineRule="auto"/>
        <w:rPr>
          <w:rFonts w:ascii="Times New Roman" w:hAnsi="Times New Roman" w:cs="Times New Roman"/>
          <w:sz w:val="24"/>
        </w:rPr>
      </w:pPr>
    </w:p>
    <w:p w14:paraId="7E8EB887" w14:textId="77777777" w:rsidR="00387656" w:rsidRPr="005E2DE2" w:rsidRDefault="00387656" w:rsidP="00F703B2">
      <w:pPr>
        <w:pStyle w:val="Title"/>
        <w:spacing w:line="276" w:lineRule="auto"/>
        <w:rPr>
          <w:rFonts w:ascii="Times New Roman" w:hAnsi="Times New Roman" w:cs="Times New Roman"/>
          <w:sz w:val="24"/>
        </w:rPr>
      </w:pPr>
    </w:p>
    <w:p w14:paraId="444A1D23" w14:textId="77777777" w:rsidR="00387656" w:rsidRPr="005E2DE2" w:rsidRDefault="00387656" w:rsidP="00F703B2">
      <w:pPr>
        <w:pStyle w:val="Title"/>
        <w:spacing w:line="276" w:lineRule="auto"/>
        <w:rPr>
          <w:rFonts w:ascii="Times New Roman" w:hAnsi="Times New Roman" w:cs="Times New Roman"/>
          <w:sz w:val="24"/>
        </w:rPr>
      </w:pPr>
    </w:p>
    <w:p w14:paraId="6A4C988F" w14:textId="77777777" w:rsidR="00236E6D" w:rsidRPr="005E2DE2" w:rsidRDefault="00236E6D" w:rsidP="00F703B2">
      <w:pPr>
        <w:pStyle w:val="Title"/>
        <w:spacing w:line="276" w:lineRule="auto"/>
        <w:rPr>
          <w:rFonts w:ascii="Times New Roman" w:hAnsi="Times New Roman" w:cs="Times New Roman"/>
          <w:sz w:val="24"/>
        </w:rPr>
      </w:pPr>
    </w:p>
    <w:p w14:paraId="1785A5C8" w14:textId="77777777" w:rsidR="00236E6D" w:rsidRPr="005E2DE2" w:rsidRDefault="00236E6D" w:rsidP="00F703B2">
      <w:pPr>
        <w:pStyle w:val="Title"/>
        <w:spacing w:line="276" w:lineRule="auto"/>
        <w:rPr>
          <w:rFonts w:ascii="Times New Roman" w:hAnsi="Times New Roman" w:cs="Times New Roman"/>
          <w:sz w:val="24"/>
        </w:rPr>
      </w:pPr>
    </w:p>
    <w:p w14:paraId="7D35987C" w14:textId="77777777" w:rsidR="00236E6D" w:rsidRPr="005E2DE2" w:rsidRDefault="00236E6D" w:rsidP="00F703B2">
      <w:pPr>
        <w:pStyle w:val="Title"/>
        <w:spacing w:line="276" w:lineRule="auto"/>
        <w:rPr>
          <w:rFonts w:ascii="Times New Roman" w:hAnsi="Times New Roman" w:cs="Times New Roman"/>
          <w:sz w:val="24"/>
        </w:rPr>
      </w:pPr>
    </w:p>
    <w:p w14:paraId="0C27BB0C" w14:textId="77777777" w:rsidR="00236E6D" w:rsidRPr="005E2DE2" w:rsidRDefault="00236E6D" w:rsidP="00F703B2">
      <w:pPr>
        <w:pStyle w:val="Title"/>
        <w:spacing w:line="276" w:lineRule="auto"/>
        <w:rPr>
          <w:rFonts w:ascii="Times New Roman" w:hAnsi="Times New Roman" w:cs="Times New Roman"/>
          <w:sz w:val="24"/>
        </w:rPr>
      </w:pPr>
    </w:p>
    <w:p w14:paraId="6B3F6159" w14:textId="77777777" w:rsidR="00236E6D" w:rsidRPr="005E2DE2" w:rsidRDefault="00236E6D" w:rsidP="00F703B2">
      <w:pPr>
        <w:pStyle w:val="Title"/>
        <w:spacing w:line="276" w:lineRule="auto"/>
        <w:rPr>
          <w:rFonts w:ascii="Times New Roman" w:hAnsi="Times New Roman" w:cs="Times New Roman"/>
          <w:sz w:val="24"/>
        </w:rPr>
      </w:pPr>
    </w:p>
    <w:p w14:paraId="798670B1" w14:textId="77777777" w:rsidR="00236E6D" w:rsidRPr="005E2DE2" w:rsidRDefault="00236E6D" w:rsidP="00F703B2">
      <w:pPr>
        <w:pStyle w:val="Title"/>
        <w:spacing w:line="276" w:lineRule="auto"/>
        <w:rPr>
          <w:rFonts w:ascii="Times New Roman" w:hAnsi="Times New Roman" w:cs="Times New Roman"/>
          <w:sz w:val="24"/>
        </w:rPr>
      </w:pPr>
    </w:p>
    <w:p w14:paraId="359E1CBB" w14:textId="77777777" w:rsidR="00236E6D" w:rsidRPr="005E2DE2" w:rsidRDefault="00236E6D" w:rsidP="00F703B2">
      <w:pPr>
        <w:pStyle w:val="Title"/>
        <w:spacing w:line="276" w:lineRule="auto"/>
        <w:rPr>
          <w:rFonts w:ascii="Times New Roman" w:hAnsi="Times New Roman" w:cs="Times New Roman"/>
          <w:sz w:val="24"/>
        </w:rPr>
      </w:pPr>
    </w:p>
    <w:p w14:paraId="0DC0F11A" w14:textId="77777777" w:rsidR="00236E6D" w:rsidRPr="005E2DE2" w:rsidRDefault="00236E6D" w:rsidP="00F703B2">
      <w:pPr>
        <w:pStyle w:val="Title"/>
        <w:spacing w:line="276" w:lineRule="auto"/>
        <w:rPr>
          <w:rFonts w:ascii="Times New Roman" w:hAnsi="Times New Roman" w:cs="Times New Roman"/>
          <w:sz w:val="24"/>
        </w:rPr>
      </w:pPr>
    </w:p>
    <w:p w14:paraId="3DEE2AA4" w14:textId="77777777" w:rsidR="00236E6D" w:rsidRPr="005E2DE2" w:rsidRDefault="00236E6D" w:rsidP="00F703B2">
      <w:pPr>
        <w:pStyle w:val="Title"/>
        <w:spacing w:line="276" w:lineRule="auto"/>
        <w:rPr>
          <w:rFonts w:ascii="Times New Roman" w:hAnsi="Times New Roman" w:cs="Times New Roman"/>
          <w:sz w:val="24"/>
        </w:rPr>
      </w:pPr>
    </w:p>
    <w:p w14:paraId="74E6B841" w14:textId="77777777" w:rsidR="00236E6D" w:rsidRPr="005E2DE2" w:rsidRDefault="00236E6D" w:rsidP="00F703B2">
      <w:pPr>
        <w:pStyle w:val="Title"/>
        <w:spacing w:line="276" w:lineRule="auto"/>
        <w:rPr>
          <w:rFonts w:ascii="Times New Roman" w:hAnsi="Times New Roman" w:cs="Times New Roman"/>
          <w:sz w:val="24"/>
        </w:rPr>
      </w:pPr>
    </w:p>
    <w:p w14:paraId="52379E48" w14:textId="77777777" w:rsidR="009C755C" w:rsidRPr="005E2DE2" w:rsidRDefault="00954F1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Kristin Michelle Anders</w:t>
      </w:r>
    </w:p>
    <w:p w14:paraId="3AC015FC" w14:textId="77777777" w:rsidR="00954F1C" w:rsidRPr="005E2DE2" w:rsidRDefault="00954F1C"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t>May 2017</w:t>
      </w:r>
    </w:p>
    <w:p w14:paraId="7618389D" w14:textId="77777777" w:rsidR="00526151" w:rsidRPr="005E2DE2" w:rsidRDefault="00526151" w:rsidP="00F703B2">
      <w:pPr>
        <w:spacing w:line="276" w:lineRule="auto"/>
        <w:rPr>
          <w:rFonts w:ascii="Times New Roman" w:hAnsi="Times New Roman" w:cs="Times New Roman"/>
        </w:rPr>
      </w:pPr>
    </w:p>
    <w:p w14:paraId="1A40D799" w14:textId="77777777" w:rsidR="00F703B2" w:rsidRDefault="00F703B2" w:rsidP="00F703B2">
      <w:pPr>
        <w:spacing w:line="276" w:lineRule="auto"/>
        <w:rPr>
          <w:rFonts w:ascii="Times New Roman" w:hAnsi="Times New Roman" w:cs="Times New Roman"/>
        </w:rPr>
      </w:pPr>
    </w:p>
    <w:p w14:paraId="449BC619" w14:textId="77777777" w:rsidR="00F703B2" w:rsidRDefault="00F703B2" w:rsidP="00F703B2">
      <w:pPr>
        <w:spacing w:line="276" w:lineRule="auto"/>
        <w:rPr>
          <w:rFonts w:ascii="Times New Roman" w:hAnsi="Times New Roman" w:cs="Times New Roman"/>
        </w:rPr>
      </w:pPr>
    </w:p>
    <w:p w14:paraId="270B8BCB" w14:textId="77777777" w:rsidR="00F703B2" w:rsidRDefault="00F703B2" w:rsidP="00F703B2">
      <w:pPr>
        <w:spacing w:line="276" w:lineRule="auto"/>
        <w:rPr>
          <w:rFonts w:ascii="Times New Roman" w:hAnsi="Times New Roman" w:cs="Times New Roman"/>
        </w:rPr>
      </w:pPr>
    </w:p>
    <w:p w14:paraId="00FEB501" w14:textId="77777777" w:rsidR="00F703B2" w:rsidRDefault="00F703B2" w:rsidP="00F703B2">
      <w:pPr>
        <w:spacing w:line="276" w:lineRule="auto"/>
        <w:rPr>
          <w:rFonts w:ascii="Times New Roman" w:hAnsi="Times New Roman" w:cs="Times New Roman"/>
        </w:rPr>
      </w:pPr>
    </w:p>
    <w:p w14:paraId="46729B10" w14:textId="77777777" w:rsidR="00F703B2" w:rsidRDefault="00F703B2" w:rsidP="00F703B2">
      <w:pPr>
        <w:spacing w:line="276" w:lineRule="auto"/>
        <w:rPr>
          <w:rFonts w:ascii="Times New Roman" w:hAnsi="Times New Roman" w:cs="Times New Roman"/>
        </w:rPr>
      </w:pPr>
    </w:p>
    <w:p w14:paraId="35B39B64" w14:textId="77777777" w:rsidR="00F703B2" w:rsidRDefault="00F703B2" w:rsidP="00F703B2">
      <w:pPr>
        <w:spacing w:line="276" w:lineRule="auto"/>
        <w:rPr>
          <w:rFonts w:ascii="Times New Roman" w:hAnsi="Times New Roman" w:cs="Times New Roman"/>
        </w:rPr>
      </w:pPr>
    </w:p>
    <w:p w14:paraId="465D23D2" w14:textId="77777777" w:rsidR="00F703B2" w:rsidRDefault="00F703B2" w:rsidP="00F703B2">
      <w:pPr>
        <w:spacing w:line="276" w:lineRule="auto"/>
        <w:rPr>
          <w:rFonts w:ascii="Times New Roman" w:hAnsi="Times New Roman" w:cs="Times New Roman"/>
        </w:rPr>
      </w:pPr>
    </w:p>
    <w:p w14:paraId="7E33F69E" w14:textId="77777777" w:rsidR="00236E6D" w:rsidRPr="005E2DE2" w:rsidRDefault="00954F1C" w:rsidP="00F703B2">
      <w:pPr>
        <w:spacing w:line="276" w:lineRule="auto"/>
        <w:rPr>
          <w:rFonts w:ascii="Times New Roman" w:hAnsi="Times New Roman" w:cs="Times New Roman"/>
        </w:rPr>
      </w:pPr>
      <w:r w:rsidRPr="005E2DE2">
        <w:rPr>
          <w:rFonts w:ascii="Times New Roman" w:hAnsi="Times New Roman" w:cs="Times New Roman"/>
        </w:rPr>
        <w:t>Copyright © 2017</w:t>
      </w:r>
      <w:r w:rsidR="00236E6D" w:rsidRPr="005E2DE2">
        <w:rPr>
          <w:rFonts w:ascii="Times New Roman" w:hAnsi="Times New Roman" w:cs="Times New Roman"/>
        </w:rPr>
        <w:t xml:space="preserve"> by </w:t>
      </w:r>
      <w:r w:rsidRPr="005E2DE2">
        <w:rPr>
          <w:rFonts w:ascii="Times New Roman" w:hAnsi="Times New Roman" w:cs="Times New Roman"/>
        </w:rPr>
        <w:t>Kristin Anders</w:t>
      </w:r>
    </w:p>
    <w:p w14:paraId="2A89089B" w14:textId="77777777" w:rsidR="00236E6D" w:rsidRPr="005E2DE2" w:rsidRDefault="00236E6D" w:rsidP="00F703B2">
      <w:pPr>
        <w:spacing w:line="276" w:lineRule="auto"/>
        <w:rPr>
          <w:rFonts w:ascii="Times New Roman" w:hAnsi="Times New Roman" w:cs="Times New Roman"/>
        </w:rPr>
      </w:pPr>
      <w:r w:rsidRPr="005E2DE2">
        <w:rPr>
          <w:rFonts w:ascii="Times New Roman" w:hAnsi="Times New Roman" w:cs="Times New Roman"/>
        </w:rPr>
        <w:t>All rights reserved.</w:t>
      </w:r>
    </w:p>
    <w:p w14:paraId="661BE9DD" w14:textId="77777777" w:rsidR="00236E6D" w:rsidRPr="005E2DE2" w:rsidRDefault="00236E6D" w:rsidP="00F703B2">
      <w:pPr>
        <w:spacing w:line="276" w:lineRule="auto"/>
        <w:rPr>
          <w:rFonts w:ascii="Times New Roman" w:hAnsi="Times New Roman" w:cs="Times New Roman"/>
        </w:rPr>
      </w:pPr>
    </w:p>
    <w:p w14:paraId="57E7AF08" w14:textId="77777777" w:rsidR="00236E6D" w:rsidRPr="005E2DE2" w:rsidRDefault="00236E6D" w:rsidP="00F703B2">
      <w:pPr>
        <w:spacing w:line="276" w:lineRule="auto"/>
        <w:rPr>
          <w:rFonts w:ascii="Times New Roman" w:hAnsi="Times New Roman" w:cs="Times New Roman"/>
        </w:rPr>
      </w:pPr>
    </w:p>
    <w:p w14:paraId="6E32A763" w14:textId="77777777" w:rsidR="00236E6D" w:rsidRPr="005E2DE2" w:rsidRDefault="00236E6D" w:rsidP="00F703B2">
      <w:pPr>
        <w:spacing w:line="276" w:lineRule="auto"/>
        <w:rPr>
          <w:rFonts w:ascii="Times New Roman" w:hAnsi="Times New Roman" w:cs="Times New Roman"/>
        </w:rPr>
      </w:pPr>
    </w:p>
    <w:p w14:paraId="284C66DE" w14:textId="77777777" w:rsidR="00236E6D" w:rsidRPr="005E2DE2" w:rsidRDefault="00236E6D" w:rsidP="00F703B2">
      <w:pPr>
        <w:spacing w:line="276" w:lineRule="auto"/>
        <w:rPr>
          <w:rFonts w:ascii="Times New Roman" w:hAnsi="Times New Roman" w:cs="Times New Roman"/>
        </w:rPr>
      </w:pPr>
    </w:p>
    <w:p w14:paraId="16132DB0" w14:textId="77777777" w:rsidR="00236E6D" w:rsidRPr="005E2DE2" w:rsidRDefault="00236E6D" w:rsidP="00F703B2">
      <w:pPr>
        <w:spacing w:line="276" w:lineRule="auto"/>
        <w:rPr>
          <w:rFonts w:ascii="Times New Roman" w:hAnsi="Times New Roman" w:cs="Times New Roman"/>
        </w:rPr>
      </w:pPr>
    </w:p>
    <w:p w14:paraId="78CC8702" w14:textId="77777777" w:rsidR="00236E6D" w:rsidRPr="005E2DE2" w:rsidRDefault="00236E6D" w:rsidP="00F703B2">
      <w:pPr>
        <w:spacing w:line="276" w:lineRule="auto"/>
        <w:rPr>
          <w:rFonts w:ascii="Times New Roman" w:hAnsi="Times New Roman" w:cs="Times New Roman"/>
        </w:rPr>
      </w:pPr>
    </w:p>
    <w:p w14:paraId="59646245" w14:textId="77777777" w:rsidR="00236E6D" w:rsidRPr="005E2DE2" w:rsidRDefault="00236E6D" w:rsidP="00F703B2">
      <w:pPr>
        <w:spacing w:line="276" w:lineRule="auto"/>
        <w:rPr>
          <w:rFonts w:ascii="Times New Roman" w:hAnsi="Times New Roman" w:cs="Times New Roman"/>
        </w:rPr>
      </w:pPr>
    </w:p>
    <w:p w14:paraId="7B1AC55C" w14:textId="77777777" w:rsidR="00236E6D" w:rsidRPr="005E2DE2" w:rsidRDefault="00236E6D" w:rsidP="00F703B2">
      <w:pPr>
        <w:spacing w:line="276" w:lineRule="auto"/>
        <w:rPr>
          <w:rFonts w:ascii="Times New Roman" w:hAnsi="Times New Roman" w:cs="Times New Roman"/>
        </w:rPr>
      </w:pPr>
    </w:p>
    <w:p w14:paraId="4D124186" w14:textId="77777777" w:rsidR="00236E6D" w:rsidRPr="005E2DE2" w:rsidRDefault="00236E6D" w:rsidP="00F703B2">
      <w:pPr>
        <w:spacing w:line="276" w:lineRule="auto"/>
        <w:rPr>
          <w:rFonts w:ascii="Times New Roman" w:hAnsi="Times New Roman" w:cs="Times New Roman"/>
        </w:rPr>
      </w:pPr>
    </w:p>
    <w:p w14:paraId="5068891F" w14:textId="77777777" w:rsidR="00236E6D" w:rsidRPr="005E2DE2" w:rsidRDefault="00236E6D" w:rsidP="00F703B2">
      <w:pPr>
        <w:spacing w:line="276" w:lineRule="auto"/>
        <w:rPr>
          <w:rFonts w:ascii="Times New Roman" w:hAnsi="Times New Roman" w:cs="Times New Roman"/>
        </w:rPr>
      </w:pPr>
    </w:p>
    <w:p w14:paraId="55614320" w14:textId="77777777" w:rsidR="00236E6D" w:rsidRPr="005E2DE2" w:rsidRDefault="00236E6D" w:rsidP="00F703B2">
      <w:pPr>
        <w:spacing w:line="276" w:lineRule="auto"/>
        <w:rPr>
          <w:rFonts w:ascii="Times New Roman" w:hAnsi="Times New Roman" w:cs="Times New Roman"/>
        </w:rPr>
      </w:pPr>
    </w:p>
    <w:p w14:paraId="0F590CCD" w14:textId="77777777" w:rsidR="00236E6D" w:rsidRPr="005E2DE2" w:rsidRDefault="00236E6D" w:rsidP="00F703B2">
      <w:pPr>
        <w:spacing w:line="276" w:lineRule="auto"/>
        <w:rPr>
          <w:rFonts w:ascii="Times New Roman" w:hAnsi="Times New Roman" w:cs="Times New Roman"/>
        </w:rPr>
      </w:pPr>
    </w:p>
    <w:p w14:paraId="664CD6B5" w14:textId="77777777" w:rsidR="00236E6D" w:rsidRPr="005E2DE2" w:rsidRDefault="00236E6D" w:rsidP="00F703B2">
      <w:pPr>
        <w:spacing w:line="276" w:lineRule="auto"/>
        <w:rPr>
          <w:rFonts w:ascii="Times New Roman" w:hAnsi="Times New Roman" w:cs="Times New Roman"/>
        </w:rPr>
      </w:pPr>
    </w:p>
    <w:p w14:paraId="2CD5CD79" w14:textId="77777777" w:rsidR="00236E6D" w:rsidRPr="005E2DE2" w:rsidRDefault="00236E6D" w:rsidP="00F703B2">
      <w:pPr>
        <w:spacing w:line="276" w:lineRule="auto"/>
        <w:rPr>
          <w:rFonts w:ascii="Times New Roman" w:hAnsi="Times New Roman" w:cs="Times New Roman"/>
        </w:rPr>
      </w:pPr>
    </w:p>
    <w:p w14:paraId="21386E21" w14:textId="77777777" w:rsidR="006F5AA4" w:rsidRPr="005E2DE2" w:rsidRDefault="00236E6D"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br w:type="page"/>
      </w:r>
      <w:r w:rsidR="006F5AA4" w:rsidRPr="005E2DE2">
        <w:rPr>
          <w:rFonts w:ascii="Times New Roman" w:hAnsi="Times New Roman" w:cs="Times New Roman"/>
          <w:sz w:val="24"/>
        </w:rPr>
        <w:lastRenderedPageBreak/>
        <w:t>DEDICATION</w:t>
      </w:r>
    </w:p>
    <w:p w14:paraId="0CE5B34B" w14:textId="77777777" w:rsidR="006F5AA4" w:rsidRPr="005E2DE2" w:rsidRDefault="006F5AA4" w:rsidP="00F703B2">
      <w:pPr>
        <w:spacing w:line="276" w:lineRule="auto"/>
        <w:rPr>
          <w:rFonts w:ascii="Times New Roman" w:hAnsi="Times New Roman" w:cs="Times New Roman"/>
        </w:rPr>
      </w:pPr>
    </w:p>
    <w:p w14:paraId="631C0CC6" w14:textId="77777777" w:rsidR="006F5AA4" w:rsidRPr="005E2DE2" w:rsidRDefault="00F703B2" w:rsidP="00F703B2">
      <w:pPr>
        <w:spacing w:line="276" w:lineRule="auto"/>
        <w:jc w:val="center"/>
        <w:rPr>
          <w:rFonts w:ascii="Times New Roman" w:hAnsi="Times New Roman" w:cs="Times New Roman"/>
        </w:rPr>
      </w:pPr>
      <w:r>
        <w:rPr>
          <w:rFonts w:ascii="Times New Roman" w:hAnsi="Times New Roman" w:cs="Times New Roman"/>
        </w:rPr>
        <w:t>[Insert Dedication here]</w:t>
      </w:r>
    </w:p>
    <w:p w14:paraId="4623018A" w14:textId="77777777" w:rsidR="006F5AA4" w:rsidRPr="005E2DE2" w:rsidRDefault="006F5AA4" w:rsidP="00F703B2">
      <w:pPr>
        <w:spacing w:line="276" w:lineRule="auto"/>
        <w:jc w:val="center"/>
        <w:rPr>
          <w:rFonts w:ascii="Times New Roman" w:hAnsi="Times New Roman" w:cs="Times New Roman"/>
        </w:rPr>
      </w:pPr>
    </w:p>
    <w:p w14:paraId="47FEDD67" w14:textId="77777777" w:rsidR="00904969" w:rsidRPr="005E2DE2" w:rsidRDefault="00904969" w:rsidP="00F703B2">
      <w:pPr>
        <w:spacing w:line="276" w:lineRule="auto"/>
        <w:jc w:val="center"/>
        <w:rPr>
          <w:rFonts w:ascii="Times New Roman" w:hAnsi="Times New Roman" w:cs="Times New Roman"/>
        </w:rPr>
      </w:pPr>
    </w:p>
    <w:p w14:paraId="1780A332" w14:textId="77777777" w:rsidR="00904969" w:rsidRPr="005E2DE2" w:rsidRDefault="00904969" w:rsidP="00F703B2">
      <w:pPr>
        <w:spacing w:line="276" w:lineRule="auto"/>
        <w:jc w:val="center"/>
        <w:rPr>
          <w:rFonts w:ascii="Times New Roman" w:hAnsi="Times New Roman" w:cs="Times New Roman"/>
        </w:rPr>
      </w:pPr>
    </w:p>
    <w:p w14:paraId="3D01626C" w14:textId="77777777" w:rsidR="00904969" w:rsidRPr="005E2DE2" w:rsidRDefault="00904969" w:rsidP="00F703B2">
      <w:pPr>
        <w:spacing w:line="276" w:lineRule="auto"/>
        <w:jc w:val="center"/>
        <w:rPr>
          <w:rFonts w:ascii="Times New Roman" w:hAnsi="Times New Roman" w:cs="Times New Roman"/>
        </w:rPr>
      </w:pPr>
    </w:p>
    <w:p w14:paraId="792997FB" w14:textId="77777777" w:rsidR="00CD73A9" w:rsidRPr="005E2DE2" w:rsidRDefault="006F5AA4"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br w:type="page"/>
      </w:r>
      <w:r w:rsidR="00CD73A9" w:rsidRPr="005E2DE2">
        <w:rPr>
          <w:rFonts w:ascii="Times New Roman" w:hAnsi="Times New Roman" w:cs="Times New Roman"/>
          <w:sz w:val="24"/>
        </w:rPr>
        <w:lastRenderedPageBreak/>
        <w:t>ACKNOWLEDGEMENTS</w:t>
      </w:r>
    </w:p>
    <w:p w14:paraId="4BB874B7" w14:textId="77777777" w:rsidR="00CD73A9" w:rsidRPr="005E2DE2" w:rsidRDefault="00CD73A9" w:rsidP="00F703B2">
      <w:pPr>
        <w:spacing w:line="276" w:lineRule="auto"/>
        <w:rPr>
          <w:rFonts w:ascii="Times New Roman" w:hAnsi="Times New Roman" w:cs="Times New Roman"/>
        </w:rPr>
      </w:pPr>
    </w:p>
    <w:p w14:paraId="7E62661F" w14:textId="77777777" w:rsidR="009D794C" w:rsidRPr="005E2DE2" w:rsidRDefault="009D794C" w:rsidP="00F703B2">
      <w:pPr>
        <w:spacing w:line="276" w:lineRule="auto"/>
        <w:rPr>
          <w:rFonts w:ascii="Times New Roman" w:hAnsi="Times New Roman" w:cs="Times New Roman"/>
        </w:rPr>
      </w:pPr>
    </w:p>
    <w:p w14:paraId="1FF4A4B5" w14:textId="77777777" w:rsidR="0085757D" w:rsidRPr="005E2DE2" w:rsidRDefault="00F703B2" w:rsidP="00F703B2">
      <w:pPr>
        <w:spacing w:line="276" w:lineRule="auto"/>
        <w:rPr>
          <w:rFonts w:ascii="Times New Roman" w:hAnsi="Times New Roman" w:cs="Times New Roman"/>
        </w:rPr>
      </w:pPr>
      <w:r>
        <w:rPr>
          <w:rFonts w:ascii="Times New Roman" w:hAnsi="Times New Roman" w:cs="Times New Roman"/>
        </w:rPr>
        <w:t>[Insert Acknowledgements here]</w:t>
      </w:r>
    </w:p>
    <w:p w14:paraId="075F6788" w14:textId="77777777" w:rsidR="0085757D" w:rsidRPr="005E2DE2" w:rsidRDefault="0085757D" w:rsidP="00F703B2">
      <w:pPr>
        <w:spacing w:line="276" w:lineRule="auto"/>
        <w:rPr>
          <w:rFonts w:ascii="Times New Roman" w:hAnsi="Times New Roman" w:cs="Times New Roman"/>
        </w:rPr>
      </w:pPr>
    </w:p>
    <w:p w14:paraId="72139396" w14:textId="77777777" w:rsidR="00904969" w:rsidRPr="005E2DE2" w:rsidRDefault="00904969" w:rsidP="00F703B2">
      <w:pPr>
        <w:spacing w:line="276" w:lineRule="auto"/>
        <w:rPr>
          <w:rFonts w:ascii="Times New Roman" w:hAnsi="Times New Roman" w:cs="Times New Roman"/>
        </w:rPr>
      </w:pPr>
    </w:p>
    <w:p w14:paraId="7411D0C2" w14:textId="77777777" w:rsidR="00904969" w:rsidRPr="005E2DE2" w:rsidRDefault="00904969" w:rsidP="00F703B2">
      <w:pPr>
        <w:spacing w:line="276" w:lineRule="auto"/>
        <w:rPr>
          <w:rFonts w:ascii="Times New Roman" w:hAnsi="Times New Roman" w:cs="Times New Roman"/>
        </w:rPr>
      </w:pPr>
    </w:p>
    <w:p w14:paraId="6A8298A3" w14:textId="77777777" w:rsidR="00904969" w:rsidRPr="005E2DE2" w:rsidRDefault="00904969" w:rsidP="00F703B2">
      <w:pPr>
        <w:spacing w:line="276" w:lineRule="auto"/>
        <w:rPr>
          <w:rFonts w:ascii="Times New Roman" w:hAnsi="Times New Roman" w:cs="Times New Roman"/>
        </w:rPr>
      </w:pPr>
    </w:p>
    <w:p w14:paraId="2F26904A" w14:textId="77777777" w:rsidR="00236E6D" w:rsidRPr="005E2DE2" w:rsidRDefault="0085757D" w:rsidP="00F703B2">
      <w:pPr>
        <w:pStyle w:val="Title"/>
        <w:spacing w:line="276" w:lineRule="auto"/>
        <w:rPr>
          <w:rFonts w:ascii="Times New Roman" w:hAnsi="Times New Roman" w:cs="Times New Roman"/>
          <w:sz w:val="24"/>
        </w:rPr>
      </w:pPr>
      <w:r w:rsidRPr="005E2DE2">
        <w:rPr>
          <w:rFonts w:ascii="Times New Roman" w:hAnsi="Times New Roman" w:cs="Times New Roman"/>
          <w:sz w:val="24"/>
        </w:rPr>
        <w:br w:type="page"/>
      </w:r>
      <w:r w:rsidR="00236E6D" w:rsidRPr="005E2DE2">
        <w:rPr>
          <w:rFonts w:ascii="Times New Roman" w:hAnsi="Times New Roman" w:cs="Times New Roman"/>
          <w:sz w:val="24"/>
        </w:rPr>
        <w:lastRenderedPageBreak/>
        <w:t>ABSTRACT</w:t>
      </w:r>
    </w:p>
    <w:p w14:paraId="757A3003" w14:textId="77777777" w:rsidR="009D794C" w:rsidRPr="005E2DE2" w:rsidRDefault="009D794C" w:rsidP="00F703B2">
      <w:pPr>
        <w:spacing w:line="276" w:lineRule="auto"/>
        <w:rPr>
          <w:rFonts w:ascii="Times New Roman" w:hAnsi="Times New Roman" w:cs="Times New Roman"/>
        </w:rPr>
      </w:pPr>
    </w:p>
    <w:p w14:paraId="6B90C7B7" w14:textId="77777777" w:rsidR="009D794C" w:rsidRPr="005E2DE2" w:rsidRDefault="009D794C" w:rsidP="00F703B2">
      <w:pPr>
        <w:spacing w:line="276" w:lineRule="auto"/>
        <w:rPr>
          <w:rFonts w:ascii="Times New Roman" w:hAnsi="Times New Roman" w:cs="Times New Roman"/>
        </w:rPr>
      </w:pPr>
    </w:p>
    <w:p w14:paraId="2C4AB596" w14:textId="77777777" w:rsidR="00A50F5A" w:rsidRPr="005E2DE2" w:rsidRDefault="00F703B2" w:rsidP="00F703B2">
      <w:pPr>
        <w:spacing w:line="276" w:lineRule="auto"/>
        <w:ind w:firstLine="720"/>
        <w:rPr>
          <w:rFonts w:ascii="Times New Roman" w:hAnsi="Times New Roman" w:cs="Times New Roman"/>
        </w:rPr>
      </w:pPr>
      <w:r>
        <w:rPr>
          <w:rFonts w:ascii="Times New Roman" w:hAnsi="Times New Roman" w:cs="Times New Roman"/>
        </w:rPr>
        <w:t>[Insert Abstract Here]</w:t>
      </w:r>
    </w:p>
    <w:p w14:paraId="492509F1" w14:textId="77777777" w:rsidR="00A50F5A" w:rsidRPr="005E2DE2" w:rsidRDefault="00A50F5A" w:rsidP="005E2DE2">
      <w:pPr>
        <w:pStyle w:val="Title"/>
        <w:spacing w:line="480" w:lineRule="auto"/>
        <w:rPr>
          <w:rFonts w:ascii="Times New Roman" w:hAnsi="Times New Roman" w:cs="Times New Roman"/>
          <w:sz w:val="24"/>
        </w:rPr>
      </w:pPr>
    </w:p>
    <w:p w14:paraId="2CFB4336" w14:textId="77777777" w:rsidR="00236E6D" w:rsidRPr="005E2DE2" w:rsidRDefault="00236E6D"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br w:type="page"/>
      </w:r>
    </w:p>
    <w:p w14:paraId="3E4E2E3B" w14:textId="77777777" w:rsidR="00387656" w:rsidRPr="005E2DE2" w:rsidRDefault="00387656"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lastRenderedPageBreak/>
        <w:t>TABLE OF CONTENTS</w:t>
      </w:r>
    </w:p>
    <w:p w14:paraId="58506F70" w14:textId="77777777" w:rsidR="00387656" w:rsidRPr="005E2DE2" w:rsidRDefault="00387656" w:rsidP="005E2DE2">
      <w:pPr>
        <w:pStyle w:val="Title"/>
        <w:spacing w:line="480" w:lineRule="auto"/>
        <w:rPr>
          <w:rFonts w:ascii="Times New Roman" w:hAnsi="Times New Roman" w:cs="Times New Roman"/>
          <w:sz w:val="24"/>
        </w:rPr>
      </w:pPr>
    </w:p>
    <w:p w14:paraId="20D00C02" w14:textId="77777777" w:rsidR="00D677AA" w:rsidRPr="005E2DE2" w:rsidRDefault="00F14228" w:rsidP="005E2DE2">
      <w:pPr>
        <w:pStyle w:val="TOC1"/>
        <w:tabs>
          <w:tab w:val="right" w:leader="dot" w:pos="8630"/>
        </w:tabs>
        <w:spacing w:line="480" w:lineRule="auto"/>
        <w:rPr>
          <w:rFonts w:ascii="Times New Roman" w:eastAsiaTheme="minorEastAsia" w:hAnsi="Times New Roman" w:cs="Times New Roman"/>
          <w:noProof/>
        </w:rPr>
      </w:pPr>
      <w:r w:rsidRPr="005E2DE2">
        <w:rPr>
          <w:rFonts w:ascii="Times New Roman" w:hAnsi="Times New Roman" w:cs="Times New Roman"/>
        </w:rPr>
        <w:t xml:space="preserve">CHAPTER 1: </w:t>
      </w:r>
      <w:r w:rsidR="00387656" w:rsidRPr="005E2DE2">
        <w:rPr>
          <w:rFonts w:ascii="Times New Roman" w:hAnsi="Times New Roman" w:cs="Times New Roman"/>
        </w:rPr>
        <w:fldChar w:fldCharType="begin"/>
      </w:r>
      <w:r w:rsidR="00387656" w:rsidRPr="005E2DE2">
        <w:rPr>
          <w:rFonts w:ascii="Times New Roman" w:hAnsi="Times New Roman" w:cs="Times New Roman"/>
        </w:rPr>
        <w:instrText xml:space="preserve"> TOC \o "1-3" \h \z \u </w:instrText>
      </w:r>
      <w:r w:rsidR="00387656" w:rsidRPr="005E2DE2">
        <w:rPr>
          <w:rFonts w:ascii="Times New Roman" w:hAnsi="Times New Roman" w:cs="Times New Roman"/>
        </w:rPr>
        <w:fldChar w:fldCharType="separate"/>
      </w:r>
      <w:hyperlink w:anchor="_Toc428279005" w:history="1">
        <w:r w:rsidRPr="005E2DE2">
          <w:rPr>
            <w:rStyle w:val="Hyperlink"/>
            <w:rFonts w:ascii="Times New Roman" w:hAnsi="Times New Roman" w:cs="Times New Roman"/>
            <w:noProof/>
          </w:rPr>
          <w:t>Introduction</w:t>
        </w:r>
        <w:r w:rsidR="00D677AA" w:rsidRPr="005E2DE2">
          <w:rPr>
            <w:rFonts w:ascii="Times New Roman" w:hAnsi="Times New Roman" w:cs="Times New Roman"/>
            <w:noProof/>
            <w:webHidden/>
          </w:rPr>
          <w:tab/>
        </w:r>
        <w:r w:rsidRPr="005E2DE2">
          <w:rPr>
            <w:rFonts w:ascii="Times New Roman" w:hAnsi="Times New Roman" w:cs="Times New Roman"/>
            <w:noProof/>
            <w:webHidden/>
          </w:rPr>
          <w:t>1</w:t>
        </w:r>
      </w:hyperlink>
    </w:p>
    <w:p w14:paraId="686966EA" w14:textId="77777777" w:rsidR="00D677AA" w:rsidRPr="005E2DE2" w:rsidRDefault="00F703B2" w:rsidP="005E2DE2">
      <w:pPr>
        <w:pStyle w:val="TOC1"/>
        <w:tabs>
          <w:tab w:val="right" w:leader="dot" w:pos="8630"/>
        </w:tabs>
        <w:spacing w:line="480" w:lineRule="auto"/>
        <w:rPr>
          <w:rFonts w:ascii="Times New Roman" w:eastAsiaTheme="minorEastAsia" w:hAnsi="Times New Roman" w:cs="Times New Roman"/>
          <w:noProof/>
        </w:rPr>
      </w:pPr>
      <w:hyperlink w:anchor="_Toc428279011" w:history="1">
        <w:r w:rsidR="00F14228" w:rsidRPr="005E2DE2">
          <w:rPr>
            <w:rStyle w:val="Hyperlink"/>
            <w:rFonts w:ascii="Times New Roman" w:hAnsi="Times New Roman" w:cs="Times New Roman"/>
            <w:noProof/>
          </w:rPr>
          <w:t>CHAPTER 2:</w:t>
        </w:r>
        <w:r w:rsidR="00D677AA" w:rsidRPr="005E2DE2">
          <w:rPr>
            <w:rStyle w:val="Hyperlink"/>
            <w:rFonts w:ascii="Times New Roman" w:hAnsi="Times New Roman" w:cs="Times New Roman"/>
            <w:noProof/>
          </w:rPr>
          <w:t xml:space="preserve"> </w:t>
        </w:r>
        <w:r w:rsidR="00F14228" w:rsidRPr="005E2DE2">
          <w:rPr>
            <w:rStyle w:val="Hyperlink"/>
            <w:rFonts w:ascii="Times New Roman" w:hAnsi="Times New Roman" w:cs="Times New Roman"/>
            <w:noProof/>
          </w:rPr>
          <w:t>Comparing the Sexual Possible Selves and Strategies of College Attending versus Non-college Attending Emerging Adults</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_Toc428279011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2E9E1612"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12" w:history="1">
        <w:r w:rsidR="00D677AA" w:rsidRPr="005E2DE2">
          <w:rPr>
            <w:rStyle w:val="Hyperlink"/>
            <w:rFonts w:ascii="Times New Roman" w:hAnsi="Times New Roman" w:cs="Times New Roman"/>
            <w:noProof/>
          </w:rPr>
          <w:t>Abstract</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_Toc428279012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01C17C12"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13" w:history="1">
        <w:r w:rsidR="00F14228" w:rsidRPr="005E2DE2">
          <w:rPr>
            <w:rStyle w:val="Hyperlink"/>
            <w:rFonts w:ascii="Times New Roman" w:hAnsi="Times New Roman" w:cs="Times New Roman"/>
            <w:noProof/>
          </w:rPr>
          <w:t>Introduction</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_Toc428279013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76C1759C" w14:textId="77777777" w:rsidR="00D677AA" w:rsidRPr="005E2DE2" w:rsidRDefault="00F14228" w:rsidP="005E2DE2">
      <w:pPr>
        <w:pStyle w:val="TOC3"/>
        <w:tabs>
          <w:tab w:val="right" w:leader="dot" w:pos="8630"/>
        </w:tabs>
        <w:spacing w:line="480" w:lineRule="auto"/>
        <w:ind w:left="0"/>
        <w:rPr>
          <w:rFonts w:ascii="Times New Roman" w:eastAsiaTheme="minorEastAsia" w:hAnsi="Times New Roman" w:cs="Times New Roman"/>
          <w:noProof/>
        </w:rPr>
      </w:pPr>
      <w:r w:rsidRPr="005E2DE2">
        <w:rPr>
          <w:rFonts w:ascii="Times New Roman" w:hAnsi="Times New Roman" w:cs="Times New Roman"/>
        </w:rPr>
        <w:t xml:space="preserve">    </w:t>
      </w:r>
      <w:hyperlink w:anchor="_Toc428279014"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_Toc428279014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76C9CEEB"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15"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_Toc428279015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3713F7D8"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16"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_Toc428279016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1417F7A8"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17" w:history="1">
        <w:r w:rsidR="00D677AA" w:rsidRPr="005E2DE2">
          <w:rPr>
            <w:rStyle w:val="Hyperlink"/>
            <w:rFonts w:ascii="Times New Roman" w:hAnsi="Times New Roman" w:cs="Times New Roman"/>
            <w:noProof/>
          </w:rPr>
          <w:t>References</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_Toc428279017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7684A7DE"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18" w:history="1">
        <w:r w:rsidR="00D677AA" w:rsidRPr="005E2DE2">
          <w:rPr>
            <w:rStyle w:val="Hyperlink"/>
            <w:rFonts w:ascii="Times New Roman" w:hAnsi="Times New Roman" w:cs="Times New Roman"/>
            <w:noProof/>
          </w:rPr>
          <w:t>Appendix</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_Toc428279018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5A28E68F" w14:textId="77777777" w:rsidR="00D677AA" w:rsidRPr="005E2DE2" w:rsidRDefault="00F703B2" w:rsidP="005E2DE2">
      <w:pPr>
        <w:pStyle w:val="TOC1"/>
        <w:tabs>
          <w:tab w:val="right" w:leader="dot" w:pos="8630"/>
        </w:tabs>
        <w:spacing w:line="480" w:lineRule="auto"/>
        <w:rPr>
          <w:rFonts w:ascii="Times New Roman" w:eastAsiaTheme="minorEastAsia" w:hAnsi="Times New Roman" w:cs="Times New Roman"/>
          <w:noProof/>
        </w:rPr>
      </w:pPr>
      <w:hyperlink w:anchor="_Toc428279019" w:history="1">
        <w:r w:rsidR="00D677AA" w:rsidRPr="005E2DE2">
          <w:rPr>
            <w:rStyle w:val="Hyperlink"/>
            <w:rFonts w:ascii="Times New Roman" w:hAnsi="Times New Roman" w:cs="Times New Roman"/>
            <w:noProof/>
          </w:rPr>
          <w:t xml:space="preserve">CHAPTER </w:t>
        </w:r>
        <w:r w:rsidR="00F14228" w:rsidRPr="005E2DE2">
          <w:rPr>
            <w:rStyle w:val="Hyperlink"/>
            <w:rFonts w:ascii="Times New Roman" w:hAnsi="Times New Roman" w:cs="Times New Roman"/>
            <w:noProof/>
          </w:rPr>
          <w:t>3: Short-term Longitudinal Examination of Sexual Possible Selves and Strategies of First Semester College Students</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_Toc428279019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6E21DFFA"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0" w:history="1">
        <w:r w:rsidR="00D677AA" w:rsidRPr="005E2DE2">
          <w:rPr>
            <w:rStyle w:val="Hyperlink"/>
            <w:rFonts w:ascii="Times New Roman" w:hAnsi="Times New Roman" w:cs="Times New Roman"/>
            <w:noProof/>
          </w:rPr>
          <w:t>Abstract</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_Toc428279020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249A6678"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1" w:history="1">
        <w:r w:rsidR="00D677AA" w:rsidRPr="005E2DE2">
          <w:rPr>
            <w:rStyle w:val="Hyperlink"/>
            <w:rFonts w:ascii="Times New Roman" w:hAnsi="Times New Roman" w:cs="Times New Roman"/>
            <w:noProof/>
          </w:rPr>
          <w:t>Introduction</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_Toc428279021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5259CBC1"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22"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_Toc428279022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59EA93DD"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23"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_Toc428279023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17375C94"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4" w:history="1">
        <w:r w:rsidR="00D677AA" w:rsidRPr="005E2DE2">
          <w:rPr>
            <w:rStyle w:val="Hyperlink"/>
            <w:rFonts w:ascii="Times New Roman" w:hAnsi="Times New Roman" w:cs="Times New Roman"/>
            <w:noProof/>
          </w:rPr>
          <w:t>Heading 2</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_Toc428279024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41E764B2"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25"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_Toc428279025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650ECCB7" w14:textId="77777777" w:rsidR="00D677AA"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26" w:history="1">
        <w:r w:rsidR="00D677AA" w:rsidRPr="005E2DE2">
          <w:rPr>
            <w:rStyle w:val="Hyperlink"/>
            <w:rFonts w:ascii="Times New Roman" w:hAnsi="Times New Roman" w:cs="Times New Roman"/>
            <w:noProof/>
          </w:rPr>
          <w:t>Heading 3</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_Toc428279026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03D07056"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7" w:history="1">
        <w:r w:rsidR="00D677AA" w:rsidRPr="005E2DE2">
          <w:rPr>
            <w:rStyle w:val="Hyperlink"/>
            <w:rFonts w:ascii="Times New Roman" w:hAnsi="Times New Roman" w:cs="Times New Roman"/>
            <w:noProof/>
          </w:rPr>
          <w:t>Heading 2</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_Toc428279027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6E723D46" w14:textId="77777777" w:rsidR="00D677AA"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8" w:history="1">
        <w:r w:rsidR="00D677AA" w:rsidRPr="005E2DE2">
          <w:rPr>
            <w:rStyle w:val="Hyperlink"/>
            <w:rFonts w:ascii="Times New Roman" w:hAnsi="Times New Roman" w:cs="Times New Roman"/>
            <w:noProof/>
          </w:rPr>
          <w:t>References</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_Toc428279028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2FA5A2D0" w14:textId="77777777" w:rsidR="00F14228" w:rsidRPr="005E2DE2" w:rsidRDefault="00F703B2" w:rsidP="005E2DE2">
      <w:pPr>
        <w:pStyle w:val="TOC1"/>
        <w:tabs>
          <w:tab w:val="right" w:leader="dot" w:pos="8630"/>
        </w:tabs>
        <w:spacing w:line="480" w:lineRule="auto"/>
        <w:rPr>
          <w:rFonts w:ascii="Times New Roman" w:eastAsiaTheme="minorEastAsia" w:hAnsi="Times New Roman" w:cs="Times New Roman"/>
          <w:noProof/>
        </w:rPr>
      </w:pPr>
      <w:hyperlink w:anchor="_Toc428279019" w:history="1">
        <w:r w:rsidR="00F14228" w:rsidRPr="005E2DE2">
          <w:rPr>
            <w:rStyle w:val="Hyperlink"/>
            <w:rFonts w:ascii="Times New Roman" w:hAnsi="Times New Roman" w:cs="Times New Roman"/>
            <w:noProof/>
          </w:rPr>
          <w:t>CHAPTER 4: In-depth Qualitative Examination of Sexual Possible Selves and Strategies of First Semester College Students: How Sexual Possible Selves are Developed During the Transition to College</w:t>
        </w:r>
        <w:r w:rsidR="00F14228" w:rsidRPr="005E2DE2">
          <w:rPr>
            <w:rFonts w:ascii="Times New Roman" w:hAnsi="Times New Roman" w:cs="Times New Roman"/>
            <w:noProof/>
            <w:webHidden/>
          </w:rPr>
          <w:tab/>
        </w:r>
        <w:r w:rsidR="00F14228" w:rsidRPr="005E2DE2">
          <w:rPr>
            <w:rFonts w:ascii="Times New Roman" w:hAnsi="Times New Roman" w:cs="Times New Roman"/>
            <w:noProof/>
            <w:webHidden/>
          </w:rPr>
          <w:fldChar w:fldCharType="begin"/>
        </w:r>
        <w:r w:rsidR="00F14228" w:rsidRPr="005E2DE2">
          <w:rPr>
            <w:rFonts w:ascii="Times New Roman" w:hAnsi="Times New Roman" w:cs="Times New Roman"/>
            <w:noProof/>
            <w:webHidden/>
          </w:rPr>
          <w:instrText xml:space="preserve"> PAGEREF _Toc428279019 \h </w:instrText>
        </w:r>
        <w:r w:rsidR="00F14228" w:rsidRPr="005E2DE2">
          <w:rPr>
            <w:rFonts w:ascii="Times New Roman" w:hAnsi="Times New Roman" w:cs="Times New Roman"/>
            <w:noProof/>
            <w:webHidden/>
          </w:rPr>
        </w:r>
        <w:r w:rsidR="00F14228" w:rsidRPr="005E2DE2">
          <w:rPr>
            <w:rFonts w:ascii="Times New Roman" w:hAnsi="Times New Roman" w:cs="Times New Roman"/>
            <w:noProof/>
            <w:webHidden/>
          </w:rPr>
          <w:fldChar w:fldCharType="separate"/>
        </w:r>
        <w:r w:rsidR="00F14228" w:rsidRPr="005E2DE2">
          <w:rPr>
            <w:rFonts w:ascii="Times New Roman" w:hAnsi="Times New Roman" w:cs="Times New Roman"/>
            <w:noProof/>
            <w:webHidden/>
          </w:rPr>
          <w:t>4</w:t>
        </w:r>
        <w:r w:rsidR="00F14228" w:rsidRPr="005E2DE2">
          <w:rPr>
            <w:rFonts w:ascii="Times New Roman" w:hAnsi="Times New Roman" w:cs="Times New Roman"/>
            <w:noProof/>
            <w:webHidden/>
          </w:rPr>
          <w:fldChar w:fldCharType="end"/>
        </w:r>
      </w:hyperlink>
    </w:p>
    <w:p w14:paraId="0063CD20" w14:textId="77777777" w:rsidR="00F14228"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0" w:history="1">
        <w:r w:rsidR="00F14228" w:rsidRPr="005E2DE2">
          <w:rPr>
            <w:rStyle w:val="Hyperlink"/>
            <w:rFonts w:ascii="Times New Roman" w:hAnsi="Times New Roman" w:cs="Times New Roman"/>
            <w:noProof/>
          </w:rPr>
          <w:t>Abstract</w:t>
        </w:r>
        <w:r w:rsidR="00F14228" w:rsidRPr="005E2DE2">
          <w:rPr>
            <w:rFonts w:ascii="Times New Roman" w:hAnsi="Times New Roman" w:cs="Times New Roman"/>
            <w:noProof/>
            <w:webHidden/>
          </w:rPr>
          <w:tab/>
        </w:r>
        <w:r w:rsidR="00F14228" w:rsidRPr="005E2DE2">
          <w:rPr>
            <w:rFonts w:ascii="Times New Roman" w:hAnsi="Times New Roman" w:cs="Times New Roman"/>
            <w:noProof/>
            <w:webHidden/>
          </w:rPr>
          <w:fldChar w:fldCharType="begin"/>
        </w:r>
        <w:r w:rsidR="00F14228" w:rsidRPr="005E2DE2">
          <w:rPr>
            <w:rFonts w:ascii="Times New Roman" w:hAnsi="Times New Roman" w:cs="Times New Roman"/>
            <w:noProof/>
            <w:webHidden/>
          </w:rPr>
          <w:instrText xml:space="preserve"> PAGEREF _Toc428279020 \h </w:instrText>
        </w:r>
        <w:r w:rsidR="00F14228" w:rsidRPr="005E2DE2">
          <w:rPr>
            <w:rFonts w:ascii="Times New Roman" w:hAnsi="Times New Roman" w:cs="Times New Roman"/>
            <w:noProof/>
            <w:webHidden/>
          </w:rPr>
        </w:r>
        <w:r w:rsidR="00F14228" w:rsidRPr="005E2DE2">
          <w:rPr>
            <w:rFonts w:ascii="Times New Roman" w:hAnsi="Times New Roman" w:cs="Times New Roman"/>
            <w:noProof/>
            <w:webHidden/>
          </w:rPr>
          <w:fldChar w:fldCharType="separate"/>
        </w:r>
        <w:r w:rsidR="00F14228" w:rsidRPr="005E2DE2">
          <w:rPr>
            <w:rFonts w:ascii="Times New Roman" w:hAnsi="Times New Roman" w:cs="Times New Roman"/>
            <w:noProof/>
            <w:webHidden/>
          </w:rPr>
          <w:t>4</w:t>
        </w:r>
        <w:r w:rsidR="00F14228" w:rsidRPr="005E2DE2">
          <w:rPr>
            <w:rFonts w:ascii="Times New Roman" w:hAnsi="Times New Roman" w:cs="Times New Roman"/>
            <w:noProof/>
            <w:webHidden/>
          </w:rPr>
          <w:fldChar w:fldCharType="end"/>
        </w:r>
      </w:hyperlink>
    </w:p>
    <w:p w14:paraId="0FC0E3A6" w14:textId="77777777" w:rsidR="00F14228" w:rsidRPr="005E2DE2" w:rsidRDefault="00F703B2" w:rsidP="005E2DE2">
      <w:pPr>
        <w:pStyle w:val="TOC2"/>
        <w:tabs>
          <w:tab w:val="right" w:leader="dot" w:pos="8630"/>
        </w:tabs>
        <w:spacing w:line="480" w:lineRule="auto"/>
        <w:rPr>
          <w:rFonts w:ascii="Times New Roman" w:eastAsiaTheme="minorEastAsia" w:hAnsi="Times New Roman" w:cs="Times New Roman"/>
          <w:noProof/>
        </w:rPr>
      </w:pPr>
      <w:hyperlink w:anchor="_Toc428279021" w:history="1">
        <w:r w:rsidR="00F14228" w:rsidRPr="005E2DE2">
          <w:rPr>
            <w:rStyle w:val="Hyperlink"/>
            <w:rFonts w:ascii="Times New Roman" w:hAnsi="Times New Roman" w:cs="Times New Roman"/>
            <w:noProof/>
          </w:rPr>
          <w:t>Introduction</w:t>
        </w:r>
        <w:r w:rsidR="00F14228" w:rsidRPr="005E2DE2">
          <w:rPr>
            <w:rFonts w:ascii="Times New Roman" w:hAnsi="Times New Roman" w:cs="Times New Roman"/>
            <w:noProof/>
            <w:webHidden/>
          </w:rPr>
          <w:tab/>
        </w:r>
        <w:r w:rsidR="00F14228" w:rsidRPr="005E2DE2">
          <w:rPr>
            <w:rFonts w:ascii="Times New Roman" w:hAnsi="Times New Roman" w:cs="Times New Roman"/>
            <w:noProof/>
            <w:webHidden/>
          </w:rPr>
          <w:fldChar w:fldCharType="begin"/>
        </w:r>
        <w:r w:rsidR="00F14228" w:rsidRPr="005E2DE2">
          <w:rPr>
            <w:rFonts w:ascii="Times New Roman" w:hAnsi="Times New Roman" w:cs="Times New Roman"/>
            <w:noProof/>
            <w:webHidden/>
          </w:rPr>
          <w:instrText xml:space="preserve"> PAGEREF _Toc428279021 \h </w:instrText>
        </w:r>
        <w:r w:rsidR="00F14228" w:rsidRPr="005E2DE2">
          <w:rPr>
            <w:rFonts w:ascii="Times New Roman" w:hAnsi="Times New Roman" w:cs="Times New Roman"/>
            <w:noProof/>
            <w:webHidden/>
          </w:rPr>
        </w:r>
        <w:r w:rsidR="00F14228" w:rsidRPr="005E2DE2">
          <w:rPr>
            <w:rFonts w:ascii="Times New Roman" w:hAnsi="Times New Roman" w:cs="Times New Roman"/>
            <w:noProof/>
            <w:webHidden/>
          </w:rPr>
          <w:fldChar w:fldCharType="separate"/>
        </w:r>
        <w:r w:rsidR="00F14228" w:rsidRPr="005E2DE2">
          <w:rPr>
            <w:rFonts w:ascii="Times New Roman" w:hAnsi="Times New Roman" w:cs="Times New Roman"/>
            <w:noProof/>
            <w:webHidden/>
          </w:rPr>
          <w:t>4</w:t>
        </w:r>
        <w:r w:rsidR="00F14228" w:rsidRPr="005E2DE2">
          <w:rPr>
            <w:rFonts w:ascii="Times New Roman" w:hAnsi="Times New Roman" w:cs="Times New Roman"/>
            <w:noProof/>
            <w:webHidden/>
          </w:rPr>
          <w:fldChar w:fldCharType="end"/>
        </w:r>
      </w:hyperlink>
    </w:p>
    <w:p w14:paraId="75EA126C" w14:textId="77777777" w:rsidR="00F14228" w:rsidRPr="005E2DE2" w:rsidRDefault="00F703B2" w:rsidP="005E2DE2">
      <w:pPr>
        <w:pStyle w:val="TOC3"/>
        <w:tabs>
          <w:tab w:val="right" w:leader="dot" w:pos="8630"/>
        </w:tabs>
        <w:spacing w:line="480" w:lineRule="auto"/>
        <w:rPr>
          <w:rFonts w:ascii="Times New Roman" w:eastAsiaTheme="minorEastAsia" w:hAnsi="Times New Roman" w:cs="Times New Roman"/>
          <w:noProof/>
        </w:rPr>
      </w:pPr>
      <w:hyperlink w:anchor="_Toc428279022" w:history="1">
        <w:r w:rsidR="00F14228" w:rsidRPr="005E2DE2">
          <w:rPr>
            <w:rStyle w:val="Hyperlink"/>
            <w:rFonts w:ascii="Times New Roman" w:hAnsi="Times New Roman" w:cs="Times New Roman"/>
            <w:noProof/>
          </w:rPr>
          <w:t>Heading 3</w:t>
        </w:r>
        <w:r w:rsidR="00F14228" w:rsidRPr="005E2DE2">
          <w:rPr>
            <w:rFonts w:ascii="Times New Roman" w:hAnsi="Times New Roman" w:cs="Times New Roman"/>
            <w:noProof/>
            <w:webHidden/>
          </w:rPr>
          <w:tab/>
        </w:r>
        <w:r w:rsidR="00F14228" w:rsidRPr="005E2DE2">
          <w:rPr>
            <w:rFonts w:ascii="Times New Roman" w:hAnsi="Times New Roman" w:cs="Times New Roman"/>
            <w:noProof/>
            <w:webHidden/>
          </w:rPr>
          <w:fldChar w:fldCharType="begin"/>
        </w:r>
        <w:r w:rsidR="00F14228" w:rsidRPr="005E2DE2">
          <w:rPr>
            <w:rFonts w:ascii="Times New Roman" w:hAnsi="Times New Roman" w:cs="Times New Roman"/>
            <w:noProof/>
            <w:webHidden/>
          </w:rPr>
          <w:instrText xml:space="preserve"> PAGEREF _Toc428279022 \h </w:instrText>
        </w:r>
        <w:r w:rsidR="00F14228" w:rsidRPr="005E2DE2">
          <w:rPr>
            <w:rFonts w:ascii="Times New Roman" w:hAnsi="Times New Roman" w:cs="Times New Roman"/>
            <w:noProof/>
            <w:webHidden/>
          </w:rPr>
        </w:r>
        <w:r w:rsidR="00F14228" w:rsidRPr="005E2DE2">
          <w:rPr>
            <w:rFonts w:ascii="Times New Roman" w:hAnsi="Times New Roman" w:cs="Times New Roman"/>
            <w:noProof/>
            <w:webHidden/>
          </w:rPr>
          <w:fldChar w:fldCharType="separate"/>
        </w:r>
        <w:r w:rsidR="00F14228" w:rsidRPr="005E2DE2">
          <w:rPr>
            <w:rFonts w:ascii="Times New Roman" w:hAnsi="Times New Roman" w:cs="Times New Roman"/>
            <w:noProof/>
            <w:webHidden/>
          </w:rPr>
          <w:t>4</w:t>
        </w:r>
        <w:r w:rsidR="00F14228" w:rsidRPr="005E2DE2">
          <w:rPr>
            <w:rFonts w:ascii="Times New Roman" w:hAnsi="Times New Roman" w:cs="Times New Roman"/>
            <w:noProof/>
            <w:webHidden/>
          </w:rPr>
          <w:fldChar w:fldCharType="end"/>
        </w:r>
      </w:hyperlink>
    </w:p>
    <w:p w14:paraId="2FD1AD81" w14:textId="77777777" w:rsidR="00D677AA" w:rsidRPr="005E2DE2" w:rsidRDefault="00362834" w:rsidP="005E2DE2">
      <w:pPr>
        <w:pStyle w:val="TOC1"/>
        <w:tabs>
          <w:tab w:val="right" w:leader="dot" w:pos="8630"/>
        </w:tabs>
        <w:spacing w:line="480" w:lineRule="auto"/>
        <w:rPr>
          <w:rFonts w:ascii="Times New Roman" w:eastAsiaTheme="minorEastAsia" w:hAnsi="Times New Roman" w:cs="Times New Roman"/>
          <w:noProof/>
        </w:rPr>
      </w:pPr>
      <w:r w:rsidRPr="005E2DE2">
        <w:rPr>
          <w:rFonts w:ascii="Times New Roman" w:hAnsi="Times New Roman" w:cs="Times New Roman"/>
        </w:rPr>
        <w:t xml:space="preserve">CHAPTER 5: </w:t>
      </w:r>
      <w:hyperlink w:anchor="_Toc428279030" w:history="1">
        <w:r w:rsidR="00D677AA" w:rsidRPr="005E2DE2">
          <w:rPr>
            <w:rStyle w:val="Hyperlink"/>
            <w:rFonts w:ascii="Times New Roman" w:hAnsi="Times New Roman" w:cs="Times New Roman"/>
            <w:noProof/>
          </w:rPr>
          <w:t>C</w:t>
        </w:r>
        <w:r w:rsidRPr="005E2DE2">
          <w:rPr>
            <w:rStyle w:val="Hyperlink"/>
            <w:rFonts w:ascii="Times New Roman" w:hAnsi="Times New Roman" w:cs="Times New Roman"/>
            <w:noProof/>
          </w:rPr>
          <w:t>onclusion</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_Toc428279030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19FA0C0D" w14:textId="77777777" w:rsidR="00362834" w:rsidRPr="005E2DE2" w:rsidRDefault="00F703B2" w:rsidP="005E2DE2">
      <w:pPr>
        <w:pStyle w:val="TOC1"/>
        <w:tabs>
          <w:tab w:val="right" w:leader="dot" w:pos="8630"/>
        </w:tabs>
        <w:spacing w:line="480" w:lineRule="auto"/>
        <w:rPr>
          <w:rFonts w:ascii="Times New Roman" w:hAnsi="Times New Roman" w:cs="Times New Roman"/>
          <w:noProof/>
        </w:rPr>
      </w:pPr>
      <w:hyperlink w:anchor="_Toc428279032" w:history="1">
        <w:r w:rsidR="00362834" w:rsidRPr="005E2DE2">
          <w:rPr>
            <w:rStyle w:val="Hyperlink"/>
            <w:rFonts w:ascii="Times New Roman" w:hAnsi="Times New Roman" w:cs="Times New Roman"/>
            <w:noProof/>
          </w:rPr>
          <w:t>APPENDIX</w:t>
        </w:r>
        <w:r w:rsidR="00362834" w:rsidRPr="005E2DE2">
          <w:rPr>
            <w:rFonts w:ascii="Times New Roman" w:hAnsi="Times New Roman" w:cs="Times New Roman"/>
            <w:noProof/>
            <w:webHidden/>
          </w:rPr>
          <w:tab/>
        </w:r>
        <w:r w:rsidR="00362834" w:rsidRPr="005E2DE2">
          <w:rPr>
            <w:rFonts w:ascii="Times New Roman" w:hAnsi="Times New Roman" w:cs="Times New Roman"/>
            <w:noProof/>
            <w:webHidden/>
          </w:rPr>
          <w:fldChar w:fldCharType="begin"/>
        </w:r>
        <w:r w:rsidR="00362834" w:rsidRPr="005E2DE2">
          <w:rPr>
            <w:rFonts w:ascii="Times New Roman" w:hAnsi="Times New Roman" w:cs="Times New Roman"/>
            <w:noProof/>
            <w:webHidden/>
          </w:rPr>
          <w:instrText xml:space="preserve"> PAGEREF _Toc428279032 \h </w:instrText>
        </w:r>
        <w:r w:rsidR="00362834" w:rsidRPr="005E2DE2">
          <w:rPr>
            <w:rFonts w:ascii="Times New Roman" w:hAnsi="Times New Roman" w:cs="Times New Roman"/>
            <w:noProof/>
            <w:webHidden/>
          </w:rPr>
        </w:r>
        <w:r w:rsidR="00362834" w:rsidRPr="005E2DE2">
          <w:rPr>
            <w:rFonts w:ascii="Times New Roman" w:hAnsi="Times New Roman" w:cs="Times New Roman"/>
            <w:noProof/>
            <w:webHidden/>
          </w:rPr>
          <w:fldChar w:fldCharType="separate"/>
        </w:r>
        <w:r w:rsidR="00362834" w:rsidRPr="005E2DE2">
          <w:rPr>
            <w:rFonts w:ascii="Times New Roman" w:hAnsi="Times New Roman" w:cs="Times New Roman"/>
            <w:noProof/>
            <w:webHidden/>
          </w:rPr>
          <w:t>4</w:t>
        </w:r>
        <w:r w:rsidR="00362834" w:rsidRPr="005E2DE2">
          <w:rPr>
            <w:rFonts w:ascii="Times New Roman" w:hAnsi="Times New Roman" w:cs="Times New Roman"/>
            <w:noProof/>
            <w:webHidden/>
          </w:rPr>
          <w:fldChar w:fldCharType="end"/>
        </w:r>
      </w:hyperlink>
    </w:p>
    <w:p w14:paraId="28AD0E90" w14:textId="77777777" w:rsidR="0022500B" w:rsidRPr="005E2DE2" w:rsidRDefault="00F703B2" w:rsidP="0022500B">
      <w:pPr>
        <w:pStyle w:val="TOC1"/>
        <w:tabs>
          <w:tab w:val="right" w:leader="dot" w:pos="8630"/>
        </w:tabs>
        <w:spacing w:line="480" w:lineRule="auto"/>
        <w:rPr>
          <w:rFonts w:ascii="Times New Roman" w:hAnsi="Times New Roman" w:cs="Times New Roman"/>
          <w:noProof/>
        </w:rPr>
      </w:pPr>
      <w:hyperlink w:anchor="_Toc428279032" w:history="1">
        <w:r w:rsidR="0022500B">
          <w:rPr>
            <w:rStyle w:val="Hyperlink"/>
            <w:rFonts w:ascii="Times New Roman" w:hAnsi="Times New Roman" w:cs="Times New Roman"/>
            <w:noProof/>
          </w:rPr>
          <w:t>REFERENCES</w:t>
        </w:r>
        <w:r w:rsidR="0022500B" w:rsidRPr="005E2DE2">
          <w:rPr>
            <w:rFonts w:ascii="Times New Roman" w:hAnsi="Times New Roman" w:cs="Times New Roman"/>
            <w:noProof/>
            <w:webHidden/>
          </w:rPr>
          <w:tab/>
        </w:r>
        <w:r w:rsidR="0022500B" w:rsidRPr="005E2DE2">
          <w:rPr>
            <w:rFonts w:ascii="Times New Roman" w:hAnsi="Times New Roman" w:cs="Times New Roman"/>
            <w:noProof/>
            <w:webHidden/>
          </w:rPr>
          <w:fldChar w:fldCharType="begin"/>
        </w:r>
        <w:r w:rsidR="0022500B" w:rsidRPr="005E2DE2">
          <w:rPr>
            <w:rFonts w:ascii="Times New Roman" w:hAnsi="Times New Roman" w:cs="Times New Roman"/>
            <w:noProof/>
            <w:webHidden/>
          </w:rPr>
          <w:instrText xml:space="preserve"> PAGEREF _Toc428279032 \h </w:instrText>
        </w:r>
        <w:r w:rsidR="0022500B" w:rsidRPr="005E2DE2">
          <w:rPr>
            <w:rFonts w:ascii="Times New Roman" w:hAnsi="Times New Roman" w:cs="Times New Roman"/>
            <w:noProof/>
            <w:webHidden/>
          </w:rPr>
        </w:r>
        <w:r w:rsidR="0022500B" w:rsidRPr="005E2DE2">
          <w:rPr>
            <w:rFonts w:ascii="Times New Roman" w:hAnsi="Times New Roman" w:cs="Times New Roman"/>
            <w:noProof/>
            <w:webHidden/>
          </w:rPr>
          <w:fldChar w:fldCharType="separate"/>
        </w:r>
        <w:r w:rsidR="0022500B" w:rsidRPr="005E2DE2">
          <w:rPr>
            <w:rFonts w:ascii="Times New Roman" w:hAnsi="Times New Roman" w:cs="Times New Roman"/>
            <w:noProof/>
            <w:webHidden/>
          </w:rPr>
          <w:t>4</w:t>
        </w:r>
        <w:r w:rsidR="0022500B" w:rsidRPr="005E2DE2">
          <w:rPr>
            <w:rFonts w:ascii="Times New Roman" w:hAnsi="Times New Roman" w:cs="Times New Roman"/>
            <w:noProof/>
            <w:webHidden/>
          </w:rPr>
          <w:fldChar w:fldCharType="end"/>
        </w:r>
      </w:hyperlink>
    </w:p>
    <w:p w14:paraId="12147ADD" w14:textId="77777777" w:rsidR="00D677AA" w:rsidRPr="005E2DE2" w:rsidRDefault="00F703B2" w:rsidP="005E2DE2">
      <w:pPr>
        <w:pStyle w:val="TOC1"/>
        <w:tabs>
          <w:tab w:val="right" w:leader="dot" w:pos="8630"/>
        </w:tabs>
        <w:spacing w:line="480" w:lineRule="auto"/>
        <w:rPr>
          <w:rFonts w:ascii="Times New Roman" w:eastAsiaTheme="minorEastAsia" w:hAnsi="Times New Roman" w:cs="Times New Roman"/>
          <w:noProof/>
        </w:rPr>
      </w:pPr>
      <w:hyperlink w:anchor="_Toc428279032" w:history="1">
        <w:r w:rsidR="00D677AA" w:rsidRPr="005E2DE2">
          <w:rPr>
            <w:rStyle w:val="Hyperlink"/>
            <w:rFonts w:ascii="Times New Roman" w:hAnsi="Times New Roman" w:cs="Times New Roman"/>
            <w:noProof/>
          </w:rPr>
          <w:t>VITA</w:t>
        </w:r>
        <w:r w:rsidR="00D677AA" w:rsidRPr="005E2DE2">
          <w:rPr>
            <w:rFonts w:ascii="Times New Roman" w:hAnsi="Times New Roman" w:cs="Times New Roman"/>
            <w:noProof/>
            <w:webHidden/>
          </w:rPr>
          <w:tab/>
        </w:r>
        <w:r w:rsidR="00D677AA" w:rsidRPr="005E2DE2">
          <w:rPr>
            <w:rFonts w:ascii="Times New Roman" w:hAnsi="Times New Roman" w:cs="Times New Roman"/>
            <w:noProof/>
            <w:webHidden/>
          </w:rPr>
          <w:fldChar w:fldCharType="begin"/>
        </w:r>
        <w:r w:rsidR="00D677AA" w:rsidRPr="005E2DE2">
          <w:rPr>
            <w:rFonts w:ascii="Times New Roman" w:hAnsi="Times New Roman" w:cs="Times New Roman"/>
            <w:noProof/>
            <w:webHidden/>
          </w:rPr>
          <w:instrText xml:space="preserve"> PAGEREF _Toc428279032 \h </w:instrText>
        </w:r>
        <w:r w:rsidR="00D677AA" w:rsidRPr="005E2DE2">
          <w:rPr>
            <w:rFonts w:ascii="Times New Roman" w:hAnsi="Times New Roman" w:cs="Times New Roman"/>
            <w:noProof/>
            <w:webHidden/>
          </w:rPr>
        </w:r>
        <w:r w:rsidR="00D677AA"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D677AA" w:rsidRPr="005E2DE2">
          <w:rPr>
            <w:rFonts w:ascii="Times New Roman" w:hAnsi="Times New Roman" w:cs="Times New Roman"/>
            <w:noProof/>
            <w:webHidden/>
          </w:rPr>
          <w:fldChar w:fldCharType="end"/>
        </w:r>
      </w:hyperlink>
    </w:p>
    <w:p w14:paraId="36BA2DE1" w14:textId="77777777" w:rsidR="00387656" w:rsidRPr="005E2DE2" w:rsidRDefault="00387656" w:rsidP="005E2DE2">
      <w:pPr>
        <w:spacing w:line="480" w:lineRule="auto"/>
        <w:rPr>
          <w:rFonts w:ascii="Times New Roman" w:hAnsi="Times New Roman" w:cs="Times New Roman"/>
        </w:rPr>
      </w:pPr>
      <w:r w:rsidRPr="005E2DE2">
        <w:rPr>
          <w:rFonts w:ascii="Times New Roman" w:hAnsi="Times New Roman" w:cs="Times New Roman"/>
          <w:b/>
          <w:bCs/>
          <w:noProof/>
        </w:rPr>
        <w:fldChar w:fldCharType="end"/>
      </w:r>
    </w:p>
    <w:p w14:paraId="1F7ED00E" w14:textId="77777777" w:rsidR="00387656" w:rsidRPr="005E2DE2" w:rsidRDefault="009C755C"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br w:type="page"/>
      </w:r>
    </w:p>
    <w:p w14:paraId="5F006F38" w14:textId="77777777" w:rsidR="00387656" w:rsidRPr="005E2DE2" w:rsidRDefault="00387656"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lastRenderedPageBreak/>
        <w:t>LIST OF TABLES</w:t>
      </w:r>
    </w:p>
    <w:p w14:paraId="2EB791C9" w14:textId="77777777" w:rsidR="00387656" w:rsidRPr="005E2DE2" w:rsidRDefault="00387656" w:rsidP="005E2DE2">
      <w:pPr>
        <w:pStyle w:val="Title"/>
        <w:spacing w:line="480" w:lineRule="auto"/>
        <w:rPr>
          <w:rFonts w:ascii="Times New Roman" w:hAnsi="Times New Roman" w:cs="Times New Roman"/>
          <w:sz w:val="24"/>
        </w:rPr>
      </w:pPr>
    </w:p>
    <w:p w14:paraId="536088B6" w14:textId="77777777" w:rsidR="00423EA7" w:rsidRPr="005E2DE2" w:rsidRDefault="00387656" w:rsidP="005E2DE2">
      <w:pPr>
        <w:pStyle w:val="TableofFigures"/>
        <w:tabs>
          <w:tab w:val="right" w:leader="dot" w:pos="8630"/>
        </w:tabs>
        <w:spacing w:line="480" w:lineRule="auto"/>
        <w:rPr>
          <w:rFonts w:ascii="Times New Roman" w:hAnsi="Times New Roman" w:cs="Times New Roman"/>
          <w:noProof/>
        </w:rPr>
      </w:pPr>
      <w:r w:rsidRPr="005E2DE2">
        <w:rPr>
          <w:rFonts w:ascii="Times New Roman" w:hAnsi="Times New Roman" w:cs="Times New Roman"/>
        </w:rPr>
        <w:fldChar w:fldCharType="begin"/>
      </w:r>
      <w:r w:rsidRPr="005E2DE2">
        <w:rPr>
          <w:rFonts w:ascii="Times New Roman" w:hAnsi="Times New Roman" w:cs="Times New Roman"/>
        </w:rPr>
        <w:instrText xml:space="preserve"> TOC \h \z \c "Table" </w:instrText>
      </w:r>
      <w:r w:rsidRPr="005E2DE2">
        <w:rPr>
          <w:rFonts w:ascii="Times New Roman" w:hAnsi="Times New Roman" w:cs="Times New Roman"/>
        </w:rPr>
        <w:fldChar w:fldCharType="separate"/>
      </w:r>
      <w:hyperlink w:anchor="_Toc414285577" w:history="1">
        <w:r w:rsidR="00423EA7" w:rsidRPr="005E2DE2">
          <w:rPr>
            <w:rStyle w:val="Hyperlink"/>
            <w:rFonts w:ascii="Times New Roman" w:hAnsi="Times New Roman" w:cs="Times New Roman"/>
            <w:noProof/>
          </w:rPr>
          <w:t>Table 1. Table title.</w:t>
        </w:r>
        <w:r w:rsidR="00423EA7" w:rsidRPr="005E2DE2">
          <w:rPr>
            <w:rFonts w:ascii="Times New Roman" w:hAnsi="Times New Roman" w:cs="Times New Roman"/>
            <w:noProof/>
            <w:webHidden/>
          </w:rPr>
          <w:tab/>
        </w:r>
        <w:r w:rsidR="00423EA7" w:rsidRPr="005E2DE2">
          <w:rPr>
            <w:rFonts w:ascii="Times New Roman" w:hAnsi="Times New Roman" w:cs="Times New Roman"/>
            <w:noProof/>
            <w:webHidden/>
          </w:rPr>
          <w:fldChar w:fldCharType="begin"/>
        </w:r>
        <w:r w:rsidR="00423EA7" w:rsidRPr="005E2DE2">
          <w:rPr>
            <w:rFonts w:ascii="Times New Roman" w:hAnsi="Times New Roman" w:cs="Times New Roman"/>
            <w:noProof/>
            <w:webHidden/>
          </w:rPr>
          <w:instrText xml:space="preserve"> PAGEREF _Toc414285577 \h </w:instrText>
        </w:r>
        <w:r w:rsidR="00423EA7" w:rsidRPr="005E2DE2">
          <w:rPr>
            <w:rFonts w:ascii="Times New Roman" w:hAnsi="Times New Roman" w:cs="Times New Roman"/>
            <w:noProof/>
            <w:webHidden/>
          </w:rPr>
        </w:r>
        <w:r w:rsidR="00423EA7"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423EA7" w:rsidRPr="005E2DE2">
          <w:rPr>
            <w:rFonts w:ascii="Times New Roman" w:hAnsi="Times New Roman" w:cs="Times New Roman"/>
            <w:noProof/>
            <w:webHidden/>
          </w:rPr>
          <w:fldChar w:fldCharType="end"/>
        </w:r>
      </w:hyperlink>
    </w:p>
    <w:p w14:paraId="39698CE7" w14:textId="77777777" w:rsidR="00423EA7" w:rsidRPr="005E2DE2" w:rsidRDefault="00F703B2" w:rsidP="005E2DE2">
      <w:pPr>
        <w:pStyle w:val="TableofFigures"/>
        <w:tabs>
          <w:tab w:val="right" w:leader="dot" w:pos="8630"/>
        </w:tabs>
        <w:spacing w:line="480" w:lineRule="auto"/>
        <w:rPr>
          <w:rFonts w:ascii="Times New Roman" w:hAnsi="Times New Roman" w:cs="Times New Roman"/>
          <w:noProof/>
        </w:rPr>
      </w:pPr>
      <w:hyperlink w:anchor="_Toc414285578" w:history="1">
        <w:r w:rsidR="00423EA7" w:rsidRPr="005E2DE2">
          <w:rPr>
            <w:rStyle w:val="Hyperlink"/>
            <w:rFonts w:ascii="Times New Roman" w:hAnsi="Times New Roman" w:cs="Times New Roman"/>
            <w:noProof/>
          </w:rPr>
          <w:t>Table 2: This Is The Second Table</w:t>
        </w:r>
        <w:r w:rsidR="00423EA7" w:rsidRPr="005E2DE2">
          <w:rPr>
            <w:rFonts w:ascii="Times New Roman" w:hAnsi="Times New Roman" w:cs="Times New Roman"/>
            <w:noProof/>
            <w:webHidden/>
          </w:rPr>
          <w:tab/>
        </w:r>
        <w:r w:rsidR="00423EA7" w:rsidRPr="005E2DE2">
          <w:rPr>
            <w:rFonts w:ascii="Times New Roman" w:hAnsi="Times New Roman" w:cs="Times New Roman"/>
            <w:noProof/>
            <w:webHidden/>
          </w:rPr>
          <w:fldChar w:fldCharType="begin"/>
        </w:r>
        <w:r w:rsidR="00423EA7" w:rsidRPr="005E2DE2">
          <w:rPr>
            <w:rFonts w:ascii="Times New Roman" w:hAnsi="Times New Roman" w:cs="Times New Roman"/>
            <w:noProof/>
            <w:webHidden/>
          </w:rPr>
          <w:instrText xml:space="preserve"> PAGEREF _Toc414285578 \h </w:instrText>
        </w:r>
        <w:r w:rsidR="00423EA7" w:rsidRPr="005E2DE2">
          <w:rPr>
            <w:rFonts w:ascii="Times New Roman" w:hAnsi="Times New Roman" w:cs="Times New Roman"/>
            <w:noProof/>
            <w:webHidden/>
          </w:rPr>
        </w:r>
        <w:r w:rsidR="00423EA7"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423EA7" w:rsidRPr="005E2DE2">
          <w:rPr>
            <w:rFonts w:ascii="Times New Roman" w:hAnsi="Times New Roman" w:cs="Times New Roman"/>
            <w:noProof/>
            <w:webHidden/>
          </w:rPr>
          <w:fldChar w:fldCharType="end"/>
        </w:r>
      </w:hyperlink>
    </w:p>
    <w:p w14:paraId="214F4B24" w14:textId="77777777" w:rsidR="00236E6D" w:rsidRPr="005E2DE2" w:rsidRDefault="00387656" w:rsidP="005E2DE2">
      <w:pPr>
        <w:spacing w:line="480" w:lineRule="auto"/>
        <w:rPr>
          <w:rFonts w:ascii="Times New Roman" w:hAnsi="Times New Roman" w:cs="Times New Roman"/>
        </w:rPr>
      </w:pPr>
      <w:r w:rsidRPr="005E2DE2">
        <w:rPr>
          <w:rFonts w:ascii="Times New Roman" w:hAnsi="Times New Roman" w:cs="Times New Roman"/>
        </w:rPr>
        <w:fldChar w:fldCharType="end"/>
      </w:r>
    </w:p>
    <w:p w14:paraId="7A027A05" w14:textId="77777777" w:rsidR="00236E6D" w:rsidRPr="005E2DE2" w:rsidRDefault="00236E6D" w:rsidP="005E2DE2">
      <w:pPr>
        <w:spacing w:line="480" w:lineRule="auto"/>
        <w:rPr>
          <w:rFonts w:ascii="Times New Roman" w:hAnsi="Times New Roman" w:cs="Times New Roman"/>
        </w:rPr>
      </w:pPr>
    </w:p>
    <w:p w14:paraId="4C0FF8C4" w14:textId="77777777" w:rsidR="00236E6D" w:rsidRPr="005E2DE2" w:rsidRDefault="00236E6D" w:rsidP="005E2DE2">
      <w:pPr>
        <w:spacing w:line="480" w:lineRule="auto"/>
        <w:rPr>
          <w:rFonts w:ascii="Times New Roman" w:hAnsi="Times New Roman" w:cs="Times New Roman"/>
        </w:rPr>
      </w:pPr>
    </w:p>
    <w:p w14:paraId="1BC76739" w14:textId="77777777" w:rsidR="00236E6D" w:rsidRPr="005E2DE2" w:rsidRDefault="00236E6D" w:rsidP="005E2DE2">
      <w:pPr>
        <w:spacing w:line="480" w:lineRule="auto"/>
        <w:rPr>
          <w:rFonts w:ascii="Times New Roman" w:hAnsi="Times New Roman" w:cs="Times New Roman"/>
        </w:rPr>
      </w:pPr>
    </w:p>
    <w:p w14:paraId="4BCFBE63" w14:textId="77777777" w:rsidR="0085757D" w:rsidRPr="005E2DE2" w:rsidRDefault="0085757D" w:rsidP="005E2DE2">
      <w:pPr>
        <w:spacing w:line="480" w:lineRule="auto"/>
        <w:rPr>
          <w:rFonts w:ascii="Times New Roman" w:hAnsi="Times New Roman" w:cs="Times New Roman"/>
        </w:rPr>
      </w:pPr>
    </w:p>
    <w:p w14:paraId="7BC7BD25" w14:textId="77777777" w:rsidR="0085757D" w:rsidRPr="005E2DE2" w:rsidRDefault="0085757D" w:rsidP="005E2DE2">
      <w:pPr>
        <w:spacing w:line="480" w:lineRule="auto"/>
        <w:rPr>
          <w:rFonts w:ascii="Times New Roman" w:hAnsi="Times New Roman" w:cs="Times New Roman"/>
        </w:rPr>
      </w:pPr>
    </w:p>
    <w:p w14:paraId="38B024D6" w14:textId="77777777" w:rsidR="0085757D" w:rsidRPr="005E2DE2" w:rsidRDefault="0085757D" w:rsidP="005E2DE2">
      <w:pPr>
        <w:spacing w:line="480" w:lineRule="auto"/>
        <w:rPr>
          <w:rFonts w:ascii="Times New Roman" w:hAnsi="Times New Roman" w:cs="Times New Roman"/>
        </w:rPr>
      </w:pPr>
    </w:p>
    <w:p w14:paraId="5881EAE6" w14:textId="77777777" w:rsidR="0085757D" w:rsidRPr="005E2DE2" w:rsidRDefault="0085757D" w:rsidP="005E2DE2">
      <w:pPr>
        <w:spacing w:line="480" w:lineRule="auto"/>
        <w:rPr>
          <w:rFonts w:ascii="Times New Roman" w:hAnsi="Times New Roman" w:cs="Times New Roman"/>
        </w:rPr>
      </w:pPr>
    </w:p>
    <w:p w14:paraId="0B1D6C80" w14:textId="77777777" w:rsidR="0085757D" w:rsidRPr="005E2DE2" w:rsidRDefault="0085757D" w:rsidP="005E2DE2">
      <w:pPr>
        <w:spacing w:line="480" w:lineRule="auto"/>
        <w:rPr>
          <w:rFonts w:ascii="Times New Roman" w:hAnsi="Times New Roman" w:cs="Times New Roman"/>
        </w:rPr>
      </w:pPr>
    </w:p>
    <w:p w14:paraId="02D8100B" w14:textId="77777777" w:rsidR="00904969" w:rsidRPr="005E2DE2" w:rsidRDefault="00236E6D"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br w:type="page"/>
      </w:r>
      <w:r w:rsidR="00904969" w:rsidRPr="005E2DE2">
        <w:rPr>
          <w:rFonts w:ascii="Times New Roman" w:hAnsi="Times New Roman" w:cs="Times New Roman"/>
          <w:sz w:val="24"/>
        </w:rPr>
        <w:lastRenderedPageBreak/>
        <w:t>LIST OF FIGURES</w:t>
      </w:r>
    </w:p>
    <w:p w14:paraId="35EC298C" w14:textId="77777777" w:rsidR="00C30D60" w:rsidRPr="005E2DE2" w:rsidRDefault="00C30D60" w:rsidP="005E2DE2">
      <w:pPr>
        <w:pStyle w:val="Title"/>
        <w:spacing w:line="480" w:lineRule="auto"/>
        <w:rPr>
          <w:rFonts w:ascii="Times New Roman" w:hAnsi="Times New Roman" w:cs="Times New Roman"/>
          <w:sz w:val="24"/>
        </w:rPr>
      </w:pPr>
    </w:p>
    <w:p w14:paraId="4002B881" w14:textId="77777777" w:rsidR="00423EA7" w:rsidRPr="005E2DE2" w:rsidRDefault="00387656" w:rsidP="005E2DE2">
      <w:pPr>
        <w:pStyle w:val="TableofFigures"/>
        <w:tabs>
          <w:tab w:val="right" w:leader="dot" w:pos="8630"/>
        </w:tabs>
        <w:spacing w:line="480" w:lineRule="auto"/>
        <w:rPr>
          <w:rFonts w:ascii="Times New Roman" w:hAnsi="Times New Roman" w:cs="Times New Roman"/>
          <w:noProof/>
        </w:rPr>
      </w:pPr>
      <w:r w:rsidRPr="005E2DE2">
        <w:rPr>
          <w:rFonts w:ascii="Times New Roman" w:hAnsi="Times New Roman" w:cs="Times New Roman"/>
        </w:rPr>
        <w:fldChar w:fldCharType="begin"/>
      </w:r>
      <w:r w:rsidRPr="005E2DE2">
        <w:rPr>
          <w:rFonts w:ascii="Times New Roman" w:hAnsi="Times New Roman" w:cs="Times New Roman"/>
        </w:rPr>
        <w:instrText xml:space="preserve"> TOC \h \z \c "Figure" </w:instrText>
      </w:r>
      <w:r w:rsidRPr="005E2DE2">
        <w:rPr>
          <w:rFonts w:ascii="Times New Roman" w:hAnsi="Times New Roman" w:cs="Times New Roman"/>
        </w:rPr>
        <w:fldChar w:fldCharType="separate"/>
      </w:r>
      <w:hyperlink w:anchor="_Toc414285579" w:history="1">
        <w:r w:rsidR="00423EA7" w:rsidRPr="005E2DE2">
          <w:rPr>
            <w:rStyle w:val="Hyperlink"/>
            <w:rFonts w:ascii="Times New Roman" w:hAnsi="Times New Roman" w:cs="Times New Roman"/>
            <w:noProof/>
          </w:rPr>
          <w:t>Figure 1. Shapes.</w:t>
        </w:r>
        <w:r w:rsidR="00423EA7" w:rsidRPr="005E2DE2">
          <w:rPr>
            <w:rFonts w:ascii="Times New Roman" w:hAnsi="Times New Roman" w:cs="Times New Roman"/>
            <w:noProof/>
            <w:webHidden/>
          </w:rPr>
          <w:tab/>
        </w:r>
        <w:r w:rsidR="00423EA7" w:rsidRPr="005E2DE2">
          <w:rPr>
            <w:rFonts w:ascii="Times New Roman" w:hAnsi="Times New Roman" w:cs="Times New Roman"/>
            <w:noProof/>
            <w:webHidden/>
          </w:rPr>
          <w:fldChar w:fldCharType="begin"/>
        </w:r>
        <w:r w:rsidR="00423EA7" w:rsidRPr="005E2DE2">
          <w:rPr>
            <w:rFonts w:ascii="Times New Roman" w:hAnsi="Times New Roman" w:cs="Times New Roman"/>
            <w:noProof/>
            <w:webHidden/>
          </w:rPr>
          <w:instrText xml:space="preserve"> PAGEREF _Toc414285579 \h </w:instrText>
        </w:r>
        <w:r w:rsidR="00423EA7" w:rsidRPr="005E2DE2">
          <w:rPr>
            <w:rFonts w:ascii="Times New Roman" w:hAnsi="Times New Roman" w:cs="Times New Roman"/>
            <w:noProof/>
            <w:webHidden/>
          </w:rPr>
        </w:r>
        <w:r w:rsidR="00423EA7" w:rsidRPr="005E2DE2">
          <w:rPr>
            <w:rFonts w:ascii="Times New Roman" w:hAnsi="Times New Roman" w:cs="Times New Roman"/>
            <w:noProof/>
            <w:webHidden/>
          </w:rPr>
          <w:fldChar w:fldCharType="separate"/>
        </w:r>
        <w:r w:rsidR="009E62A4" w:rsidRPr="005E2DE2">
          <w:rPr>
            <w:rFonts w:ascii="Times New Roman" w:hAnsi="Times New Roman" w:cs="Times New Roman"/>
            <w:noProof/>
            <w:webHidden/>
          </w:rPr>
          <w:t>4</w:t>
        </w:r>
        <w:r w:rsidR="00423EA7" w:rsidRPr="005E2DE2">
          <w:rPr>
            <w:rFonts w:ascii="Times New Roman" w:hAnsi="Times New Roman" w:cs="Times New Roman"/>
            <w:noProof/>
            <w:webHidden/>
          </w:rPr>
          <w:fldChar w:fldCharType="end"/>
        </w:r>
      </w:hyperlink>
    </w:p>
    <w:p w14:paraId="436CF2C6" w14:textId="77777777" w:rsidR="00387656" w:rsidRPr="005E2DE2" w:rsidRDefault="00387656" w:rsidP="005E2DE2">
      <w:pPr>
        <w:pStyle w:val="Title"/>
        <w:spacing w:line="480" w:lineRule="auto"/>
        <w:rPr>
          <w:rFonts w:ascii="Times New Roman" w:hAnsi="Times New Roman" w:cs="Times New Roman"/>
          <w:sz w:val="24"/>
        </w:rPr>
      </w:pPr>
      <w:r w:rsidRPr="005E2DE2">
        <w:rPr>
          <w:rFonts w:ascii="Times New Roman" w:hAnsi="Times New Roman" w:cs="Times New Roman"/>
          <w:sz w:val="24"/>
        </w:rPr>
        <w:fldChar w:fldCharType="end"/>
      </w:r>
      <w:r w:rsidRPr="005E2DE2">
        <w:rPr>
          <w:rFonts w:ascii="Times New Roman" w:hAnsi="Times New Roman" w:cs="Times New Roman"/>
          <w:sz w:val="24"/>
        </w:rPr>
        <w:t xml:space="preserve"> </w:t>
      </w:r>
    </w:p>
    <w:p w14:paraId="45AA5B77" w14:textId="77777777" w:rsidR="003C1575" w:rsidRPr="005E2DE2" w:rsidRDefault="003C1575" w:rsidP="005E2DE2">
      <w:pPr>
        <w:spacing w:line="480" w:lineRule="auto"/>
        <w:rPr>
          <w:rFonts w:ascii="Times New Roman" w:hAnsi="Times New Roman" w:cs="Times New Roman"/>
        </w:rPr>
      </w:pPr>
    </w:p>
    <w:p w14:paraId="3383AD49" w14:textId="77777777" w:rsidR="0085757D" w:rsidRPr="005E2DE2" w:rsidRDefault="0085757D" w:rsidP="005E2DE2">
      <w:pPr>
        <w:spacing w:line="480" w:lineRule="auto"/>
        <w:rPr>
          <w:rFonts w:ascii="Times New Roman" w:hAnsi="Times New Roman" w:cs="Times New Roman"/>
        </w:rPr>
      </w:pPr>
    </w:p>
    <w:p w14:paraId="5D9BA72E" w14:textId="77777777" w:rsidR="0085757D" w:rsidRPr="005E2DE2" w:rsidRDefault="0085757D" w:rsidP="005E2DE2">
      <w:pPr>
        <w:spacing w:line="480" w:lineRule="auto"/>
        <w:rPr>
          <w:rFonts w:ascii="Times New Roman" w:hAnsi="Times New Roman" w:cs="Times New Roman"/>
        </w:rPr>
      </w:pPr>
    </w:p>
    <w:p w14:paraId="37696B80" w14:textId="77777777" w:rsidR="0085757D" w:rsidRPr="005E2DE2" w:rsidRDefault="0085757D" w:rsidP="005E2DE2">
      <w:pPr>
        <w:spacing w:line="480" w:lineRule="auto"/>
        <w:rPr>
          <w:rFonts w:ascii="Times New Roman" w:hAnsi="Times New Roman" w:cs="Times New Roman"/>
        </w:rPr>
      </w:pPr>
    </w:p>
    <w:p w14:paraId="624DD488" w14:textId="77777777" w:rsidR="0085757D" w:rsidRPr="005E2DE2" w:rsidRDefault="0085757D" w:rsidP="005E2DE2">
      <w:pPr>
        <w:spacing w:line="480" w:lineRule="auto"/>
        <w:rPr>
          <w:rFonts w:ascii="Times New Roman" w:hAnsi="Times New Roman" w:cs="Times New Roman"/>
        </w:rPr>
      </w:pPr>
    </w:p>
    <w:p w14:paraId="5EDF46BD" w14:textId="77777777" w:rsidR="0085757D" w:rsidRPr="005E2DE2" w:rsidRDefault="0085757D" w:rsidP="005E2DE2">
      <w:pPr>
        <w:spacing w:line="480" w:lineRule="auto"/>
        <w:rPr>
          <w:rFonts w:ascii="Times New Roman" w:hAnsi="Times New Roman" w:cs="Times New Roman"/>
        </w:rPr>
        <w:sectPr w:rsidR="0085757D" w:rsidRPr="005E2DE2" w:rsidSect="001D4908">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872" w:left="1800" w:header="720" w:footer="1440" w:gutter="0"/>
          <w:pgNumType w:fmt="lowerRoman" w:start="1"/>
          <w:cols w:space="720"/>
          <w:noEndnote/>
          <w:titlePg/>
        </w:sectPr>
      </w:pPr>
    </w:p>
    <w:p w14:paraId="36A998A0" w14:textId="77777777" w:rsidR="004C2071" w:rsidRPr="005E2DE2" w:rsidRDefault="005E2DE2" w:rsidP="005E2DE2">
      <w:pPr>
        <w:pStyle w:val="Heading1"/>
        <w:spacing w:line="480" w:lineRule="auto"/>
        <w:rPr>
          <w:rFonts w:ascii="Times New Roman" w:hAnsi="Times New Roman" w:cs="Times New Roman"/>
          <w:sz w:val="24"/>
        </w:rPr>
      </w:pPr>
      <w:bookmarkStart w:id="0" w:name="_Toc289175819"/>
      <w:bookmarkStart w:id="1" w:name="_Toc428279005"/>
      <w:r w:rsidRPr="005E2DE2">
        <w:rPr>
          <w:rFonts w:ascii="Times New Roman" w:hAnsi="Times New Roman" w:cs="Times New Roman"/>
          <w:sz w:val="24"/>
        </w:rPr>
        <w:lastRenderedPageBreak/>
        <w:t xml:space="preserve">chapter 1: </w:t>
      </w:r>
      <w:bookmarkEnd w:id="0"/>
      <w:bookmarkEnd w:id="1"/>
    </w:p>
    <w:p w14:paraId="23511568" w14:textId="77777777" w:rsidR="005E2DE2" w:rsidRPr="005E2DE2" w:rsidRDefault="005E2DE2" w:rsidP="005E2DE2">
      <w:pPr>
        <w:jc w:val="center"/>
        <w:rPr>
          <w:rFonts w:ascii="Times New Roman" w:hAnsi="Times New Roman" w:cs="Times New Roman"/>
        </w:rPr>
      </w:pPr>
      <w:r w:rsidRPr="005E2DE2">
        <w:rPr>
          <w:rFonts w:ascii="Times New Roman" w:hAnsi="Times New Roman" w:cs="Times New Roman"/>
        </w:rPr>
        <w:t>Introduction</w:t>
      </w:r>
    </w:p>
    <w:p w14:paraId="78AF041B" w14:textId="77777777" w:rsidR="00236E6D" w:rsidRPr="005E2DE2" w:rsidRDefault="00236E6D" w:rsidP="005E2DE2">
      <w:pPr>
        <w:spacing w:line="480" w:lineRule="auto"/>
        <w:rPr>
          <w:rFonts w:ascii="Times New Roman" w:hAnsi="Times New Roman" w:cs="Times New Roman"/>
        </w:rPr>
      </w:pPr>
    </w:p>
    <w:p w14:paraId="6D3D6B07" w14:textId="77777777" w:rsidR="005E2DE2" w:rsidRDefault="005E2DE2">
      <w:pPr>
        <w:rPr>
          <w:rFonts w:ascii="Times New Roman" w:hAnsi="Times New Roman" w:cs="Times New Roman"/>
          <w:b/>
          <w:bCs/>
          <w:iCs/>
        </w:rPr>
      </w:pPr>
      <w:bookmarkStart w:id="2" w:name="_Toc289175820"/>
      <w:bookmarkStart w:id="3" w:name="_Toc428279006"/>
      <w:r>
        <w:rPr>
          <w:rFonts w:ascii="Times New Roman" w:hAnsi="Times New Roman" w:cs="Times New Roman"/>
        </w:rPr>
        <w:br w:type="page"/>
      </w:r>
    </w:p>
    <w:p w14:paraId="683FE90C" w14:textId="77777777" w:rsidR="00236E6D" w:rsidRPr="005E2DE2" w:rsidRDefault="000166A9" w:rsidP="005E2DE2">
      <w:pPr>
        <w:pStyle w:val="Heading2"/>
        <w:spacing w:line="480" w:lineRule="auto"/>
        <w:rPr>
          <w:rFonts w:ascii="Times New Roman" w:hAnsi="Times New Roman" w:cs="Times New Roman"/>
          <w:sz w:val="24"/>
          <w:szCs w:val="24"/>
        </w:rPr>
      </w:pPr>
      <w:r w:rsidRPr="005E2DE2">
        <w:rPr>
          <w:rFonts w:ascii="Times New Roman" w:hAnsi="Times New Roman" w:cs="Times New Roman"/>
          <w:sz w:val="24"/>
          <w:szCs w:val="24"/>
        </w:rPr>
        <w:lastRenderedPageBreak/>
        <w:t>Heading 2</w:t>
      </w:r>
      <w:bookmarkEnd w:id="2"/>
      <w:bookmarkEnd w:id="3"/>
      <w:r w:rsidR="00236E6D" w:rsidRPr="005E2DE2">
        <w:rPr>
          <w:rFonts w:ascii="Times New Roman" w:hAnsi="Times New Roman" w:cs="Times New Roman"/>
          <w:sz w:val="24"/>
          <w:szCs w:val="24"/>
        </w:rPr>
        <w:t xml:space="preserve"> </w:t>
      </w:r>
    </w:p>
    <w:p w14:paraId="76DC54C9" w14:textId="77777777" w:rsidR="004C2071" w:rsidRPr="005E2DE2" w:rsidRDefault="002F6C76" w:rsidP="005E2DE2">
      <w:pPr>
        <w:spacing w:line="480" w:lineRule="auto"/>
        <w:rPr>
          <w:rFonts w:ascii="Times New Roman" w:hAnsi="Times New Roman" w:cs="Times New Roman"/>
        </w:rPr>
      </w:pPr>
      <w:r w:rsidRPr="005E2DE2">
        <w:rPr>
          <w:rFonts w:ascii="Times New Roman" w:hAnsi="Times New Roman" w:cs="Times New Roman"/>
        </w:rPr>
        <w:t xml:space="preserve">This is the introduction to the entire paper. It can be chapter one, or just a stand-alone introduction chapter. In any case, it isn’t just an introduction to part 1.  </w:t>
      </w:r>
    </w:p>
    <w:p w14:paraId="7DADA4A4" w14:textId="77777777" w:rsidR="00236E6D" w:rsidRPr="005E2DE2" w:rsidRDefault="00DD00DE" w:rsidP="005E2DE2">
      <w:pPr>
        <w:spacing w:line="480" w:lineRule="auto"/>
        <w:rPr>
          <w:rFonts w:ascii="Times New Roman" w:hAnsi="Times New Roman" w:cs="Times New Roman"/>
        </w:rPr>
      </w:pPr>
      <w:r w:rsidRPr="005E2DE2">
        <w:rPr>
          <w:rFonts w:ascii="Times New Roman" w:hAnsi="Times New Roman" w:cs="Times New Roman"/>
        </w:rPr>
        <w:t>You may use single, double, or 1.5 spacing. You may use any font of your choosing, but you must be consistent</w:t>
      </w:r>
      <w:r w:rsidR="00597AD2" w:rsidRPr="005E2DE2">
        <w:rPr>
          <w:rFonts w:ascii="Times New Roman" w:hAnsi="Times New Roman" w:cs="Times New Roman"/>
        </w:rPr>
        <w:t>.</w:t>
      </w:r>
      <w:r w:rsidRPr="005E2DE2">
        <w:rPr>
          <w:rFonts w:ascii="Times New Roman" w:hAnsi="Times New Roman" w:cs="Times New Roman"/>
        </w:rPr>
        <w:t xml:space="preserve">  </w:t>
      </w:r>
    </w:p>
    <w:p w14:paraId="09923113" w14:textId="77777777" w:rsidR="00236E6D" w:rsidRPr="005E2DE2" w:rsidRDefault="000166A9" w:rsidP="005E2DE2">
      <w:pPr>
        <w:pStyle w:val="Heading2"/>
        <w:spacing w:line="480" w:lineRule="auto"/>
        <w:rPr>
          <w:rFonts w:ascii="Times New Roman" w:hAnsi="Times New Roman" w:cs="Times New Roman"/>
          <w:sz w:val="24"/>
          <w:szCs w:val="24"/>
        </w:rPr>
      </w:pPr>
      <w:bookmarkStart w:id="4" w:name="_Toc289175821"/>
      <w:bookmarkStart w:id="5" w:name="_Toc428279007"/>
      <w:r w:rsidRPr="005E2DE2">
        <w:rPr>
          <w:rFonts w:ascii="Times New Roman" w:hAnsi="Times New Roman" w:cs="Times New Roman"/>
          <w:sz w:val="24"/>
          <w:szCs w:val="24"/>
        </w:rPr>
        <w:t>Heading 2</w:t>
      </w:r>
      <w:bookmarkEnd w:id="4"/>
      <w:bookmarkEnd w:id="5"/>
    </w:p>
    <w:p w14:paraId="4871655E" w14:textId="77777777" w:rsidR="00236E6D" w:rsidRPr="005E2DE2" w:rsidRDefault="00236E6D" w:rsidP="005E2DE2">
      <w:pPr>
        <w:spacing w:line="480" w:lineRule="auto"/>
        <w:rPr>
          <w:rFonts w:ascii="Times New Roman" w:hAnsi="Times New Roman" w:cs="Times New Roman"/>
        </w:rPr>
      </w:pPr>
      <w:r w:rsidRPr="005E2DE2">
        <w:rPr>
          <w:rFonts w:ascii="Times New Roman" w:hAnsi="Times New Roman" w:cs="Times New Roman"/>
        </w:rPr>
        <w:tab/>
      </w:r>
      <w:r w:rsidRPr="005E2DE2">
        <w:rPr>
          <w:rFonts w:ascii="Times New Roman" w:hAnsi="Times New Roman" w:cs="Times New Roman"/>
        </w:rPr>
        <w:tab/>
        <w:t xml:space="preserve"> </w:t>
      </w:r>
    </w:p>
    <w:p w14:paraId="414A9B38" w14:textId="77777777" w:rsidR="00236E6D" w:rsidRPr="005E2DE2" w:rsidRDefault="000166A9" w:rsidP="005E2DE2">
      <w:pPr>
        <w:spacing w:line="480" w:lineRule="auto"/>
        <w:rPr>
          <w:rFonts w:ascii="Times New Roman" w:hAnsi="Times New Roman" w:cs="Times New Roman"/>
        </w:rPr>
      </w:pPr>
      <w:r w:rsidRPr="005E2DE2">
        <w:rPr>
          <w:rFonts w:ascii="Times New Roman" w:hAnsi="Times New Roman" w:cs="Times New Roman"/>
        </w:rPr>
        <w:t>Use subheadings consistently. Check spacing, capitalization, and punctuation.</w:t>
      </w:r>
    </w:p>
    <w:p w14:paraId="6631858A" w14:textId="77777777" w:rsidR="00236E6D" w:rsidRPr="005E2DE2" w:rsidRDefault="00236E6D" w:rsidP="005E2DE2">
      <w:pPr>
        <w:spacing w:line="480" w:lineRule="auto"/>
        <w:rPr>
          <w:rFonts w:ascii="Times New Roman" w:hAnsi="Times New Roman" w:cs="Times New Roman"/>
        </w:rPr>
      </w:pPr>
    </w:p>
    <w:p w14:paraId="14DCE2F1" w14:textId="77777777" w:rsidR="00236E6D" w:rsidRPr="005E2DE2" w:rsidRDefault="009A6A2F" w:rsidP="005E2DE2">
      <w:pPr>
        <w:pStyle w:val="Heading3"/>
        <w:spacing w:line="480" w:lineRule="auto"/>
        <w:rPr>
          <w:rFonts w:ascii="Times New Roman" w:hAnsi="Times New Roman" w:cs="Times New Roman"/>
          <w:szCs w:val="24"/>
        </w:rPr>
      </w:pPr>
      <w:bookmarkStart w:id="6" w:name="_Toc289175822"/>
      <w:bookmarkStart w:id="7" w:name="_Toc428279008"/>
      <w:r w:rsidRPr="005E2DE2">
        <w:rPr>
          <w:rFonts w:ascii="Times New Roman" w:hAnsi="Times New Roman" w:cs="Times New Roman"/>
          <w:szCs w:val="24"/>
        </w:rPr>
        <w:t>Heading 3</w:t>
      </w:r>
      <w:bookmarkEnd w:id="6"/>
      <w:bookmarkEnd w:id="7"/>
    </w:p>
    <w:p w14:paraId="78FAE8ED" w14:textId="77777777" w:rsidR="00236E6D" w:rsidRPr="005E2DE2" w:rsidRDefault="000166A9" w:rsidP="005E2DE2">
      <w:pPr>
        <w:spacing w:line="480" w:lineRule="auto"/>
        <w:rPr>
          <w:rFonts w:ascii="Times New Roman" w:hAnsi="Times New Roman" w:cs="Times New Roman"/>
        </w:rPr>
      </w:pPr>
      <w:r w:rsidRPr="005E2DE2">
        <w:rPr>
          <w:rFonts w:ascii="Times New Roman" w:hAnsi="Times New Roman" w:cs="Times New Roman"/>
        </w:rPr>
        <w:t xml:space="preserve">Use of styles is helpful in generating a table of contents. This sample document uses the headings to automatically generate the table of contents, list of tables, and list of figures. </w:t>
      </w:r>
    </w:p>
    <w:p w14:paraId="4CC6C0D6" w14:textId="77777777" w:rsidR="00236E6D" w:rsidRPr="005E2DE2" w:rsidRDefault="00236E6D" w:rsidP="005E2DE2">
      <w:pPr>
        <w:spacing w:line="480" w:lineRule="auto"/>
        <w:rPr>
          <w:rFonts w:ascii="Times New Roman" w:hAnsi="Times New Roman" w:cs="Times New Roman"/>
        </w:rPr>
      </w:pPr>
    </w:p>
    <w:p w14:paraId="7FE0AB94" w14:textId="77777777" w:rsidR="00236E6D" w:rsidRPr="005E2DE2" w:rsidRDefault="009A6A2F" w:rsidP="005E2DE2">
      <w:pPr>
        <w:pStyle w:val="Heading3"/>
        <w:spacing w:line="480" w:lineRule="auto"/>
        <w:rPr>
          <w:rFonts w:ascii="Times New Roman" w:hAnsi="Times New Roman" w:cs="Times New Roman"/>
          <w:szCs w:val="24"/>
        </w:rPr>
      </w:pPr>
      <w:bookmarkStart w:id="8" w:name="_Toc289175823"/>
      <w:bookmarkStart w:id="9" w:name="_Toc428279009"/>
      <w:r w:rsidRPr="005E2DE2">
        <w:rPr>
          <w:rFonts w:ascii="Times New Roman" w:hAnsi="Times New Roman" w:cs="Times New Roman"/>
          <w:szCs w:val="24"/>
        </w:rPr>
        <w:t>Heading 3</w:t>
      </w:r>
      <w:bookmarkEnd w:id="8"/>
      <w:bookmarkEnd w:id="9"/>
    </w:p>
    <w:p w14:paraId="692344CC" w14:textId="77777777" w:rsidR="00236E6D" w:rsidRPr="005E2DE2" w:rsidRDefault="000166A9" w:rsidP="005E2DE2">
      <w:pPr>
        <w:spacing w:line="480" w:lineRule="auto"/>
        <w:rPr>
          <w:rFonts w:ascii="Times New Roman" w:hAnsi="Times New Roman" w:cs="Times New Roman"/>
        </w:rPr>
      </w:pPr>
      <w:r w:rsidRPr="005E2DE2">
        <w:rPr>
          <w:rFonts w:ascii="Times New Roman" w:hAnsi="Times New Roman" w:cs="Times New Roman"/>
        </w:rPr>
        <w:t>Once you use styles to generate the lists, you can update them quickly and easily.</w:t>
      </w:r>
      <w:r w:rsidR="00DD00DE" w:rsidRPr="005E2DE2">
        <w:rPr>
          <w:rFonts w:ascii="Times New Roman" w:hAnsi="Times New Roman" w:cs="Times New Roman"/>
        </w:rPr>
        <w:t xml:space="preserve"> Use of styles is helpful in generating a table of contents. This sample document uses the headings to automatically generate the table of contents, list of tables, and list of figures. This document is set up to follow APA as well as UTK Guidelines. If you want to change formatting for the headings, you can highlight heading or other text you wish to change, then either change the font and then find whatever style you wish to change in the Styles </w:t>
      </w:r>
      <w:r w:rsidR="00DD00DE" w:rsidRPr="005E2DE2">
        <w:rPr>
          <w:rFonts w:ascii="Times New Roman" w:hAnsi="Times New Roman" w:cs="Times New Roman"/>
        </w:rPr>
        <w:lastRenderedPageBreak/>
        <w:t>window. Right click on that style and choose “Update [Style] to match selection.” Alternatively, you can choose “Modify” to change the style without choosing text.</w:t>
      </w:r>
    </w:p>
    <w:p w14:paraId="09134604" w14:textId="77777777" w:rsidR="00236E6D" w:rsidRPr="005E2DE2" w:rsidRDefault="00236E6D" w:rsidP="005E2DE2">
      <w:pPr>
        <w:spacing w:line="480" w:lineRule="auto"/>
        <w:rPr>
          <w:rFonts w:ascii="Times New Roman" w:hAnsi="Times New Roman" w:cs="Times New Roman"/>
        </w:rPr>
      </w:pPr>
    </w:p>
    <w:p w14:paraId="4371BD40" w14:textId="77777777" w:rsidR="00236E6D" w:rsidRPr="005E2DE2" w:rsidRDefault="003D63DF" w:rsidP="005E2DE2">
      <w:pPr>
        <w:pStyle w:val="Heading2"/>
        <w:spacing w:line="480" w:lineRule="auto"/>
        <w:rPr>
          <w:rFonts w:ascii="Times New Roman" w:hAnsi="Times New Roman" w:cs="Times New Roman"/>
          <w:sz w:val="24"/>
          <w:szCs w:val="24"/>
        </w:rPr>
      </w:pPr>
      <w:bookmarkStart w:id="10" w:name="_Toc289175824"/>
      <w:bookmarkStart w:id="11" w:name="_Toc428279010"/>
      <w:r w:rsidRPr="005E2DE2">
        <w:rPr>
          <w:rFonts w:ascii="Times New Roman" w:hAnsi="Times New Roman" w:cs="Times New Roman"/>
          <w:sz w:val="24"/>
          <w:szCs w:val="24"/>
        </w:rPr>
        <w:t>Heading 2</w:t>
      </w:r>
      <w:bookmarkEnd w:id="10"/>
      <w:bookmarkEnd w:id="11"/>
    </w:p>
    <w:p w14:paraId="7D762A1F" w14:textId="77777777" w:rsidR="00236E6D" w:rsidRPr="005E2DE2" w:rsidRDefault="00236E6D" w:rsidP="005E2DE2">
      <w:pPr>
        <w:spacing w:line="480" w:lineRule="auto"/>
        <w:rPr>
          <w:rFonts w:ascii="Times New Roman" w:hAnsi="Times New Roman" w:cs="Times New Roman"/>
        </w:rPr>
      </w:pPr>
      <w:r w:rsidRPr="005E2DE2">
        <w:rPr>
          <w:rFonts w:ascii="Times New Roman" w:hAnsi="Times New Roman" w:cs="Times New Roman"/>
        </w:rPr>
        <w:tab/>
      </w:r>
    </w:p>
    <w:p w14:paraId="393ADA5A" w14:textId="77777777" w:rsidR="003D07F7" w:rsidRPr="005E2DE2" w:rsidRDefault="00597AD2" w:rsidP="005E2DE2">
      <w:pPr>
        <w:spacing w:line="480" w:lineRule="auto"/>
        <w:rPr>
          <w:rFonts w:ascii="Times New Roman" w:hAnsi="Times New Roman" w:cs="Times New Roman"/>
        </w:rPr>
      </w:pPr>
      <w:r w:rsidRPr="005E2DE2">
        <w:rPr>
          <w:rFonts w:ascii="Times New Roman" w:hAnsi="Times New Roman" w:cs="Times New Roman"/>
        </w:rPr>
        <w:t xml:space="preserve">Don’t forget to submit your thesis/dissertation to the thesis/dissertation consultant by the preliminary review deadline (this specific deadline can be found here: </w:t>
      </w:r>
      <w:hyperlink r:id="rId15" w:history="1">
        <w:r w:rsidR="00AF19D4" w:rsidRPr="005E2DE2">
          <w:rPr>
            <w:rStyle w:val="Hyperlink"/>
            <w:rFonts w:ascii="Times New Roman" w:hAnsi="Times New Roman" w:cs="Times New Roman"/>
          </w:rPr>
          <w:t>http://gradschool.utk.edu/ddategraduation.shtml</w:t>
        </w:r>
      </w:hyperlink>
      <w:r w:rsidRPr="005E2DE2">
        <w:rPr>
          <w:rFonts w:ascii="Times New Roman" w:hAnsi="Times New Roman" w:cs="Times New Roman"/>
        </w:rPr>
        <w:t>)</w:t>
      </w:r>
    </w:p>
    <w:p w14:paraId="21D78889" w14:textId="77777777" w:rsidR="003D07F7" w:rsidRPr="005E2DE2" w:rsidRDefault="00DD00DE" w:rsidP="005E2DE2">
      <w:pPr>
        <w:spacing w:line="480" w:lineRule="auto"/>
        <w:rPr>
          <w:rFonts w:ascii="Times New Roman" w:hAnsi="Times New Roman" w:cs="Times New Roman"/>
        </w:rPr>
      </w:pPr>
      <w:r w:rsidRPr="005E2DE2">
        <w:rPr>
          <w:rFonts w:ascii="Times New Roman" w:hAnsi="Times New Roman" w:cs="Times New Roman"/>
        </w:rPr>
        <w:br w:type="page"/>
      </w:r>
    </w:p>
    <w:p w14:paraId="649DC171" w14:textId="77777777" w:rsidR="00003F6A" w:rsidRPr="005E2DE2" w:rsidRDefault="005E2DE2" w:rsidP="005E2DE2">
      <w:pPr>
        <w:pStyle w:val="Heading1"/>
        <w:spacing w:line="480" w:lineRule="auto"/>
        <w:rPr>
          <w:rFonts w:ascii="Times New Roman" w:hAnsi="Times New Roman" w:cs="Times New Roman"/>
          <w:sz w:val="24"/>
        </w:rPr>
      </w:pPr>
      <w:bookmarkStart w:id="12" w:name="_Toc289175825"/>
      <w:bookmarkStart w:id="13" w:name="_Toc428279011"/>
      <w:r w:rsidRPr="005E2DE2">
        <w:rPr>
          <w:rFonts w:ascii="Times New Roman" w:hAnsi="Times New Roman" w:cs="Times New Roman"/>
          <w:sz w:val="24"/>
        </w:rPr>
        <w:lastRenderedPageBreak/>
        <w:t>CHAPTER 2:</w:t>
      </w:r>
      <w:bookmarkEnd w:id="12"/>
      <w:bookmarkEnd w:id="13"/>
    </w:p>
    <w:p w14:paraId="1312E571" w14:textId="77777777" w:rsidR="005E2DE2" w:rsidRDefault="005E2DE2" w:rsidP="005E2DE2">
      <w:pPr>
        <w:spacing w:line="480" w:lineRule="auto"/>
        <w:jc w:val="center"/>
        <w:rPr>
          <w:rFonts w:ascii="Times New Roman" w:hAnsi="Times New Roman" w:cs="Times New Roman"/>
        </w:rPr>
      </w:pPr>
      <w:r w:rsidRPr="005E2DE2">
        <w:rPr>
          <w:rFonts w:ascii="Times New Roman" w:hAnsi="Times New Roman" w:cs="Times New Roman"/>
        </w:rPr>
        <w:t>Comparing the Sexual Possible Selves and Strategies of College Attending versus Non-college Attending Emerging Adults</w:t>
      </w:r>
    </w:p>
    <w:p w14:paraId="56F8EE46" w14:textId="77777777" w:rsidR="005E2DE2" w:rsidRDefault="005E2DE2">
      <w:pPr>
        <w:rPr>
          <w:rFonts w:ascii="Times New Roman" w:hAnsi="Times New Roman" w:cs="Times New Roman"/>
        </w:rPr>
      </w:pPr>
      <w:r>
        <w:rPr>
          <w:rFonts w:ascii="Times New Roman" w:hAnsi="Times New Roman" w:cs="Times New Roman"/>
        </w:rPr>
        <w:br w:type="page"/>
      </w:r>
    </w:p>
    <w:p w14:paraId="26D9E58C" w14:textId="77777777" w:rsidR="005E2DE2" w:rsidRDefault="00F703B2" w:rsidP="005E2DE2">
      <w:pPr>
        <w:spacing w:line="480" w:lineRule="auto"/>
        <w:jc w:val="center"/>
        <w:rPr>
          <w:rFonts w:ascii="Times New Roman" w:hAnsi="Times New Roman" w:cs="Times New Roman"/>
          <w:b/>
        </w:rPr>
      </w:pPr>
      <w:r>
        <w:rPr>
          <w:rFonts w:ascii="Times New Roman" w:hAnsi="Times New Roman" w:cs="Times New Roman"/>
          <w:b/>
        </w:rPr>
        <w:lastRenderedPageBreak/>
        <w:t>Abstract</w:t>
      </w:r>
    </w:p>
    <w:p w14:paraId="1047F7D7" w14:textId="77777777" w:rsidR="00F703B2" w:rsidRPr="00F703B2" w:rsidRDefault="00F703B2" w:rsidP="00F703B2">
      <w:pPr>
        <w:spacing w:line="480" w:lineRule="auto"/>
        <w:rPr>
          <w:rFonts w:ascii="Times New Roman" w:hAnsi="Times New Roman" w:cs="Times New Roman"/>
        </w:rPr>
      </w:pPr>
      <w:r>
        <w:rPr>
          <w:rFonts w:ascii="Times New Roman" w:hAnsi="Times New Roman" w:cs="Times New Roman"/>
        </w:rPr>
        <w:t>[Insert Abstract for Paper 1 here]</w:t>
      </w:r>
    </w:p>
    <w:p w14:paraId="33FBADA0" w14:textId="77777777" w:rsidR="00F703B2" w:rsidRPr="00F703B2" w:rsidRDefault="00F703B2" w:rsidP="00F703B2">
      <w:pPr>
        <w:spacing w:line="480" w:lineRule="auto"/>
        <w:jc w:val="center"/>
        <w:rPr>
          <w:rFonts w:ascii="Times New Roman" w:hAnsi="Times New Roman" w:cs="Times New Roman"/>
          <w:b/>
        </w:rPr>
      </w:pPr>
      <w:r w:rsidRPr="00F703B2">
        <w:rPr>
          <w:rFonts w:ascii="Times New Roman" w:hAnsi="Times New Roman" w:cs="Times New Roman"/>
          <w:b/>
        </w:rPr>
        <w:t>Introduction</w:t>
      </w:r>
    </w:p>
    <w:p w14:paraId="5940A7A5"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rPr>
        <w:t xml:space="preserve">Emerging adulthood (ages 18-29) is considered a developmental period that includes increased exploration of possible life directions, experimentation, and transitions while (for most) attending higher education and deferring adult roles (Arnett, 2015). During this period, individuals explore various facets of their identities such as occupation, romantic relationships, and sexuality; however, some scholars argued that these exploratory experiences may not be afforded to those who do not attend postsecondary education settings such as colleges or universities (Hendry &amp; Kloep, 2007). Instead, non-college individuals are often expected to assume and establish adult roles during this period, and do not fit within the life period theorized as emerging adulthood (Cote, 2014). For example, non-college individuals may not be afforded the opportunity to explore their sexuality, as they typically marry younger (Arnett, 2015; Goldstein &amp; Kenney, 2001) and start a family earlier (Kloep &amp; Hendry, 2011) than their college attending peers. Some scholars (Hendry &amp; Kloep, 2010; Reifman, Arnett, &amp; Colwell, 2007; Zaluski, 2012) have compared college attending and non-college attending populations (ages 18-25) and found differences in perceptions of identity establishment and deferment of adult roles; however, few studies have compared these groups in the realm of sexuality and sexual expectations. </w:t>
      </w:r>
    </w:p>
    <w:p w14:paraId="206C3A96"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rPr>
        <w:t xml:space="preserve">Studies that have compared these populations (college attending vs. non-college attending) have identified differences in sexual engagement including intercourse </w:t>
      </w:r>
      <w:r w:rsidRPr="00F703B2">
        <w:rPr>
          <w:rFonts w:ascii="Times New Roman" w:hAnsi="Times New Roman" w:cs="Times New Roman"/>
        </w:rPr>
        <w:lastRenderedPageBreak/>
        <w:t xml:space="preserve">experience, casual sex behaviors, and engagement in sexual risk behaviors (Bailey, Fleming, Henson, Catalano, &amp; Haggerty, 2008). Despite evidence that suggests that an individual’s expectations about sexuality may be influential on some of these forms of sexual engagement (e.g., casual sex, Barriger &amp; Velez-Blasini, 2013), to date, no studies were found that compared the sexual expectations of college attending and non-college attending individuals. Sexual expectations (i.e., expectations of future sexuality) are important to address during this developmental period as these expectations are often guided by broad perceptions of normative behaviors of peers and societal cultures (Stinson, 2010). Expectations likely vary based on individuals’ inclusion and/or progression in a developmental period, such as opportunities for exploration and experimentation in areas of sex and sexuality. </w:t>
      </w:r>
    </w:p>
    <w:p w14:paraId="73105791"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rPr>
        <w:t xml:space="preserve">Sexual expectations in emerging adulthood may be further understood by examining and comparing college attending versus non-college attending individuals’ possible selves. Possible selves are internalized expectations or fears for the upcoming year (Markus &amp; Nurius, 1986) and are associated with future behaviors and outcomes including identity development and goal attainment, and can be influential during transitional periods such as emerging adulthood (Oyserman &amp; James, 2009). The concept of possible selves increases knowledge and understanding of sexual expression during emerging adulthood, particularly when examining sexuality across college attending and non-college attending individuals. Such comparisons can promote the integration of developmentally appropriate possible selves-based education or interventions that focus on sexual selves, fears, and strategies unique to each of these groups. </w:t>
      </w:r>
    </w:p>
    <w:p w14:paraId="54FC5607"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rPr>
        <w:lastRenderedPageBreak/>
        <w:t>Despite its potential utility, previous research is limited in examining the content of emerging adults’ future perceptions of their sexual selves (see Anders, Olmstead, &amp; Johnson, under review) and has yet to examine sexual possible selves differences between college attending and non-college attending individuals despite differences in sexual behaviors and sexual cultures. The purpose of this study was to examine the sexual possible selves (SPS) of a sample of college attending emerging adults and a sample of non-college attending emerging adults to determine if differences exist in their salient sexual possible selves themes. Specifically, we were interested in identifying and examining: (a) prominent categories of sexual possible selves and fears within each group, (b) associated strategies for achieving and avoiding these possible selves and fears within each group, (c) group differences based on the emergence of categories, and (d) group differences in category and strategy based on their perceptions of emerging adulthood.</w:t>
      </w:r>
    </w:p>
    <w:p w14:paraId="6F7D2A39" w14:textId="77777777" w:rsidR="00F703B2" w:rsidRPr="00F703B2" w:rsidRDefault="00F703B2" w:rsidP="00F703B2">
      <w:pPr>
        <w:spacing w:line="480" w:lineRule="auto"/>
        <w:rPr>
          <w:rFonts w:ascii="Times New Roman" w:hAnsi="Times New Roman" w:cs="Times New Roman"/>
          <w:b/>
        </w:rPr>
      </w:pPr>
      <w:r w:rsidRPr="00F703B2">
        <w:rPr>
          <w:rFonts w:ascii="Times New Roman" w:hAnsi="Times New Roman" w:cs="Times New Roman"/>
          <w:b/>
        </w:rPr>
        <w:t>The Developmental Period of Emerging adulthood</w:t>
      </w:r>
    </w:p>
    <w:p w14:paraId="2FC9CB30"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Emerging adulthood (ages 18-29) is a time of identity exploration and experimentation (Arnett, 2015). Individuals in this developmental period typically experience relative independence from normative social expectations, the deferment of “adult roles” (e.g., marriage), and an acceptance of an experimental nature of young individuals (Arnett, 2015). This period is thought to be distinct from other life stages based on demographic factors, subjective perceptions, and the role of identity exploration (Arnett, 2015; Nelson &amp; Barry, 2005). Recent scholars have focused on capturing the distinctions of emerging adulthood from adolescence and adulthood (Arnett, 1997; </w:t>
      </w:r>
      <w:r w:rsidRPr="00F703B2">
        <w:rPr>
          <w:rFonts w:ascii="Times New Roman" w:hAnsi="Times New Roman" w:cs="Times New Roman"/>
        </w:rPr>
        <w:lastRenderedPageBreak/>
        <w:t xml:space="preserve">Nelson &amp; Barry, 2005; </w:t>
      </w:r>
      <w:r w:rsidRPr="00F703B2">
        <w:rPr>
          <w:rFonts w:ascii="Times New Roman" w:hAnsi="Times New Roman" w:cs="Times New Roman"/>
          <w:iCs/>
        </w:rPr>
        <w:t>Reifman et al., 2007</w:t>
      </w:r>
      <w:r w:rsidRPr="00F703B2">
        <w:rPr>
          <w:rFonts w:ascii="Times New Roman" w:hAnsi="Times New Roman" w:cs="Times New Roman"/>
        </w:rPr>
        <w:t xml:space="preserve">). Distinguishing factors of this period were found in five specific aspects of development: (a) </w:t>
      </w:r>
      <w:r w:rsidRPr="00F703B2">
        <w:rPr>
          <w:rFonts w:ascii="Times New Roman" w:hAnsi="Times New Roman" w:cs="Times New Roman"/>
          <w:i/>
          <w:iCs/>
        </w:rPr>
        <w:t>an age of identity exploration</w:t>
      </w:r>
      <w:r w:rsidRPr="00F703B2">
        <w:rPr>
          <w:rFonts w:ascii="Times New Roman" w:hAnsi="Times New Roman" w:cs="Times New Roman"/>
        </w:rPr>
        <w:t xml:space="preserve">, (b) </w:t>
      </w:r>
      <w:r w:rsidRPr="00F703B2">
        <w:rPr>
          <w:rFonts w:ascii="Times New Roman" w:hAnsi="Times New Roman" w:cs="Times New Roman"/>
          <w:i/>
          <w:iCs/>
        </w:rPr>
        <w:t>age of instability</w:t>
      </w:r>
      <w:r w:rsidRPr="00F703B2">
        <w:rPr>
          <w:rFonts w:ascii="Times New Roman" w:hAnsi="Times New Roman" w:cs="Times New Roman"/>
        </w:rPr>
        <w:t xml:space="preserve">, (c) </w:t>
      </w:r>
      <w:r w:rsidRPr="00F703B2">
        <w:rPr>
          <w:rFonts w:ascii="Times New Roman" w:hAnsi="Times New Roman" w:cs="Times New Roman"/>
          <w:i/>
          <w:iCs/>
        </w:rPr>
        <w:t>age of self-focus</w:t>
      </w:r>
      <w:r w:rsidRPr="00F703B2">
        <w:rPr>
          <w:rFonts w:ascii="Times New Roman" w:hAnsi="Times New Roman" w:cs="Times New Roman"/>
        </w:rPr>
        <w:t xml:space="preserve">, (d) </w:t>
      </w:r>
      <w:r w:rsidRPr="00F703B2">
        <w:rPr>
          <w:rFonts w:ascii="Times New Roman" w:hAnsi="Times New Roman" w:cs="Times New Roman"/>
          <w:i/>
          <w:iCs/>
        </w:rPr>
        <w:t>age of feeling in-between</w:t>
      </w:r>
      <w:r w:rsidRPr="00F703B2">
        <w:rPr>
          <w:rFonts w:ascii="Times New Roman" w:hAnsi="Times New Roman" w:cs="Times New Roman"/>
        </w:rPr>
        <w:t xml:space="preserve">, and (e) </w:t>
      </w:r>
      <w:r w:rsidRPr="00F703B2">
        <w:rPr>
          <w:rFonts w:ascii="Times New Roman" w:hAnsi="Times New Roman" w:cs="Times New Roman"/>
          <w:i/>
          <w:iCs/>
        </w:rPr>
        <w:t xml:space="preserve">age of possibilities </w:t>
      </w:r>
      <w:r w:rsidRPr="00F703B2">
        <w:rPr>
          <w:rFonts w:ascii="Times New Roman" w:hAnsi="Times New Roman" w:cs="Times New Roman"/>
          <w:iCs/>
        </w:rPr>
        <w:t>(i.e., Reifman et al., 2007)</w:t>
      </w:r>
      <w:r w:rsidRPr="00F703B2">
        <w:rPr>
          <w:rFonts w:ascii="Times New Roman" w:hAnsi="Times New Roman" w:cs="Times New Roman"/>
        </w:rPr>
        <w:t xml:space="preserve">. Specifically, emerging adulthood is unique as those in this period often report feeling “in-between” adolescence and adulthood (Nelson &amp; Barry, 2005), and when asked whether they have reached adulthood often respond “in some respects yes, in some respects no” (Arnett, 1997, p. 9). </w:t>
      </w:r>
    </w:p>
    <w:p w14:paraId="6B84BB4A"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Although shifts in current societal and economic trends have allowed some individuals to take these “time outs” from adult roles to pursue identity explorations, these moratoriums are not afforded to all young people (Hendry &amp; Kloep, 2007). Some scholars (Cote, 2014; Hendry &amp; Kloep, 2007) argued that emerging adulthood may only represent a portion of developmentally specific individuals. For example, study results indicate that emerging adulthood may only be observed among those attending college (Arnett, 1997; Hendry &amp; Kloep, 2007), specific industrialized cultures such as the United States (Arnett, 2015; Cote, 2014; Kloep &amp; Hendry, 2011), and those in the middle- to upper-class (Arnett, 2004; Bynner, 2005; Cote &amp; Bynner, 2008). Although presented as a universal life course stage, demographic variability may influence how, or even if, young individuals experience the five dimensions considered distinct for this period (e.g., age of self-focus; Bynner, 2007). </w:t>
      </w:r>
    </w:p>
    <w:p w14:paraId="5E11F154"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The developmental perspective of emerging adulthood is thought to occur predominately among individuals who opt to attend postsecondary education settings such as colleges or universities (Hendry &amp; Kloep, 2007). In contrast, young people from </w:t>
      </w:r>
      <w:r w:rsidRPr="00F703B2">
        <w:rPr>
          <w:rFonts w:ascii="Times New Roman" w:hAnsi="Times New Roman" w:cs="Times New Roman"/>
        </w:rPr>
        <w:lastRenderedPageBreak/>
        <w:t xml:space="preserve">lower social class origins who are unable to attend college are highly unlikely to be afforded the opportunity to experience various facets of emerging adulthood, including deferring responsibilities and adult roles (e.g., age of identity exploration). Instead, these individuals will often enter the workforce to help financially support themselves or family members and ultimately experience this developmental period differently from college attending emerging adults. Due to these experiences and perceptions, some have emphasized the need to examine these individuals through a different perspective or lens (Cote, 2014). Despite these differences, few studies on emerging adulthood have been conducted using samples outside of the postsecondary education system (for exceptions, see Hendry &amp; Kloep, 2010; Reifman et al., 2007; Zaluski, 2012). Those not enrolled in postsecondary education are often referred to as the “forgotten half” in emerging adulthood literature (Arnett, 2015). This disproportion may be due to the convenience of data collection from a college sample (Arnett, 2015), but a lack of empirical evidence brings into question how this developmental period applies to those who may not follow what is considered the college norm  (Cote, 2014). </w:t>
      </w:r>
    </w:p>
    <w:p w14:paraId="71640FA2"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Recent studies have reported evidence that college-attending and non-college individuals vary in their perceptions of adulthood (Hendry &amp; Kloep, 2010; Reifman et al., 2007; Zaluski, 2012) and expectations about their current developmental stage (Nelson &amp; Barry, 2005). College-attending emerging adults typically experience greater freedom to explore various lifestyles and make mistakes than do their non-college-attending peers (Lam &amp; Lefkowitz, 2013). College students are considered free from adult roles and norms and often explore their identities, including sexuality, while deferring decisions </w:t>
      </w:r>
      <w:r w:rsidRPr="00F703B2">
        <w:rPr>
          <w:rFonts w:ascii="Times New Roman" w:hAnsi="Times New Roman" w:cs="Times New Roman"/>
        </w:rPr>
        <w:lastRenderedPageBreak/>
        <w:t xml:space="preserve">with long-term implications. For example, whereas college students are provided this adult role moratorium, expectations for non-college attending individuals may differ as they are expected to assume and establish patterns of adult roles and behaviors. These individuals will, on average, marry younger (Arnett, 2015; Goldstein &amp; Kenney, 2001), start a family sooner (Kloep &amp; Hendry, 2011), and indicated earlier subjective feelings of adulthood (Nelson &amp; Barry, 2005). These adult roles may influence the expectations that individuals hold for themselves. For example, emerging adults who entered the workforce reported a lower endorsements of the five dimensions of emerging adulthood, including fewer future opportunities, being less self-focused, and engaging in less exploration (Hendry &amp; Kloep, 2010; Reifman et al., 2007; Zaluski, 2012). </w:t>
      </w:r>
    </w:p>
    <w:p w14:paraId="26B8BE2D"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The majority of research on emerging adults’ sexuality has focused on college attending populations, often due to convenience sampling (Claxton &amp; van Dulmen, 2013; Heldman &amp; Wade, 2010). Despite limited research comparing college attending and non-college attending individuals’ sexuality, recent evidence suggests that differences between these two populations do exist (Bailey et al., 2008; Goldstein &amp; Kenney, 2001). For example, Bailey, Fleming, Henson, Catalano, and Haggerty (2008) examined the six-month sexual risk trajectories of a large high school graduate cohort and found variances in sexual engagement based on college enrollment (i.e., emerging adults in two- or four-year universities versus non-college emerging adults). Specifically, non-college attending emerging adults were found to have higher rates of sexual intercourse, casual sex, and high risk sexual engagement, including inconsistent condom use, compared to their college attending peers. Further, research has consistently shown that hooking up has </w:t>
      </w:r>
      <w:r w:rsidRPr="00F703B2">
        <w:rPr>
          <w:rFonts w:ascii="Times New Roman" w:hAnsi="Times New Roman" w:cs="Times New Roman"/>
        </w:rPr>
        <w:lastRenderedPageBreak/>
        <w:t>become a prevalent sexual script on college campuses (Glenn &amp; Marquardt, 2001) and “that hooking up is a hallmark of the college experience” (Bogle, 2007, p. 776), but may not necessarily be as prevalent of a script for non-college students (Bogle, 2008). Lastly, although sexual education program exposure beyond secondary education settings is limited for the majority of individuals, college students may have more opportunities than their non-college attending peers to seek or access on campus resources (Eisenberg, Lechner, Frerich, Lust, &amp; Garcia, 2012). Examples of these resources could include sexual health centers, curriculum-based education (e.g., human sexuality course), or seminars/workshops (e.g., consent programs).</w:t>
      </w:r>
    </w:p>
    <w:p w14:paraId="186495CC"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Recent evidence suggests that societal norms towards casual sex behaviors or hooking up have shifted towards more social acceptance, particularly during the period of emerging adulthood (Twenge, Sherman, &amp; Wells, 2015). Although little research has examined the direct effects of non-college attending individuals and hookup acceptance, one study found a moderation effect based on postsecondary education status. Twenge, Sherman, and Wells (2015) found that the increased acceptance of casual sex behaviors, along with </w:t>
      </w:r>
      <w:r w:rsidRPr="00F703B2">
        <w:rPr>
          <w:rFonts w:ascii="Times New Roman" w:hAnsi="Times New Roman" w:cs="Times New Roman"/>
          <w:i/>
        </w:rPr>
        <w:t>perceptions</w:t>
      </w:r>
      <w:r w:rsidRPr="00F703B2">
        <w:rPr>
          <w:rFonts w:ascii="Times New Roman" w:hAnsi="Times New Roman" w:cs="Times New Roman"/>
        </w:rPr>
        <w:t xml:space="preserve"> of societal acceptance, were found to vary by college attendance, with decreased acceptance by those who do not enter postsecondary education settings. These findings, along with continued criticisms by scholars (e.g., Claxton &amp; van Dulmen, 2013; Heldman &amp; Wade, 2010), emphasize the need for continued research on non-college samples focusing on concepts such as casual sex relationships (Grello, Welsh, &amp; Harper, 2006; Fielder, Walsh, Carey, &amp; Carey, 2013; Heldman &amp; Wade, 2010), romantic relationships (Goldstein &amp; Kenney, 2001), and sexual expectations (Anders et al., under </w:t>
      </w:r>
      <w:r w:rsidRPr="00F703B2">
        <w:rPr>
          <w:rFonts w:ascii="Times New Roman" w:hAnsi="Times New Roman" w:cs="Times New Roman"/>
        </w:rPr>
        <w:lastRenderedPageBreak/>
        <w:t>review; Cohen &amp; Shotland, 1996; Stinson, 2010). Specifically, future research would benefit from direct comparisons of college attending versus non-college attending individuals as this could emphasize divergences between these two groups on behaviors, knowledge, and resources, particularly in the realm of potential risk engagement such as sexuality. By treating college attending and non-college attending individuals as a homogeneous group rather than weighing the developmentally different experiences of the emerging adulthood period, research misses crucial variability in the sexual pathways of these two groups. The emergence of sexual variability between these populations highlights the continued need for developmentally appropriate sexual education that integrates individual’s experiences of adulthood, perceptions of cultural norms, and individualized expectations for sexuality.</w:t>
      </w:r>
    </w:p>
    <w:p w14:paraId="65D37798" w14:textId="77777777" w:rsidR="00F703B2" w:rsidRPr="00F703B2" w:rsidRDefault="00F703B2" w:rsidP="00F703B2">
      <w:pPr>
        <w:spacing w:line="480" w:lineRule="auto"/>
        <w:rPr>
          <w:rFonts w:ascii="Times New Roman" w:hAnsi="Times New Roman" w:cs="Times New Roman"/>
          <w:b/>
        </w:rPr>
      </w:pPr>
      <w:r w:rsidRPr="00F703B2">
        <w:rPr>
          <w:rFonts w:ascii="Times New Roman" w:hAnsi="Times New Roman" w:cs="Times New Roman"/>
          <w:b/>
        </w:rPr>
        <w:t xml:space="preserve">Sexual Expectations </w:t>
      </w:r>
    </w:p>
    <w:p w14:paraId="7C9FDCCE"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College attending emerging adults’ expectations about sexuality may differ from their non-college attending peers. Sexual expectations encompass the individual’s perceptions of and expectations for normative sexual behaviors, including those of their peers (Lambert, Kahn, &amp; Apple, 2003; Stinson, 2010). These expectations focus on either current external behaviors or social norms, or may include future expectations. For example, individuals who were not sexually active indicated that they expected college to be a time to engage in sexual behaviors, and was a time for initiating sexual intercourse within relationships (Cohen &amp; Shotland, 1996; Stinson, 2010). Studies have examined these expectations among college attending emerging adults and found that individuals consistently overestimate their peers’ engagement in various sexual behaviors (e.g., </w:t>
      </w:r>
      <w:r w:rsidRPr="00F703B2">
        <w:rPr>
          <w:rFonts w:ascii="Times New Roman" w:hAnsi="Times New Roman" w:cs="Times New Roman"/>
        </w:rPr>
        <w:lastRenderedPageBreak/>
        <w:t>hooking up), and overestimate peer acceptance of casual sex behaviors, otherwise referred to as “pluralistic ignorance” (Fielder &amp; Carey, 2010; Lambert et al., 2003). In contrast, evidence suggests that non-college attending individuals may be less susceptible to these overestimations, as their perceptions of casual sex acceptance were lower than their college attending peers (Twenge et al., 2015). Overall, these expectations are important as they often influence establishing patterns of behavior and identity formation during the period of emerging adulthood (Barriger &amp; Velez-Blasini, 2013; Fielder &amp; Carey, 2010); yet, few studies have examined expectations, particularly sexual expectations, among non-college attending populations.</w:t>
      </w:r>
    </w:p>
    <w:p w14:paraId="1BE6BBD5"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b/>
        </w:rPr>
        <w:t>The Theory of Possible Selves</w:t>
      </w:r>
    </w:p>
    <w:p w14:paraId="7DC08A8E"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One perspective for examining emerging adults’ expectations is through their possible selves. Possible selves considers an individual’s future oriented self he or she hopes to become (i.e., expectation) or hopes to avoid becoming (i.e., fear) in the proximal future (Markus &amp; Hazel, 1986). Possible selves are thought to be representative of salient goals or fears that are important to future identity development (Oyserman &amp; James, 2009), and can serve as pathways to attaining or avoiding future identities (Oyserman, Bybee, Terry, &amp; Hart-Johnson, 2004). Examining the specific behavioral plans individuals use to obtain or avoid these future possible selves (i.e., strategies) can provide insight into barriers to goal attainment. For example, one study found that students who articulated goals for academic achievement, yet were unable to articulate specific strategies to attaining these goal were less likely to achieve their future oriented academic self (Oyserman et al., 2004). Possible selves are also thought to be representative of </w:t>
      </w:r>
      <w:r w:rsidRPr="00F703B2">
        <w:rPr>
          <w:rFonts w:ascii="Times New Roman" w:hAnsi="Times New Roman" w:cs="Times New Roman"/>
        </w:rPr>
        <w:lastRenderedPageBreak/>
        <w:t xml:space="preserve">developmental milestones (Oyserman &amp; James, 2009). For example, a possible self reported by an adolescent may focus on academic goals, whereas a possible self for a middle-aged individual would likely be more family-related. Overall, possible selves tend to be representative of where individuals see themselves in the proximal future (i.e., typically one year out) and are influenced by their current life stage (e.g., emerging adulthood). </w:t>
      </w:r>
    </w:p>
    <w:p w14:paraId="5E9061EB" w14:textId="77777777" w:rsidR="00F703B2" w:rsidRPr="00F703B2" w:rsidRDefault="00F703B2" w:rsidP="00F703B2">
      <w:pPr>
        <w:spacing w:line="480" w:lineRule="auto"/>
        <w:rPr>
          <w:rFonts w:ascii="Times New Roman" w:hAnsi="Times New Roman" w:cs="Times New Roman"/>
        </w:rPr>
      </w:pPr>
      <w:r w:rsidRPr="00F703B2">
        <w:rPr>
          <w:rFonts w:ascii="Times New Roman" w:hAnsi="Times New Roman" w:cs="Times New Roman"/>
          <w:b/>
        </w:rPr>
        <w:t>Sexual Possible Selves</w:t>
      </w:r>
      <w:r w:rsidRPr="00F703B2">
        <w:rPr>
          <w:rFonts w:ascii="Times New Roman" w:hAnsi="Times New Roman" w:cs="Times New Roman"/>
        </w:rPr>
        <w:t xml:space="preserve"> </w:t>
      </w:r>
    </w:p>
    <w:p w14:paraId="640969C8"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 xml:space="preserve">Sexual possible selves is an expansion of the possible selves theory (see Anders et al., under review) to focus on the sexual expectations and fears individuals hold for themselves in the proximal future. These sexual goals hold important implications for which aspects of sexuality are most salient and can serve as guidelines or paths to achieving individuals’ future idealized sexual selves. Sexual possible selves may also be reflective of developmentally salient sexual goals or identities, particularly based on current life stage. </w:t>
      </w:r>
    </w:p>
    <w:p w14:paraId="582C0FB2"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A thorough review of the literature indicated just one study that examined the sexual possible selves of emerging adults, which used a mixed-methods approach (see Anders et al., under review). This study examined the sexual expectations, fears, and strategies of first semester college students (</w:t>
      </w:r>
      <w:r w:rsidRPr="00F703B2">
        <w:rPr>
          <w:rFonts w:ascii="Times New Roman" w:hAnsi="Times New Roman" w:cs="Times New Roman"/>
          <w:i/>
        </w:rPr>
        <w:t xml:space="preserve">N </w:t>
      </w:r>
      <w:r w:rsidRPr="00F703B2">
        <w:rPr>
          <w:rFonts w:ascii="Times New Roman" w:hAnsi="Times New Roman" w:cs="Times New Roman"/>
        </w:rPr>
        <w:t xml:space="preserve">= 282). They found that students varied in their sexual possible selves and fears. Themes that emerged included abstinence, physical/sexual health, sexual exploration, and interpersonal relationships. Further, this study revealed a discrepancy between reporting of sexual possible selves and the articulation of specific strategies to obtaining these future oriented selves. For example, </w:t>
      </w:r>
      <w:r w:rsidRPr="00F703B2">
        <w:rPr>
          <w:rFonts w:ascii="Times New Roman" w:hAnsi="Times New Roman" w:cs="Times New Roman"/>
        </w:rPr>
        <w:lastRenderedPageBreak/>
        <w:t xml:space="preserve">although some students reported fears of negative physical/sexual health selves in the future, most were unable to articulate realistic and specific strategies they were using to avoid these feared selves. The authors also found differences based on sample demographics, including participant gender, intercourse experience, being in a romantic relationship, and religiosity. </w:t>
      </w:r>
    </w:p>
    <w:p w14:paraId="2D630B0A" w14:textId="77777777" w:rsidR="00F703B2" w:rsidRPr="00F703B2" w:rsidRDefault="00F703B2" w:rsidP="00F703B2">
      <w:pPr>
        <w:spacing w:line="480" w:lineRule="auto"/>
        <w:ind w:firstLine="720"/>
        <w:rPr>
          <w:rFonts w:ascii="Times New Roman" w:hAnsi="Times New Roman" w:cs="Times New Roman"/>
        </w:rPr>
      </w:pPr>
      <w:r w:rsidRPr="00F703B2">
        <w:rPr>
          <w:rFonts w:ascii="Times New Roman" w:hAnsi="Times New Roman" w:cs="Times New Roman"/>
        </w:rPr>
        <w:t>The differences found in Anders and colleagues (under review) study indicated a need for further examinations of sexual possible selves among diverse populations, as research suggests that sexuality is not a “one size fits all” phenomenon (Walcott, Meyers, &amp; Landau, 2007), and their sample was limited to first semester college students. Specifically, the SPS literature would benefit from examining expectations, fears, and strategies among those who opt out of postsecondary education as these individuals are found to differ in sexual engagement (Bailey et al., 2008), perceptions of sexual norms (e.g., hooking up; Twenge et al., 2015), and perceptions of their experiences as an “emerging adult” (Hendry &amp; Kloep, 2007). Examining differences between college attending and non-college attending emerging adults’ SPS would advance the literature regarding salient sexual themes and gaps in behavioral pathways that may be crucial for more developmentally appropriate sexual education/interventions for each population, rather than a “one size fits all emerging adults” approach.</w:t>
      </w:r>
    </w:p>
    <w:p w14:paraId="4BAB3D46" w14:textId="77777777" w:rsidR="009A1F4F" w:rsidRPr="009A1F4F" w:rsidRDefault="009A1F4F" w:rsidP="009A1F4F">
      <w:pPr>
        <w:spacing w:line="480" w:lineRule="auto"/>
        <w:rPr>
          <w:rFonts w:ascii="Times New Roman" w:hAnsi="Times New Roman" w:cs="Times New Roman"/>
          <w:b/>
        </w:rPr>
      </w:pPr>
      <w:r w:rsidRPr="009A1F4F">
        <w:rPr>
          <w:rFonts w:ascii="Times New Roman" w:hAnsi="Times New Roman" w:cs="Times New Roman"/>
          <w:b/>
        </w:rPr>
        <w:t>Current Study</w:t>
      </w:r>
    </w:p>
    <w:p w14:paraId="035A7A94"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This study extends the sexual possible selves literature by examining and comparing expected and feared sexual possible selves using a sample of college attending emerging adults and a sample of non-college attending emerging adults. In addition, we </w:t>
      </w:r>
      <w:r w:rsidRPr="009A1F4F">
        <w:rPr>
          <w:rFonts w:ascii="Times New Roman" w:hAnsi="Times New Roman" w:cs="Times New Roman"/>
        </w:rPr>
        <w:lastRenderedPageBreak/>
        <w:t>examine and compare the strategies (or lack thereof) these groups articulate to achieving or avoiding their sexual possible selves. Our study will enhance current understandings of similarities or differences in how these groups experience and/or hold expectations for sexuality during the developmental period of emerging adulthood. Further, findings likely hold important implications for sexual education and/or intervention for those in non-postsecondary education settings, along with continued sexual health and wellbeing promotion for college attending emerging adults. Our study was guided by four research questions developed from theory (life course theory and possible selves) and the extant literature on sexual possible selves and sexuality in emerging adulthood:</w:t>
      </w:r>
    </w:p>
    <w:p w14:paraId="411D3291"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RQ1</w:t>
      </w:r>
      <w:r w:rsidRPr="009A1F4F">
        <w:rPr>
          <w:rFonts w:ascii="Times New Roman" w:hAnsi="Times New Roman" w:cs="Times New Roman"/>
        </w:rPr>
        <w:t>: How do college attending and non-college attending emerging adults describe their (a) expected and (b) feared sexual possible selves?</w:t>
      </w:r>
    </w:p>
    <w:p w14:paraId="1829C45D"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RQ2</w:t>
      </w:r>
      <w:r w:rsidRPr="009A1F4F">
        <w:rPr>
          <w:rFonts w:ascii="Times New Roman" w:hAnsi="Times New Roman" w:cs="Times New Roman"/>
        </w:rPr>
        <w:t>: What are college attending and non-college attending emerging adults' strategies associated with their (a) expected and (b) feared sexual possible selves?</w:t>
      </w:r>
    </w:p>
    <w:p w14:paraId="155ED58A"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RQ3</w:t>
      </w:r>
      <w:r w:rsidRPr="009A1F4F">
        <w:rPr>
          <w:rFonts w:ascii="Times New Roman" w:hAnsi="Times New Roman" w:cs="Times New Roman"/>
        </w:rPr>
        <w:t>: Do college attending and non-college attending emerging adults vary in their (a) expected and (b) feared sexual possible selves? If so, how do they vary in these possible selves realms?</w:t>
      </w:r>
    </w:p>
    <w:p w14:paraId="7232D9FC"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b/>
        </w:rPr>
        <w:t xml:space="preserve">RQ4: </w:t>
      </w:r>
      <w:r w:rsidRPr="009A1F4F">
        <w:rPr>
          <w:rFonts w:ascii="Times New Roman" w:hAnsi="Times New Roman" w:cs="Times New Roman"/>
        </w:rPr>
        <w:t xml:space="preserve">Do college attending and non-college attending emerging adults’ sexual possible selves and strategies vary based on their perceptions of the various aspects of the period of emerging adulthood (i.e., </w:t>
      </w:r>
      <w:r w:rsidRPr="009A1F4F">
        <w:rPr>
          <w:rFonts w:ascii="Times New Roman" w:hAnsi="Times New Roman" w:cs="Times New Roman"/>
          <w:i/>
        </w:rPr>
        <w:t>age of feeling in-between, period of identity exploration, age of possibilities, age of instability, time of self-focus/time of other-focus</w:t>
      </w:r>
      <w:r w:rsidRPr="009A1F4F">
        <w:rPr>
          <w:rFonts w:ascii="Times New Roman" w:hAnsi="Times New Roman" w:cs="Times New Roman"/>
        </w:rPr>
        <w:t>; Reifman et al., 2007)?</w:t>
      </w:r>
    </w:p>
    <w:p w14:paraId="23E183FF" w14:textId="77777777" w:rsidR="009A1F4F" w:rsidRPr="009A1F4F" w:rsidRDefault="009A1F4F" w:rsidP="009A1F4F">
      <w:pPr>
        <w:spacing w:line="480" w:lineRule="auto"/>
        <w:jc w:val="center"/>
        <w:rPr>
          <w:rFonts w:ascii="Times New Roman" w:hAnsi="Times New Roman" w:cs="Times New Roman"/>
          <w:b/>
        </w:rPr>
      </w:pPr>
      <w:r w:rsidRPr="009A1F4F">
        <w:rPr>
          <w:rFonts w:ascii="Times New Roman" w:hAnsi="Times New Roman" w:cs="Times New Roman"/>
          <w:b/>
        </w:rPr>
        <w:t>Method</w:t>
      </w:r>
    </w:p>
    <w:p w14:paraId="1D919366" w14:textId="77777777" w:rsidR="009A1F4F" w:rsidRPr="009A1F4F" w:rsidRDefault="009A1F4F" w:rsidP="009A1F4F">
      <w:pPr>
        <w:spacing w:line="480" w:lineRule="auto"/>
        <w:rPr>
          <w:rFonts w:ascii="Times New Roman" w:hAnsi="Times New Roman" w:cs="Times New Roman"/>
          <w:b/>
        </w:rPr>
      </w:pPr>
      <w:r w:rsidRPr="009A1F4F">
        <w:rPr>
          <w:rFonts w:ascii="Times New Roman" w:hAnsi="Times New Roman" w:cs="Times New Roman"/>
          <w:b/>
        </w:rPr>
        <w:lastRenderedPageBreak/>
        <w:t>Population</w:t>
      </w:r>
    </w:p>
    <w:p w14:paraId="74D067A6"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ab/>
        <w:t xml:space="preserve">For this study I plan to collect data from a minimum of 30 to 50 college attending individuals and 30 to 50 non-college attending individuals. Research indicates that when using qualitative content analyses, a sample size of 20 to 30 participants is appropriate as this size allows themes within the data to reach “saturation” (i.e., new information does not necessarily add anything to the overall theory; Creswell, 2007; Strauss &amp; Corbin, 1998). However, as I will also be conducting quantitative analyses, a larger sample size is necessary to conduct certain tests (e.g., binomial logistic regression requires a minimum of 15 participants per variable). To account for both qualitative and quantitative analyses, I plan to collect data from a </w:t>
      </w:r>
      <w:r w:rsidRPr="009A1F4F">
        <w:rPr>
          <w:rFonts w:ascii="Times New Roman" w:hAnsi="Times New Roman" w:cs="Times New Roman"/>
          <w:i/>
        </w:rPr>
        <w:t>minimum</w:t>
      </w:r>
      <w:r w:rsidRPr="009A1F4F">
        <w:rPr>
          <w:rFonts w:ascii="Times New Roman" w:hAnsi="Times New Roman" w:cs="Times New Roman"/>
        </w:rPr>
        <w:t xml:space="preserve"> of 30 participants per group thus increasing the likelihood of saturation and conducting appropriate analyses.</w:t>
      </w:r>
    </w:p>
    <w:p w14:paraId="7A2542F6"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Participants for this study must meet specific criteria to be included in either the college attending or non-college attending samples. The inclusion criteria for </w:t>
      </w:r>
      <w:r w:rsidRPr="009A1F4F">
        <w:rPr>
          <w:rFonts w:ascii="Times New Roman" w:hAnsi="Times New Roman" w:cs="Times New Roman"/>
          <w:i/>
        </w:rPr>
        <w:t>non-college attending</w:t>
      </w:r>
      <w:r w:rsidRPr="009A1F4F">
        <w:rPr>
          <w:rFonts w:ascii="Times New Roman" w:hAnsi="Times New Roman" w:cs="Times New Roman"/>
        </w:rPr>
        <w:t xml:space="preserve"> individuals would include only those who are: (a) between the ages of 18 to 25 (i.e., emerging adulthood), (b) not currently enrolled in postsecondary education (i.e., college or trade school),  (c) have never attended or received a degree from a postsecondary education setting, including two- or four-year institutions, (d) currently live in the United States, and (e) primary language is English. The last two criteria are necessary as the data collection program we will be using (described below) allows researchers to collect data from international populations, including non-English speaking individuals. Additional </w:t>
      </w:r>
      <w:r w:rsidRPr="009A1F4F">
        <w:rPr>
          <w:rFonts w:ascii="Times New Roman" w:hAnsi="Times New Roman" w:cs="Times New Roman"/>
          <w:i/>
        </w:rPr>
        <w:t>exclusion</w:t>
      </w:r>
      <w:r w:rsidRPr="009A1F4F">
        <w:rPr>
          <w:rFonts w:ascii="Times New Roman" w:hAnsi="Times New Roman" w:cs="Times New Roman"/>
        </w:rPr>
        <w:t xml:space="preserve"> criteria would include individuals who have taken </w:t>
      </w:r>
      <w:r w:rsidRPr="009A1F4F">
        <w:rPr>
          <w:rFonts w:ascii="Times New Roman" w:hAnsi="Times New Roman" w:cs="Times New Roman"/>
          <w:i/>
        </w:rPr>
        <w:t>some</w:t>
      </w:r>
      <w:r w:rsidRPr="009A1F4F">
        <w:rPr>
          <w:rFonts w:ascii="Times New Roman" w:hAnsi="Times New Roman" w:cs="Times New Roman"/>
        </w:rPr>
        <w:t xml:space="preserve"> college/university courses but are no longer enrolled, as they have been introduced to the </w:t>
      </w:r>
      <w:r w:rsidRPr="009A1F4F">
        <w:rPr>
          <w:rFonts w:ascii="Times New Roman" w:hAnsi="Times New Roman" w:cs="Times New Roman"/>
        </w:rPr>
        <w:lastRenderedPageBreak/>
        <w:t xml:space="preserve">college cultures and may hold biased responses. Inclusion criteria for </w:t>
      </w:r>
      <w:r w:rsidRPr="009A1F4F">
        <w:rPr>
          <w:rFonts w:ascii="Times New Roman" w:hAnsi="Times New Roman" w:cs="Times New Roman"/>
          <w:i/>
        </w:rPr>
        <w:t>college attending</w:t>
      </w:r>
      <w:r w:rsidRPr="009A1F4F">
        <w:rPr>
          <w:rFonts w:ascii="Times New Roman" w:hAnsi="Times New Roman" w:cs="Times New Roman"/>
        </w:rPr>
        <w:t xml:space="preserve"> individuals include: (a) between the ages of 18 to 25, (b) currently enrolled in postsecondary education (i.e., college), and (c) have never received a degree from a post secondary education setting, including two- or four-year institutions. Demographic measures for both populations will include: </w:t>
      </w:r>
      <w:r w:rsidRPr="009A1F4F">
        <w:rPr>
          <w:rFonts w:ascii="Times New Roman" w:hAnsi="Times New Roman" w:cs="Times New Roman"/>
          <w:i/>
        </w:rPr>
        <w:t xml:space="preserve">sex, year in college, sexual education experience, romantic relationship status, intercourse experience, </w:t>
      </w:r>
      <w:r w:rsidRPr="009A1F4F">
        <w:rPr>
          <w:rFonts w:ascii="Times New Roman" w:hAnsi="Times New Roman" w:cs="Times New Roman"/>
        </w:rPr>
        <w:t xml:space="preserve">and </w:t>
      </w:r>
      <w:r w:rsidRPr="009A1F4F">
        <w:rPr>
          <w:rFonts w:ascii="Times New Roman" w:hAnsi="Times New Roman" w:cs="Times New Roman"/>
          <w:i/>
        </w:rPr>
        <w:t>religiosity.</w:t>
      </w:r>
    </w:p>
    <w:p w14:paraId="0286DAB8" w14:textId="77777777" w:rsidR="009A1F4F" w:rsidRPr="009A1F4F" w:rsidRDefault="009A1F4F" w:rsidP="009A1F4F">
      <w:pPr>
        <w:spacing w:line="480" w:lineRule="auto"/>
        <w:rPr>
          <w:rFonts w:ascii="Times New Roman" w:hAnsi="Times New Roman" w:cs="Times New Roman"/>
          <w:b/>
        </w:rPr>
      </w:pPr>
      <w:r w:rsidRPr="009A1F4F">
        <w:rPr>
          <w:rFonts w:ascii="Times New Roman" w:hAnsi="Times New Roman" w:cs="Times New Roman"/>
          <w:b/>
        </w:rPr>
        <w:t>Data collection</w:t>
      </w:r>
    </w:p>
    <w:p w14:paraId="0A81885C"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ab/>
        <w:t xml:space="preserve">Data will be collected from an online survey method posted through Amazon Mechanical Turk (Mturk) which is an Amazon Inc. based crowdsourcing system used for various “Human Intelligence Tasks” and data collection. This form of data collection has become prevalent among experimental and survey based social science researchers (Ipeirotis, 2010). Specifically, I have chosen this form of electronic data collection as it increases the likelihood of obtaining individuals from non-college settings (Ipeirotis, 2010), as Mturk allows researchers to set boundaries on their data collection pools. This creates the opportunity to collect even sample sizes of college attending and non-college attending individuals. Typically, compensation for this form of data collection is through electronic payments based on survey completion and ranges in small amounts (e.g., 10 cents to two dollars). Despite the increased access to non-college sample, there are limitations with this form of data collection. Although the demographics of the Mturk sample pool have been shown to be more representative of the U.S. population, particularly compared to college samples (Ipeirotis, 2010), evidence suggests that the </w:t>
      </w:r>
      <w:r w:rsidRPr="009A1F4F">
        <w:rPr>
          <w:rFonts w:ascii="Times New Roman" w:hAnsi="Times New Roman" w:cs="Times New Roman"/>
        </w:rPr>
        <w:lastRenderedPageBreak/>
        <w:t>majority are typically male, White non-Hispanic, and middle- to upper-class individuals (see Ipeirotis, 2010).</w:t>
      </w:r>
    </w:p>
    <w:p w14:paraId="2658D7CA"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Data collection will occur through two separate surveys, as this allows us to continue collecting data until equal sample sizes are obtained, and will occur through the following steps. Both surveys will be advertised on the “Human Intelligence Task” page on Mturk (i.e., one for college attending and one for non-college attending emerging adults). College attending participants will be recruited through the following brief description of the study (i.e., one or two sentences): </w:t>
      </w:r>
    </w:p>
    <w:p w14:paraId="395B2ADA"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t xml:space="preserve">This survey examines sexuality related expectations and fears for the upcoming year of college attending young people (between ages 18 to 25). You will be asked questions related to sexuality measures, perceptions of adulthood, and demographic measures (e.g., age, sex). </w:t>
      </w:r>
    </w:p>
    <w:p w14:paraId="7987CCEA"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 xml:space="preserve">Non-college attending participants will be recruited through the same brief description adapted to non-attendance: </w:t>
      </w:r>
    </w:p>
    <w:p w14:paraId="69CD1BC0"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t>This survey examines sexuality related expectations and fears for the upcoming year of non-college attending young people (between ages 18 to 25). You will be asked questions related to sexuality measures, perceptions of adulthood, and demographic measures (e.g., age, sex).</w:t>
      </w:r>
    </w:p>
    <w:p w14:paraId="7CAE8092"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Participants will then self-select into the appropriate survey based on eligibility (i.e., meeting the criteria described above). For both studies, participants interested in the survey, and who meet inclusion/exclusion criteria, will be rerouted to an online survey system (i.e., Survey Monkey) for data collection. Participants will first be presented with </w:t>
      </w:r>
      <w:r w:rsidRPr="009A1F4F">
        <w:rPr>
          <w:rFonts w:ascii="Times New Roman" w:hAnsi="Times New Roman" w:cs="Times New Roman"/>
        </w:rPr>
        <w:lastRenderedPageBreak/>
        <w:t>an informed consent page that will describe the goal of the survey, the risks and benefits of the study, their ability to withdrawal at any point during the survey, and describe how their responses will remain anonymous. Participants will be informed that by continuing with the survey (i.e., clicking “Next”) they will be providing consent for survey participation. Upon approval, participants will first be presented with the sexual possible selves measures to avoid priming from other measures within the study (described in more detail below), followed by the Inventory of the Dimensions of Emerging Adulthood scale (IDEA scale; Reifman et al., 2007), and then various demographic measures (additional measures not examined in this dissertation will be included). Upon completion, participants will be compensated with a small monetary amount (e.g., $1.00) and offered information about national health resources in case of discomfort from the survey. Participation will take approximately 20 to 30 minutes for each survey.</w:t>
      </w:r>
    </w:p>
    <w:p w14:paraId="4D87497D" w14:textId="77777777" w:rsidR="009A1F4F" w:rsidRPr="009A1F4F" w:rsidRDefault="009A1F4F" w:rsidP="009A1F4F">
      <w:pPr>
        <w:spacing w:line="480" w:lineRule="auto"/>
        <w:rPr>
          <w:rFonts w:ascii="Times New Roman" w:hAnsi="Times New Roman" w:cs="Times New Roman"/>
          <w:b/>
        </w:rPr>
      </w:pPr>
      <w:r w:rsidRPr="009A1F4F">
        <w:rPr>
          <w:rFonts w:ascii="Times New Roman" w:hAnsi="Times New Roman" w:cs="Times New Roman"/>
          <w:b/>
        </w:rPr>
        <w:t>Measures</w:t>
      </w:r>
    </w:p>
    <w:p w14:paraId="5A1B2257"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The measures for this study will predominately focus on the sexual possible selves questionnaire, IDEA scale (Reifman et al., 2007), and various demographic measures. As the main focus of this study is on measuring the sexual expectations, fears, and behavioral strategies of these two groups, the sexual possible self measure will be presented to and completed by the participants first. As a limitation of data collection can be item order in surveys, presenting it first helps to lessen the chance of priming effects from the other sexuality-based measures in the study (e.g., sexual education experience; Davies, Zhu, &amp; Brantley, 2007).</w:t>
      </w:r>
    </w:p>
    <w:p w14:paraId="5E014CF4"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lastRenderedPageBreak/>
        <w:t xml:space="preserve">Sexual possible selves.  </w:t>
      </w:r>
      <w:r w:rsidRPr="009A1F4F">
        <w:rPr>
          <w:rFonts w:ascii="Times New Roman" w:hAnsi="Times New Roman" w:cs="Times New Roman"/>
        </w:rPr>
        <w:t>Participants’ sexual possible selves (SPS) and strategies will be measured using an adaptation of the standard open-ended format of the possible self and strategy measure (for original measure see Oyserman et al., 2004). The SPS adaptation allows researchers to focus specifically on individualized expectations and fears of future oriented sex and sexuality selves (see Anders et al., under review). This measure will focus on the participant’s SPS expectations, strategies to attaining the associated expectations, SPS fears, and strategies to attaining the associated fears. The questionnaire will be formatted to be neutral to participation or non-participation in postsecondary education and focused on the upcoming year (see Figure 1 for full questionnaire).</w:t>
      </w:r>
    </w:p>
    <w:p w14:paraId="72F21550"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Participants will first be asked to write what they expect to become and what they expect to be doing next year (Oyserman et al., 2004). Specifically, expected SPS were collected from participants by providing the following: </w:t>
      </w:r>
    </w:p>
    <w:p w14:paraId="4C2894C0"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t xml:space="preserve">Who will you be next year? Each of us has some image or picture of what we will be like and what we want to avoid being like in the future. Think about next year -- imagine what you expect to occur regarding your sexuality and sexual practices.  In the lines below, write what you expect your upcoming year will be like when addressing sex.  </w:t>
      </w:r>
    </w:p>
    <w:p w14:paraId="4BDF58CD"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The following prompt will then be given to participants: “Regarding sex, this year I am expecting…” followed by providing the individual with four options to list expected sexual selves.</w:t>
      </w:r>
    </w:p>
    <w:p w14:paraId="525E7C26"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lastRenderedPageBreak/>
        <w:t xml:space="preserve">Participants will then indicate whether or not they are doing something to achieve these possible selves by listing any specific behavioral strategies they are using. Strategies of possible selves have been associated with behavioral outcomes and are considered influential in an individual’s future self-regulation (Oyserman et al., 2001; Oyserman et al., 2004).  Specifically, previous possible selves studies indicated that behavioral strategies that relate to the accompanying future self are associated with future goal attainment (Oyserman et al., 2004).  To examine the SPS strategies associated with participants’ expected SPS, the following prompt will be provided: </w:t>
      </w:r>
    </w:p>
    <w:p w14:paraId="0DCDA92E"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t xml:space="preserve">In the space next to each expectation, mark NO (X) if you are not currently doing something about that expectation and mark YES (X) if you are currently doing something to get to that expectation. For each expectation that you marked YES, use the space to the right to write what you are doing this year to attain that goal. Use the first space for the first expectation, the second space for the second expectation and so on.  </w:t>
      </w:r>
    </w:p>
    <w:p w14:paraId="25E0085A"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The participants are then provided four options to list strategies they were using to obtain these future oriented sexual selves.</w:t>
      </w:r>
    </w:p>
    <w:p w14:paraId="1EAD38D8"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The second part of this measure assesses feared possible selves by asking participants to think of concerns or images of what they hoped to avoid within the upcoming year (i.e. what they do not want to do or want to avoid being).  Participants are then asked to list selves that they would like to avoid becoming in the upcoming year and to indicate what strategies they are using to avoid these feared selves. Feared SPS will be collected by providing the following prompt: </w:t>
      </w:r>
    </w:p>
    <w:p w14:paraId="766A6944"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lastRenderedPageBreak/>
        <w:t xml:space="preserve">In addition to expectations and expected goals, we all have images or pictures of what we don’t want to be like regarding our sexuality; what we don’t want to do or want to avoid being.  First, think a minute about ways you would </w:t>
      </w:r>
      <w:r w:rsidRPr="009A1F4F">
        <w:rPr>
          <w:rFonts w:ascii="Times New Roman" w:hAnsi="Times New Roman" w:cs="Times New Roman"/>
          <w:bCs/>
        </w:rPr>
        <w:t>not</w:t>
      </w:r>
      <w:r w:rsidRPr="009A1F4F">
        <w:rPr>
          <w:rFonts w:ascii="Times New Roman" w:hAnsi="Times New Roman" w:cs="Times New Roman"/>
        </w:rPr>
        <w:t xml:space="preserve"> like to be this upcoming year -- things you are concerned about or want to avoid being like. Write those concerns or sexual selves to-be-avoided in the lines below.  </w:t>
      </w:r>
    </w:p>
    <w:p w14:paraId="6B555BBF"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Participants were then asked: “Regarding sex, this year I hope to avoid…” and allowed four options to list feared sexual selves.</w:t>
      </w:r>
    </w:p>
    <w:p w14:paraId="44ADACF1"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Similarly to expected SPS, feared SPS strategies were collected by providing the following prompt:</w:t>
      </w:r>
    </w:p>
    <w:p w14:paraId="55D06B72" w14:textId="77777777" w:rsidR="009A1F4F" w:rsidRPr="009A1F4F" w:rsidRDefault="009A1F4F" w:rsidP="009A1F4F">
      <w:pPr>
        <w:spacing w:line="480" w:lineRule="auto"/>
        <w:ind w:left="720"/>
        <w:rPr>
          <w:rFonts w:ascii="Times New Roman" w:hAnsi="Times New Roman" w:cs="Times New Roman"/>
        </w:rPr>
      </w:pPr>
      <w:r w:rsidRPr="009A1F4F">
        <w:rPr>
          <w:rFonts w:ascii="Times New Roman" w:hAnsi="Times New Roman" w:cs="Times New Roman"/>
        </w:rPr>
        <w:t>In the space next to each concern or to-be-avoided self, mark NO (X) if you are not currently working on avoiding that concern or to-be-avoided self and mark YES (X) if you are currently doing something so this will not happen this year. For each sexual concern or to-be-avoided sexual self that you marked YES, use the space at the end of each line to write what you are doing this year to reduce the chances that this will describe you during your freshman year. Use the first space for the first concern, the second space for the second concern and so on.</w:t>
      </w:r>
    </w:p>
    <w:p w14:paraId="37B6E2B6"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Participants were then provided four options to list the strategies they were using to obtain these feared sexual selves.</w:t>
      </w:r>
    </w:p>
    <w:p w14:paraId="7E2421FA"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b/>
        </w:rPr>
        <w:tab/>
        <w:t xml:space="preserve">Emerging adulthood scale. </w:t>
      </w:r>
      <w:r w:rsidRPr="009A1F4F">
        <w:rPr>
          <w:rFonts w:ascii="Times New Roman" w:hAnsi="Times New Roman" w:cs="Times New Roman"/>
        </w:rPr>
        <w:t xml:space="preserve">The </w:t>
      </w:r>
      <w:r w:rsidRPr="009A1F4F">
        <w:rPr>
          <w:rFonts w:ascii="Times New Roman" w:hAnsi="Times New Roman" w:cs="Times New Roman"/>
          <w:i/>
        </w:rPr>
        <w:t xml:space="preserve">Inventory of the Dimensions of Emerging Adulthood </w:t>
      </w:r>
      <w:r w:rsidRPr="009A1F4F">
        <w:rPr>
          <w:rFonts w:ascii="Times New Roman" w:hAnsi="Times New Roman" w:cs="Times New Roman"/>
        </w:rPr>
        <w:t xml:space="preserve">(IDEA scale; Reifman et al., 2007) measures the degree to which individuals feel they are experiencing the five distinct dimensions of emerging adulthood. Participants respond to a series of 31 questions regarding their perceptions of the past few </w:t>
      </w:r>
      <w:r w:rsidRPr="009A1F4F">
        <w:rPr>
          <w:rFonts w:ascii="Times New Roman" w:hAnsi="Times New Roman" w:cs="Times New Roman"/>
        </w:rPr>
        <w:lastRenderedPageBreak/>
        <w:t xml:space="preserve">years, their current lives, and the upcoming few years (i.e., a total of an approximate five year period) and their experiences of adulthood. </w:t>
      </w:r>
    </w:p>
    <w:p w14:paraId="4B38670F"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Participants are first provided the following prompt:</w:t>
      </w:r>
    </w:p>
    <w:p w14:paraId="4DD69260" w14:textId="77777777" w:rsidR="009A1F4F" w:rsidRPr="009A1F4F" w:rsidRDefault="009A1F4F" w:rsidP="009A1F4F">
      <w:pPr>
        <w:spacing w:line="480" w:lineRule="auto"/>
        <w:rPr>
          <w:rFonts w:ascii="Times New Roman" w:hAnsi="Times New Roman" w:cs="Times New Roman"/>
          <w:i/>
        </w:rPr>
      </w:pPr>
      <w:r w:rsidRPr="009A1F4F">
        <w:rPr>
          <w:rFonts w:ascii="Times New Roman" w:hAnsi="Times New Roman" w:cs="Times New Roman"/>
        </w:rPr>
        <w:tab/>
        <w:t xml:space="preserve">First, please think about this time in your life. By “time in your life,” we are referring to the present time, plus the last few years that have gone by and the next few years to come, as you see them. In short you should think about a roughly five-year period, with the present time right in the middle.” Participants are then asked to respond to a series of questions focusing on their experiences in this period as a(n): (a) </w:t>
      </w:r>
      <w:r w:rsidRPr="009A1F4F">
        <w:rPr>
          <w:rFonts w:ascii="Times New Roman" w:hAnsi="Times New Roman" w:cs="Times New Roman"/>
          <w:i/>
        </w:rPr>
        <w:t xml:space="preserve">age of feeling in-between </w:t>
      </w:r>
      <w:r w:rsidRPr="009A1F4F">
        <w:rPr>
          <w:rFonts w:ascii="Times New Roman" w:hAnsi="Times New Roman" w:cs="Times New Roman"/>
        </w:rPr>
        <w:t>(e.g., time of feeling adult in some ways but not others)</w:t>
      </w:r>
      <w:r w:rsidRPr="009A1F4F">
        <w:rPr>
          <w:rFonts w:ascii="Times New Roman" w:hAnsi="Times New Roman" w:cs="Times New Roman"/>
          <w:i/>
        </w:rPr>
        <w:t xml:space="preserve">, </w:t>
      </w:r>
      <w:r w:rsidRPr="009A1F4F">
        <w:rPr>
          <w:rFonts w:ascii="Times New Roman" w:hAnsi="Times New Roman" w:cs="Times New Roman"/>
        </w:rPr>
        <w:t xml:space="preserve">(b) </w:t>
      </w:r>
      <w:r w:rsidRPr="009A1F4F">
        <w:rPr>
          <w:rFonts w:ascii="Times New Roman" w:hAnsi="Times New Roman" w:cs="Times New Roman"/>
          <w:i/>
        </w:rPr>
        <w:t xml:space="preserve">period of identity exploration </w:t>
      </w:r>
      <w:r w:rsidRPr="009A1F4F">
        <w:rPr>
          <w:rFonts w:ascii="Times New Roman" w:hAnsi="Times New Roman" w:cs="Times New Roman"/>
        </w:rPr>
        <w:t>(e.g., time of deciding on your own beliefs and values</w:t>
      </w:r>
      <w:r w:rsidRPr="009A1F4F">
        <w:rPr>
          <w:rFonts w:ascii="Times New Roman" w:hAnsi="Times New Roman" w:cs="Times New Roman"/>
          <w:i/>
        </w:rPr>
        <w:t xml:space="preserve">, </w:t>
      </w:r>
      <w:r w:rsidRPr="009A1F4F">
        <w:rPr>
          <w:rFonts w:ascii="Times New Roman" w:hAnsi="Times New Roman" w:cs="Times New Roman"/>
        </w:rPr>
        <w:t xml:space="preserve">(c) </w:t>
      </w:r>
      <w:r w:rsidRPr="009A1F4F">
        <w:rPr>
          <w:rFonts w:ascii="Times New Roman" w:hAnsi="Times New Roman" w:cs="Times New Roman"/>
          <w:i/>
        </w:rPr>
        <w:t xml:space="preserve">age of possibilities </w:t>
      </w:r>
      <w:r w:rsidRPr="009A1F4F">
        <w:rPr>
          <w:rFonts w:ascii="Times New Roman" w:hAnsi="Times New Roman" w:cs="Times New Roman"/>
        </w:rPr>
        <w:t>(e.g., time of open choices)</w:t>
      </w:r>
      <w:r w:rsidRPr="009A1F4F">
        <w:rPr>
          <w:rFonts w:ascii="Times New Roman" w:hAnsi="Times New Roman" w:cs="Times New Roman"/>
          <w:i/>
        </w:rPr>
        <w:t xml:space="preserve">, </w:t>
      </w:r>
      <w:r w:rsidRPr="009A1F4F">
        <w:rPr>
          <w:rFonts w:ascii="Times New Roman" w:hAnsi="Times New Roman" w:cs="Times New Roman"/>
        </w:rPr>
        <w:t xml:space="preserve">(d) </w:t>
      </w:r>
      <w:r w:rsidRPr="009A1F4F">
        <w:rPr>
          <w:rFonts w:ascii="Times New Roman" w:hAnsi="Times New Roman" w:cs="Times New Roman"/>
          <w:i/>
        </w:rPr>
        <w:t xml:space="preserve">age of instability </w:t>
      </w:r>
      <w:r w:rsidRPr="009A1F4F">
        <w:rPr>
          <w:rFonts w:ascii="Times New Roman" w:hAnsi="Times New Roman" w:cs="Times New Roman"/>
        </w:rPr>
        <w:t>(e.g., time of confusion)</w:t>
      </w:r>
      <w:r w:rsidRPr="009A1F4F">
        <w:rPr>
          <w:rFonts w:ascii="Times New Roman" w:hAnsi="Times New Roman" w:cs="Times New Roman"/>
          <w:i/>
        </w:rPr>
        <w:t xml:space="preserve">, </w:t>
      </w:r>
      <w:r w:rsidRPr="009A1F4F">
        <w:rPr>
          <w:rFonts w:ascii="Times New Roman" w:hAnsi="Times New Roman" w:cs="Times New Roman"/>
        </w:rPr>
        <w:t xml:space="preserve">(e) </w:t>
      </w:r>
      <w:r w:rsidRPr="009A1F4F">
        <w:rPr>
          <w:rFonts w:ascii="Times New Roman" w:hAnsi="Times New Roman" w:cs="Times New Roman"/>
          <w:i/>
        </w:rPr>
        <w:t xml:space="preserve">time of self-focus/time of other-focus </w:t>
      </w:r>
      <w:r w:rsidRPr="009A1F4F">
        <w:rPr>
          <w:rFonts w:ascii="Times New Roman" w:hAnsi="Times New Roman" w:cs="Times New Roman"/>
        </w:rPr>
        <w:t xml:space="preserve">(e.g., time of responsibility for yourself). Responses range from (1) </w:t>
      </w:r>
      <w:r w:rsidRPr="009A1F4F">
        <w:rPr>
          <w:rFonts w:ascii="Times New Roman" w:hAnsi="Times New Roman" w:cs="Times New Roman"/>
          <w:i/>
        </w:rPr>
        <w:t xml:space="preserve">Strongly disagree </w:t>
      </w:r>
      <w:r w:rsidRPr="009A1F4F">
        <w:rPr>
          <w:rFonts w:ascii="Times New Roman" w:hAnsi="Times New Roman" w:cs="Times New Roman"/>
        </w:rPr>
        <w:t xml:space="preserve">to (4) </w:t>
      </w:r>
      <w:r w:rsidRPr="009A1F4F">
        <w:rPr>
          <w:rFonts w:ascii="Times New Roman" w:hAnsi="Times New Roman" w:cs="Times New Roman"/>
          <w:i/>
        </w:rPr>
        <w:t xml:space="preserve">Strongly agree. </w:t>
      </w:r>
      <w:r w:rsidRPr="009A1F4F">
        <w:rPr>
          <w:rFonts w:ascii="Times New Roman" w:hAnsi="Times New Roman" w:cs="Times New Roman"/>
        </w:rPr>
        <w:t xml:space="preserve">Reifman and colleagues (2007) indicate that the internal consistency for each subscale was between .70 and .85 (they did not specify exact alphas for each subscale). One study by Zorotovich (2014) comparing college and non-college emerging adults found the following alphas: .63 for </w:t>
      </w:r>
      <w:r w:rsidRPr="009A1F4F">
        <w:rPr>
          <w:rFonts w:ascii="Times New Roman" w:hAnsi="Times New Roman" w:cs="Times New Roman"/>
          <w:i/>
        </w:rPr>
        <w:t xml:space="preserve">time of self-focus, </w:t>
      </w:r>
      <w:r w:rsidRPr="009A1F4F">
        <w:rPr>
          <w:rFonts w:ascii="Times New Roman" w:hAnsi="Times New Roman" w:cs="Times New Roman"/>
        </w:rPr>
        <w:t xml:space="preserve">.66 for </w:t>
      </w:r>
      <w:r w:rsidRPr="009A1F4F">
        <w:rPr>
          <w:rFonts w:ascii="Times New Roman" w:hAnsi="Times New Roman" w:cs="Times New Roman"/>
          <w:i/>
        </w:rPr>
        <w:t xml:space="preserve">age of feeling in-between, </w:t>
      </w:r>
      <w:r w:rsidRPr="009A1F4F">
        <w:rPr>
          <w:rFonts w:ascii="Times New Roman" w:hAnsi="Times New Roman" w:cs="Times New Roman"/>
        </w:rPr>
        <w:t xml:space="preserve">.74 for </w:t>
      </w:r>
      <w:r w:rsidRPr="009A1F4F">
        <w:rPr>
          <w:rFonts w:ascii="Times New Roman" w:hAnsi="Times New Roman" w:cs="Times New Roman"/>
          <w:i/>
        </w:rPr>
        <w:t xml:space="preserve">age of identity exploration, </w:t>
      </w:r>
      <w:r w:rsidRPr="009A1F4F">
        <w:rPr>
          <w:rFonts w:ascii="Times New Roman" w:hAnsi="Times New Roman" w:cs="Times New Roman"/>
        </w:rPr>
        <w:t xml:space="preserve">.78 for </w:t>
      </w:r>
      <w:r w:rsidRPr="009A1F4F">
        <w:rPr>
          <w:rFonts w:ascii="Times New Roman" w:hAnsi="Times New Roman" w:cs="Times New Roman"/>
          <w:i/>
        </w:rPr>
        <w:t xml:space="preserve">age of possibilities, </w:t>
      </w:r>
      <w:r w:rsidRPr="009A1F4F">
        <w:rPr>
          <w:rFonts w:ascii="Times New Roman" w:hAnsi="Times New Roman" w:cs="Times New Roman"/>
        </w:rPr>
        <w:t xml:space="preserve">and .80 for </w:t>
      </w:r>
      <w:r w:rsidRPr="009A1F4F">
        <w:rPr>
          <w:rFonts w:ascii="Times New Roman" w:hAnsi="Times New Roman" w:cs="Times New Roman"/>
          <w:i/>
        </w:rPr>
        <w:t>age of instability.</w:t>
      </w:r>
    </w:p>
    <w:p w14:paraId="3BBA443E" w14:textId="77777777" w:rsidR="009A1F4F" w:rsidRPr="009A1F4F" w:rsidRDefault="009A1F4F" w:rsidP="009A1F4F">
      <w:pPr>
        <w:spacing w:line="480" w:lineRule="auto"/>
        <w:rPr>
          <w:rFonts w:ascii="Times New Roman" w:hAnsi="Times New Roman" w:cs="Times New Roman"/>
        </w:rPr>
      </w:pPr>
      <w:r w:rsidRPr="009A1F4F">
        <w:rPr>
          <w:rFonts w:ascii="Times New Roman" w:hAnsi="Times New Roman" w:cs="Times New Roman"/>
        </w:rPr>
        <w:tab/>
      </w:r>
      <w:r w:rsidRPr="009A1F4F">
        <w:rPr>
          <w:rFonts w:ascii="Times New Roman" w:hAnsi="Times New Roman" w:cs="Times New Roman"/>
          <w:b/>
        </w:rPr>
        <w:t xml:space="preserve">Group membership. </w:t>
      </w:r>
      <w:r w:rsidRPr="009A1F4F">
        <w:rPr>
          <w:rFonts w:ascii="Times New Roman" w:hAnsi="Times New Roman" w:cs="Times New Roman"/>
        </w:rPr>
        <w:t xml:space="preserve">Participants will be grouped based on (1) </w:t>
      </w:r>
      <w:r w:rsidRPr="009A1F4F">
        <w:rPr>
          <w:rFonts w:ascii="Times New Roman" w:hAnsi="Times New Roman" w:cs="Times New Roman"/>
          <w:i/>
        </w:rPr>
        <w:t xml:space="preserve">college attending emerging adult </w:t>
      </w:r>
      <w:r w:rsidRPr="009A1F4F">
        <w:rPr>
          <w:rFonts w:ascii="Times New Roman" w:hAnsi="Times New Roman" w:cs="Times New Roman"/>
        </w:rPr>
        <w:t xml:space="preserve">and (2) </w:t>
      </w:r>
      <w:r w:rsidRPr="009A1F4F">
        <w:rPr>
          <w:rFonts w:ascii="Times New Roman" w:hAnsi="Times New Roman" w:cs="Times New Roman"/>
          <w:i/>
        </w:rPr>
        <w:t>non-college attending emerging adult</w:t>
      </w:r>
      <w:r w:rsidRPr="009A1F4F">
        <w:rPr>
          <w:rFonts w:ascii="Times New Roman" w:hAnsi="Times New Roman" w:cs="Times New Roman"/>
        </w:rPr>
        <w:t xml:space="preserve">. </w:t>
      </w:r>
    </w:p>
    <w:p w14:paraId="73D8D06B"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 xml:space="preserve">Year in college. </w:t>
      </w:r>
      <w:r w:rsidRPr="009A1F4F">
        <w:rPr>
          <w:rFonts w:ascii="Times New Roman" w:hAnsi="Times New Roman" w:cs="Times New Roman"/>
        </w:rPr>
        <w:t xml:space="preserve">To verify that non-college individuals meet the education experience criteria (i.e., no degree and no prior enrollment), participants will report their </w:t>
      </w:r>
      <w:r w:rsidRPr="009A1F4F">
        <w:rPr>
          <w:rFonts w:ascii="Times New Roman" w:hAnsi="Times New Roman" w:cs="Times New Roman"/>
        </w:rPr>
        <w:lastRenderedPageBreak/>
        <w:t xml:space="preserve">current year in college. Response options will include: (0) </w:t>
      </w:r>
      <w:r w:rsidRPr="009A1F4F">
        <w:rPr>
          <w:rFonts w:ascii="Times New Roman" w:hAnsi="Times New Roman" w:cs="Times New Roman"/>
          <w:i/>
        </w:rPr>
        <w:t xml:space="preserve">Not enrolled in any form of postsecondary education (e.g., college), </w:t>
      </w:r>
      <w:r w:rsidRPr="009A1F4F">
        <w:rPr>
          <w:rFonts w:ascii="Times New Roman" w:hAnsi="Times New Roman" w:cs="Times New Roman"/>
        </w:rPr>
        <w:t xml:space="preserve">(1) </w:t>
      </w:r>
      <w:r w:rsidRPr="009A1F4F">
        <w:rPr>
          <w:rFonts w:ascii="Times New Roman" w:hAnsi="Times New Roman" w:cs="Times New Roman"/>
          <w:i/>
        </w:rPr>
        <w:t xml:space="preserve">Not currently enrolled in postsecondary education, but have been previously enrolled, </w:t>
      </w:r>
      <w:r w:rsidRPr="009A1F4F">
        <w:rPr>
          <w:rFonts w:ascii="Times New Roman" w:hAnsi="Times New Roman" w:cs="Times New Roman"/>
        </w:rPr>
        <w:t xml:space="preserve">(2) </w:t>
      </w:r>
      <w:r w:rsidRPr="009A1F4F">
        <w:rPr>
          <w:rFonts w:ascii="Times New Roman" w:hAnsi="Times New Roman" w:cs="Times New Roman"/>
          <w:i/>
        </w:rPr>
        <w:t>First year</w:t>
      </w:r>
      <w:r w:rsidRPr="009A1F4F">
        <w:rPr>
          <w:rFonts w:ascii="Times New Roman" w:hAnsi="Times New Roman" w:cs="Times New Roman"/>
        </w:rPr>
        <w:t xml:space="preserve">, (3) </w:t>
      </w:r>
      <w:r w:rsidRPr="009A1F4F">
        <w:rPr>
          <w:rFonts w:ascii="Times New Roman" w:hAnsi="Times New Roman" w:cs="Times New Roman"/>
          <w:i/>
        </w:rPr>
        <w:t xml:space="preserve">Second year, </w:t>
      </w:r>
      <w:r w:rsidRPr="009A1F4F">
        <w:rPr>
          <w:rFonts w:ascii="Times New Roman" w:hAnsi="Times New Roman" w:cs="Times New Roman"/>
        </w:rPr>
        <w:t xml:space="preserve">(4) </w:t>
      </w:r>
      <w:r w:rsidRPr="009A1F4F">
        <w:rPr>
          <w:rFonts w:ascii="Times New Roman" w:hAnsi="Times New Roman" w:cs="Times New Roman"/>
          <w:i/>
        </w:rPr>
        <w:t xml:space="preserve">Third year, </w:t>
      </w:r>
      <w:r w:rsidRPr="009A1F4F">
        <w:rPr>
          <w:rFonts w:ascii="Times New Roman" w:hAnsi="Times New Roman" w:cs="Times New Roman"/>
        </w:rPr>
        <w:t xml:space="preserve">(5) </w:t>
      </w:r>
      <w:r w:rsidRPr="009A1F4F">
        <w:rPr>
          <w:rFonts w:ascii="Times New Roman" w:hAnsi="Times New Roman" w:cs="Times New Roman"/>
          <w:i/>
        </w:rPr>
        <w:t xml:space="preserve">Fourth year, </w:t>
      </w:r>
      <w:r w:rsidRPr="009A1F4F">
        <w:rPr>
          <w:rFonts w:ascii="Times New Roman" w:hAnsi="Times New Roman" w:cs="Times New Roman"/>
        </w:rPr>
        <w:t xml:space="preserve">(6) </w:t>
      </w:r>
      <w:r w:rsidRPr="009A1F4F">
        <w:rPr>
          <w:rFonts w:ascii="Times New Roman" w:hAnsi="Times New Roman" w:cs="Times New Roman"/>
          <w:i/>
        </w:rPr>
        <w:t>Fifth year or more</w:t>
      </w:r>
      <w:r w:rsidRPr="009A1F4F">
        <w:rPr>
          <w:rFonts w:ascii="Times New Roman" w:hAnsi="Times New Roman" w:cs="Times New Roman"/>
        </w:rPr>
        <w:t xml:space="preserve">.  </w:t>
      </w:r>
    </w:p>
    <w:p w14:paraId="5FC0872A"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Sex.</w:t>
      </w:r>
      <w:r w:rsidRPr="009A1F4F">
        <w:rPr>
          <w:rFonts w:ascii="Times New Roman" w:hAnsi="Times New Roman" w:cs="Times New Roman"/>
        </w:rPr>
        <w:t xml:space="preserve"> Participants will indicate their sex as (1) </w:t>
      </w:r>
      <w:r w:rsidRPr="009A1F4F">
        <w:rPr>
          <w:rFonts w:ascii="Times New Roman" w:hAnsi="Times New Roman" w:cs="Times New Roman"/>
          <w:i/>
        </w:rPr>
        <w:t>Male</w:t>
      </w:r>
      <w:r w:rsidRPr="009A1F4F">
        <w:rPr>
          <w:rFonts w:ascii="Times New Roman" w:hAnsi="Times New Roman" w:cs="Times New Roman"/>
        </w:rPr>
        <w:t xml:space="preserve">, (2) </w:t>
      </w:r>
      <w:r w:rsidRPr="009A1F4F">
        <w:rPr>
          <w:rFonts w:ascii="Times New Roman" w:hAnsi="Times New Roman" w:cs="Times New Roman"/>
          <w:i/>
        </w:rPr>
        <w:t>Female</w:t>
      </w:r>
      <w:r w:rsidRPr="009A1F4F">
        <w:rPr>
          <w:rFonts w:ascii="Times New Roman" w:hAnsi="Times New Roman" w:cs="Times New Roman"/>
        </w:rPr>
        <w:t xml:space="preserve">, or (3) </w:t>
      </w:r>
      <w:r w:rsidRPr="009A1F4F">
        <w:rPr>
          <w:rFonts w:ascii="Times New Roman" w:hAnsi="Times New Roman" w:cs="Times New Roman"/>
          <w:i/>
        </w:rPr>
        <w:t>Other</w:t>
      </w:r>
      <w:r w:rsidRPr="009A1F4F">
        <w:rPr>
          <w:rFonts w:ascii="Times New Roman" w:hAnsi="Times New Roman" w:cs="Times New Roman"/>
        </w:rPr>
        <w:t>, please specify.</w:t>
      </w:r>
    </w:p>
    <w:p w14:paraId="780E3E7B" w14:textId="77777777" w:rsidR="009A1F4F" w:rsidRPr="009A1F4F" w:rsidRDefault="009A1F4F" w:rsidP="009A1F4F">
      <w:pPr>
        <w:spacing w:line="480" w:lineRule="auto"/>
        <w:ind w:firstLine="720"/>
        <w:rPr>
          <w:rFonts w:ascii="Times New Roman" w:hAnsi="Times New Roman" w:cs="Times New Roman"/>
          <w:b/>
          <w:i/>
        </w:rPr>
      </w:pPr>
      <w:r w:rsidRPr="009A1F4F">
        <w:rPr>
          <w:rFonts w:ascii="Times New Roman" w:hAnsi="Times New Roman" w:cs="Times New Roman"/>
          <w:b/>
        </w:rPr>
        <w:t xml:space="preserve">Sexual education exposure. </w:t>
      </w:r>
      <w:r w:rsidRPr="009A1F4F">
        <w:rPr>
          <w:rFonts w:ascii="Times New Roman" w:hAnsi="Times New Roman" w:cs="Times New Roman"/>
        </w:rPr>
        <w:t xml:space="preserve"> Participants will report their previous sexual education exposure through the following question, “Which of the following types of sex education have you been exposed to (choose all that apply)?” Response options will include: (0) </w:t>
      </w:r>
      <w:r w:rsidRPr="009A1F4F">
        <w:rPr>
          <w:rFonts w:ascii="Times New Roman" w:hAnsi="Times New Roman" w:cs="Times New Roman"/>
          <w:i/>
        </w:rPr>
        <w:t xml:space="preserve">I have never been exposed to sex education, </w:t>
      </w:r>
      <w:r w:rsidRPr="009A1F4F">
        <w:rPr>
          <w:rFonts w:ascii="Times New Roman" w:hAnsi="Times New Roman" w:cs="Times New Roman"/>
        </w:rPr>
        <w:t xml:space="preserve">(1) </w:t>
      </w:r>
      <w:r w:rsidRPr="009A1F4F">
        <w:rPr>
          <w:rFonts w:ascii="Times New Roman" w:hAnsi="Times New Roman" w:cs="Times New Roman"/>
          <w:i/>
        </w:rPr>
        <w:t>Abstinence,</w:t>
      </w:r>
      <w:r w:rsidRPr="009A1F4F">
        <w:rPr>
          <w:rFonts w:ascii="Times New Roman" w:hAnsi="Times New Roman" w:cs="Times New Roman"/>
        </w:rPr>
        <w:t xml:space="preserve"> (2) </w:t>
      </w:r>
      <w:r w:rsidRPr="009A1F4F">
        <w:rPr>
          <w:rFonts w:ascii="Times New Roman" w:hAnsi="Times New Roman" w:cs="Times New Roman"/>
          <w:i/>
        </w:rPr>
        <w:t xml:space="preserve">Male and female reproductive anatomy (parts, names, functions), </w:t>
      </w:r>
      <w:r w:rsidRPr="009A1F4F">
        <w:rPr>
          <w:rFonts w:ascii="Times New Roman" w:hAnsi="Times New Roman" w:cs="Times New Roman"/>
        </w:rPr>
        <w:t xml:space="preserve">(3) </w:t>
      </w:r>
      <w:r w:rsidRPr="009A1F4F">
        <w:rPr>
          <w:rFonts w:ascii="Times New Roman" w:hAnsi="Times New Roman" w:cs="Times New Roman"/>
          <w:i/>
        </w:rPr>
        <w:t xml:space="preserve">Causes of pregnancy (i.e., penile-vaginal intercourse), </w:t>
      </w:r>
      <w:r w:rsidRPr="009A1F4F">
        <w:rPr>
          <w:rFonts w:ascii="Times New Roman" w:hAnsi="Times New Roman" w:cs="Times New Roman"/>
        </w:rPr>
        <w:t xml:space="preserve">(4) </w:t>
      </w:r>
      <w:r w:rsidRPr="009A1F4F">
        <w:rPr>
          <w:rFonts w:ascii="Times New Roman" w:hAnsi="Times New Roman" w:cs="Times New Roman"/>
          <w:i/>
        </w:rPr>
        <w:t xml:space="preserve">Methods of contraception (condoms, birth controls, etc), </w:t>
      </w:r>
      <w:r w:rsidRPr="009A1F4F">
        <w:rPr>
          <w:rFonts w:ascii="Times New Roman" w:hAnsi="Times New Roman" w:cs="Times New Roman"/>
        </w:rPr>
        <w:t xml:space="preserve">(5) </w:t>
      </w:r>
      <w:r w:rsidRPr="009A1F4F">
        <w:rPr>
          <w:rFonts w:ascii="Times New Roman" w:hAnsi="Times New Roman" w:cs="Times New Roman"/>
          <w:i/>
        </w:rPr>
        <w:t>Sexually transmitted diseases/infections,</w:t>
      </w:r>
      <w:r w:rsidRPr="009A1F4F">
        <w:rPr>
          <w:rFonts w:ascii="Times New Roman" w:hAnsi="Times New Roman" w:cs="Times New Roman"/>
        </w:rPr>
        <w:t xml:space="preserve"> (6) </w:t>
      </w:r>
      <w:r w:rsidRPr="009A1F4F">
        <w:rPr>
          <w:rFonts w:ascii="Times New Roman" w:hAnsi="Times New Roman" w:cs="Times New Roman"/>
          <w:i/>
        </w:rPr>
        <w:t>Puberty,</w:t>
      </w:r>
      <w:r w:rsidRPr="009A1F4F">
        <w:rPr>
          <w:rFonts w:ascii="Times New Roman" w:hAnsi="Times New Roman" w:cs="Times New Roman"/>
        </w:rPr>
        <w:t xml:space="preserve"> (7) </w:t>
      </w:r>
      <w:r w:rsidRPr="009A1F4F">
        <w:rPr>
          <w:rFonts w:ascii="Times New Roman" w:hAnsi="Times New Roman" w:cs="Times New Roman"/>
          <w:i/>
        </w:rPr>
        <w:t xml:space="preserve">Different types of sexual behaviors (e.g., oral sex, vaginal intercourse), </w:t>
      </w:r>
      <w:r w:rsidRPr="009A1F4F">
        <w:rPr>
          <w:rFonts w:ascii="Times New Roman" w:hAnsi="Times New Roman" w:cs="Times New Roman"/>
        </w:rPr>
        <w:t xml:space="preserve">(8) </w:t>
      </w:r>
      <w:r w:rsidRPr="009A1F4F">
        <w:rPr>
          <w:rFonts w:ascii="Times New Roman" w:hAnsi="Times New Roman" w:cs="Times New Roman"/>
          <w:i/>
        </w:rPr>
        <w:t xml:space="preserve">Other. </w:t>
      </w:r>
      <w:r w:rsidRPr="009A1F4F">
        <w:rPr>
          <w:rFonts w:ascii="Times New Roman" w:hAnsi="Times New Roman" w:cs="Times New Roman"/>
        </w:rPr>
        <w:t>Participants will then be provided a space to list other types of sexual education.</w:t>
      </w:r>
    </w:p>
    <w:p w14:paraId="557FE7EC"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Romantic Relationship.</w:t>
      </w:r>
      <w:r w:rsidRPr="009A1F4F">
        <w:rPr>
          <w:rFonts w:ascii="Times New Roman" w:hAnsi="Times New Roman" w:cs="Times New Roman"/>
        </w:rPr>
        <w:t xml:space="preserve"> Participants will report whether or not they are in an exclusive romantic relationship, non-exclusive romantic relationship, or no romantic relationship (i.e., romantically uninvolved). Response options will include: (1) </w:t>
      </w:r>
      <w:r w:rsidRPr="009A1F4F">
        <w:rPr>
          <w:rFonts w:ascii="Times New Roman" w:hAnsi="Times New Roman" w:cs="Times New Roman"/>
          <w:i/>
        </w:rPr>
        <w:t>no relationship</w:t>
      </w:r>
      <w:r w:rsidRPr="009A1F4F">
        <w:rPr>
          <w:rFonts w:ascii="Times New Roman" w:hAnsi="Times New Roman" w:cs="Times New Roman"/>
        </w:rPr>
        <w:t xml:space="preserve">, (2) </w:t>
      </w:r>
      <w:r w:rsidRPr="009A1F4F">
        <w:rPr>
          <w:rFonts w:ascii="Times New Roman" w:hAnsi="Times New Roman" w:cs="Times New Roman"/>
          <w:i/>
        </w:rPr>
        <w:t>non-exclusive relationship</w:t>
      </w:r>
      <w:r w:rsidRPr="009A1F4F">
        <w:rPr>
          <w:rFonts w:ascii="Times New Roman" w:hAnsi="Times New Roman" w:cs="Times New Roman"/>
        </w:rPr>
        <w:t xml:space="preserve"> (e.g., hookup partners, friends with benefits, and dating non-exclusively), and (3) </w:t>
      </w:r>
      <w:r w:rsidRPr="009A1F4F">
        <w:rPr>
          <w:rFonts w:ascii="Times New Roman" w:hAnsi="Times New Roman" w:cs="Times New Roman"/>
          <w:i/>
        </w:rPr>
        <w:t>exclusive relationship</w:t>
      </w:r>
      <w:r w:rsidRPr="009A1F4F">
        <w:rPr>
          <w:rFonts w:ascii="Times New Roman" w:hAnsi="Times New Roman" w:cs="Times New Roman"/>
        </w:rPr>
        <w:t xml:space="preserve"> (e.g., dating exclusively, cohabitating, engaged, married).</w:t>
      </w:r>
    </w:p>
    <w:p w14:paraId="26F130A9"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lastRenderedPageBreak/>
        <w:t xml:space="preserve">Intercourse experience. </w:t>
      </w:r>
      <w:r w:rsidRPr="009A1F4F">
        <w:rPr>
          <w:rFonts w:ascii="Times New Roman" w:hAnsi="Times New Roman" w:cs="Times New Roman"/>
        </w:rPr>
        <w:t xml:space="preserve">Participants’ intercourse experience will be measured to determine whether they are sexually active prior to this study. Participants will indicate whether they have engaged in consensual oral sex (given or received), genital-to-genital rubbing (i.e., tribadism), penile-vaginal intercourse, and/or penile-anal intercourse with another partner in their lifetime. Participants will first be asked, “Have you ever given or received consensual oral sex in your lifetime?” Response options include: (0) </w:t>
      </w:r>
      <w:r w:rsidRPr="009A1F4F">
        <w:rPr>
          <w:rFonts w:ascii="Times New Roman" w:hAnsi="Times New Roman" w:cs="Times New Roman"/>
          <w:i/>
        </w:rPr>
        <w:t>No oral sex</w:t>
      </w:r>
      <w:r w:rsidRPr="009A1F4F">
        <w:rPr>
          <w:rFonts w:ascii="Times New Roman" w:hAnsi="Times New Roman" w:cs="Times New Roman"/>
        </w:rPr>
        <w:t xml:space="preserve"> or (1) </w:t>
      </w:r>
      <w:r w:rsidRPr="009A1F4F">
        <w:rPr>
          <w:rFonts w:ascii="Times New Roman" w:hAnsi="Times New Roman" w:cs="Times New Roman"/>
          <w:i/>
        </w:rPr>
        <w:t>Had oral sex</w:t>
      </w:r>
      <w:r w:rsidRPr="009A1F4F">
        <w:rPr>
          <w:rFonts w:ascii="Times New Roman" w:hAnsi="Times New Roman" w:cs="Times New Roman"/>
        </w:rPr>
        <w:t xml:space="preserve">. Participants will next be asked, “Have you ever engaged in consensual genital-to-genital rubbing (tribadism) in your lifetime?” Response options include: (0) </w:t>
      </w:r>
      <w:r w:rsidRPr="009A1F4F">
        <w:rPr>
          <w:rFonts w:ascii="Times New Roman" w:hAnsi="Times New Roman" w:cs="Times New Roman"/>
          <w:i/>
        </w:rPr>
        <w:t>No genital rubbing</w:t>
      </w:r>
      <w:r w:rsidRPr="009A1F4F">
        <w:rPr>
          <w:rFonts w:ascii="Times New Roman" w:hAnsi="Times New Roman" w:cs="Times New Roman"/>
        </w:rPr>
        <w:t xml:space="preserve"> or (1) </w:t>
      </w:r>
      <w:r w:rsidRPr="009A1F4F">
        <w:rPr>
          <w:rFonts w:ascii="Times New Roman" w:hAnsi="Times New Roman" w:cs="Times New Roman"/>
          <w:i/>
        </w:rPr>
        <w:t>Genital rubbing</w:t>
      </w:r>
      <w:r w:rsidRPr="009A1F4F">
        <w:rPr>
          <w:rFonts w:ascii="Times New Roman" w:hAnsi="Times New Roman" w:cs="Times New Roman"/>
        </w:rPr>
        <w:t xml:space="preserve">. Participants will next be asked, “Have you ever engaged in consensual penile-vaginal intercourse in your lifetime (vaginal sex)?” Response options include: (0) </w:t>
      </w:r>
      <w:r w:rsidRPr="009A1F4F">
        <w:rPr>
          <w:rFonts w:ascii="Times New Roman" w:hAnsi="Times New Roman" w:cs="Times New Roman"/>
          <w:i/>
        </w:rPr>
        <w:t>No penile-vaginal intercourse</w:t>
      </w:r>
      <w:r w:rsidRPr="009A1F4F">
        <w:rPr>
          <w:rFonts w:ascii="Times New Roman" w:hAnsi="Times New Roman" w:cs="Times New Roman"/>
        </w:rPr>
        <w:t xml:space="preserve"> or (1) </w:t>
      </w:r>
      <w:r w:rsidRPr="009A1F4F">
        <w:rPr>
          <w:rFonts w:ascii="Times New Roman" w:hAnsi="Times New Roman" w:cs="Times New Roman"/>
          <w:i/>
        </w:rPr>
        <w:t>Had penile-vaginal intercourse</w:t>
      </w:r>
      <w:r w:rsidRPr="009A1F4F">
        <w:rPr>
          <w:rFonts w:ascii="Times New Roman" w:hAnsi="Times New Roman" w:cs="Times New Roman"/>
        </w:rPr>
        <w:t xml:space="preserve">. Lastly, participants will be asked, “Have you ever engaged in consensual penile-anal intercourse in your lifetime (anal sex)?” Response options include: (0) </w:t>
      </w:r>
      <w:r w:rsidRPr="009A1F4F">
        <w:rPr>
          <w:rFonts w:ascii="Times New Roman" w:hAnsi="Times New Roman" w:cs="Times New Roman"/>
          <w:i/>
        </w:rPr>
        <w:t xml:space="preserve">No penile-anal intercourse </w:t>
      </w:r>
      <w:r w:rsidRPr="009A1F4F">
        <w:rPr>
          <w:rFonts w:ascii="Times New Roman" w:hAnsi="Times New Roman" w:cs="Times New Roman"/>
        </w:rPr>
        <w:t xml:space="preserve">or (1) </w:t>
      </w:r>
      <w:r w:rsidRPr="009A1F4F">
        <w:rPr>
          <w:rFonts w:ascii="Times New Roman" w:hAnsi="Times New Roman" w:cs="Times New Roman"/>
          <w:i/>
        </w:rPr>
        <w:t>Had penile-anal intercourse</w:t>
      </w:r>
      <w:r w:rsidRPr="009A1F4F">
        <w:rPr>
          <w:rFonts w:ascii="Times New Roman" w:hAnsi="Times New Roman" w:cs="Times New Roman"/>
        </w:rPr>
        <w:t xml:space="preserve">. History of all four types of intercourse behaviors will be collected to account for individuals identifying as sexual minorities. Responses will then be recoded to (0) </w:t>
      </w:r>
      <w:r w:rsidRPr="009A1F4F">
        <w:rPr>
          <w:rFonts w:ascii="Times New Roman" w:hAnsi="Times New Roman" w:cs="Times New Roman"/>
          <w:i/>
        </w:rPr>
        <w:t xml:space="preserve">No intercourse experience </w:t>
      </w:r>
      <w:r w:rsidRPr="009A1F4F">
        <w:rPr>
          <w:rFonts w:ascii="Times New Roman" w:hAnsi="Times New Roman" w:cs="Times New Roman"/>
        </w:rPr>
        <w:t xml:space="preserve">or (1) </w:t>
      </w:r>
      <w:r w:rsidRPr="009A1F4F">
        <w:rPr>
          <w:rFonts w:ascii="Times New Roman" w:hAnsi="Times New Roman" w:cs="Times New Roman"/>
          <w:i/>
        </w:rPr>
        <w:t xml:space="preserve">Had intercourse experience </w:t>
      </w:r>
      <w:r w:rsidRPr="009A1F4F">
        <w:rPr>
          <w:rFonts w:ascii="Times New Roman" w:hAnsi="Times New Roman" w:cs="Times New Roman"/>
        </w:rPr>
        <w:t xml:space="preserve">based on participation in </w:t>
      </w:r>
      <w:r w:rsidRPr="009A1F4F">
        <w:rPr>
          <w:rFonts w:ascii="Times New Roman" w:hAnsi="Times New Roman" w:cs="Times New Roman"/>
          <w:i/>
        </w:rPr>
        <w:t>any</w:t>
      </w:r>
      <w:r w:rsidRPr="009A1F4F">
        <w:rPr>
          <w:rFonts w:ascii="Times New Roman" w:hAnsi="Times New Roman" w:cs="Times New Roman"/>
        </w:rPr>
        <w:t xml:space="preserve"> form of intercourse experience.</w:t>
      </w:r>
    </w:p>
    <w:p w14:paraId="0DE49AC4"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 xml:space="preserve">Religiosity. </w:t>
      </w:r>
      <w:r w:rsidRPr="009A1F4F">
        <w:rPr>
          <w:rFonts w:ascii="Times New Roman" w:hAnsi="Times New Roman" w:cs="Times New Roman"/>
        </w:rPr>
        <w:t xml:space="preserve">Participants’ religiosity will be measured by asking them to indicate the level of intensity of their religious beliefs on a continuous scale of (0) </w:t>
      </w:r>
      <w:r w:rsidRPr="009A1F4F">
        <w:rPr>
          <w:rFonts w:ascii="Times New Roman" w:hAnsi="Times New Roman" w:cs="Times New Roman"/>
          <w:i/>
        </w:rPr>
        <w:t xml:space="preserve">not at all intense </w:t>
      </w:r>
      <w:r w:rsidRPr="009A1F4F">
        <w:rPr>
          <w:rFonts w:ascii="Times New Roman" w:hAnsi="Times New Roman" w:cs="Times New Roman"/>
        </w:rPr>
        <w:t xml:space="preserve">to (20) </w:t>
      </w:r>
      <w:r w:rsidRPr="009A1F4F">
        <w:rPr>
          <w:rFonts w:ascii="Times New Roman" w:hAnsi="Times New Roman" w:cs="Times New Roman"/>
          <w:i/>
        </w:rPr>
        <w:t>very intense</w:t>
      </w:r>
      <w:r w:rsidRPr="009A1F4F">
        <w:rPr>
          <w:rFonts w:ascii="Times New Roman" w:hAnsi="Times New Roman" w:cs="Times New Roman"/>
        </w:rPr>
        <w:t>.</w:t>
      </w:r>
    </w:p>
    <w:p w14:paraId="1611FCBD" w14:textId="77777777" w:rsidR="009A1F4F" w:rsidRPr="009A1F4F" w:rsidRDefault="009A1F4F" w:rsidP="009A1F4F">
      <w:pPr>
        <w:spacing w:line="480" w:lineRule="auto"/>
        <w:rPr>
          <w:rFonts w:ascii="Times New Roman" w:hAnsi="Times New Roman" w:cs="Times New Roman"/>
          <w:b/>
        </w:rPr>
      </w:pPr>
      <w:r w:rsidRPr="009A1F4F">
        <w:rPr>
          <w:rFonts w:ascii="Times New Roman" w:hAnsi="Times New Roman" w:cs="Times New Roman"/>
          <w:b/>
        </w:rPr>
        <w:t>Analyses</w:t>
      </w:r>
    </w:p>
    <w:p w14:paraId="4B19A697"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lastRenderedPageBreak/>
        <w:t>Open-ended response coding.</w:t>
      </w:r>
      <w:r w:rsidRPr="009A1F4F">
        <w:rPr>
          <w:rFonts w:ascii="Times New Roman" w:hAnsi="Times New Roman" w:cs="Times New Roman"/>
        </w:rPr>
        <w:t xml:space="preserve"> Participants’ open-ended responses of their sexual possible selves, feared possible selves, and associated behavioral strategies will be examined using qualitative content analysis (RQ1 and RQ2; Krippendorff, 2013). First, responses will be carefully examined by three trained coders (i.e., the first author, one faculty, and an additional graduate student) for recurring topics or themes across responses, and keywords (i.e., units; Krippendorff, 2013) will be created as the basis for developing coding categories. This technique will be done intermittently between college attending participants and non-college attending participants as to avoid biases (i.e., we will code 10 responses from one group and then 10 from the other group; Creswell, 2007). Using these identified coding categories, a coding of the SPS responses will then be conducted to categorize each individual’s responses. Again, coding will be staggered between groups to avoid biases (i.e., every 10 responses). Additionally, common qualitative techniques will be used throughout the analyses including: memoing, use of multiple coders, and inter-coder reliability (Creswell, 2007).  </w:t>
      </w:r>
    </w:p>
    <w:p w14:paraId="3218D715"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Comparisons between college attending and non-college attending sexual possible selves categories will be conducted in two ways. First, the emergence of specific categories will be analyzed to examine differences between the sexual themes that are prevalent for each population (RQ3). This will be examined through a series of chi-square tests to compare the proportion of each group </w:t>
      </w:r>
      <w:r w:rsidRPr="009A1F4F">
        <w:rPr>
          <w:rFonts w:ascii="Times New Roman" w:hAnsi="Times New Roman" w:cs="Times New Roman"/>
          <w:i/>
        </w:rPr>
        <w:t>who</w:t>
      </w:r>
      <w:r w:rsidRPr="009A1F4F">
        <w:rPr>
          <w:rFonts w:ascii="Times New Roman" w:hAnsi="Times New Roman" w:cs="Times New Roman"/>
        </w:rPr>
        <w:t xml:space="preserve"> </w:t>
      </w:r>
      <w:r w:rsidRPr="009A1F4F">
        <w:rPr>
          <w:rFonts w:ascii="Times New Roman" w:hAnsi="Times New Roman" w:cs="Times New Roman"/>
          <w:i/>
        </w:rPr>
        <w:t>reported</w:t>
      </w:r>
      <w:r w:rsidRPr="009A1F4F">
        <w:rPr>
          <w:rFonts w:ascii="Times New Roman" w:hAnsi="Times New Roman" w:cs="Times New Roman"/>
        </w:rPr>
        <w:t xml:space="preserve"> a SPS or strategy in each category (coded as one). The initial emergence of themes, along with group comparisons, can be indicative of differences in the experiences between groups, particularly in their expectations and fears about sexuality. Second, quantitative </w:t>
      </w:r>
      <w:r w:rsidRPr="009A1F4F">
        <w:rPr>
          <w:rFonts w:ascii="Times New Roman" w:hAnsi="Times New Roman" w:cs="Times New Roman"/>
        </w:rPr>
        <w:lastRenderedPageBreak/>
        <w:t>comparisons will be conducted by examining frequencies and salience of categories, along with examining differences in the articulation of their behavioral strategies (described below).</w:t>
      </w:r>
    </w:p>
    <w:p w14:paraId="7E000D80"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b/>
        </w:rPr>
        <w:t>Quantitative analyses.</w:t>
      </w:r>
      <w:r w:rsidRPr="009A1F4F">
        <w:rPr>
          <w:rFonts w:ascii="Times New Roman" w:hAnsi="Times New Roman" w:cs="Times New Roman"/>
        </w:rPr>
        <w:t xml:space="preserve"> After open-ended responses are categorized, frequencies of each of the categories of both expected and feared sexual possible selves and strategies will be calculated and examined for comparisons (RQ3). Similar to Anders and colleagues (under review), salience scores will then be calculated for each individual for each category to examine which categories are most prominent. The mean scores of salience variables provide broad descriptions of SPS categories that are most commonly reported and provide insight into the salience of each individual’s goals (Oyserman et al., 2004). Comparisons of the articulation of specific behavioral strategies will be conducted between college attending and non-college attending participants. These comparisons will address gaps in knowledge that may prevent goal attainment or avoidance (for the feared selves), and will also highlight specific areas where one group has more exposure or knowledge than the other (i.e., highlighting gaps in education). Further, demographic comparisons based on </w:t>
      </w:r>
      <w:r w:rsidRPr="009A1F4F">
        <w:rPr>
          <w:rFonts w:ascii="Times New Roman" w:hAnsi="Times New Roman" w:cs="Times New Roman"/>
          <w:i/>
        </w:rPr>
        <w:t xml:space="preserve">sex, relationship status, sexual education experience, intercourse experience, </w:t>
      </w:r>
      <w:r w:rsidRPr="009A1F4F">
        <w:rPr>
          <w:rFonts w:ascii="Times New Roman" w:hAnsi="Times New Roman" w:cs="Times New Roman"/>
        </w:rPr>
        <w:t xml:space="preserve">and </w:t>
      </w:r>
      <w:r w:rsidRPr="009A1F4F">
        <w:rPr>
          <w:rFonts w:ascii="Times New Roman" w:hAnsi="Times New Roman" w:cs="Times New Roman"/>
          <w:i/>
        </w:rPr>
        <w:t xml:space="preserve">religiosity </w:t>
      </w:r>
      <w:r w:rsidRPr="009A1F4F">
        <w:rPr>
          <w:rFonts w:ascii="Times New Roman" w:hAnsi="Times New Roman" w:cs="Times New Roman"/>
        </w:rPr>
        <w:t xml:space="preserve">will be examined through a series of chi-square tests to examine for demographic differences of the proportion of each group </w:t>
      </w:r>
      <w:r w:rsidRPr="009A1F4F">
        <w:rPr>
          <w:rFonts w:ascii="Times New Roman" w:hAnsi="Times New Roman" w:cs="Times New Roman"/>
          <w:i/>
        </w:rPr>
        <w:t>who</w:t>
      </w:r>
      <w:r w:rsidRPr="009A1F4F">
        <w:rPr>
          <w:rFonts w:ascii="Times New Roman" w:hAnsi="Times New Roman" w:cs="Times New Roman"/>
        </w:rPr>
        <w:t xml:space="preserve"> </w:t>
      </w:r>
      <w:r w:rsidRPr="009A1F4F">
        <w:rPr>
          <w:rFonts w:ascii="Times New Roman" w:hAnsi="Times New Roman" w:cs="Times New Roman"/>
          <w:i/>
        </w:rPr>
        <w:t>reported</w:t>
      </w:r>
      <w:r w:rsidRPr="009A1F4F">
        <w:rPr>
          <w:rFonts w:ascii="Times New Roman" w:hAnsi="Times New Roman" w:cs="Times New Roman"/>
        </w:rPr>
        <w:t xml:space="preserve"> a SPS or strategy in each category (coded as one).</w:t>
      </w:r>
    </w:p>
    <w:p w14:paraId="6312F5A3" w14:textId="77777777" w:rsidR="009A1F4F" w:rsidRPr="009A1F4F" w:rsidRDefault="009A1F4F" w:rsidP="009A1F4F">
      <w:pPr>
        <w:spacing w:line="480" w:lineRule="auto"/>
        <w:ind w:firstLine="720"/>
        <w:rPr>
          <w:rFonts w:ascii="Times New Roman" w:hAnsi="Times New Roman" w:cs="Times New Roman"/>
        </w:rPr>
      </w:pPr>
      <w:r w:rsidRPr="009A1F4F">
        <w:rPr>
          <w:rFonts w:ascii="Times New Roman" w:hAnsi="Times New Roman" w:cs="Times New Roman"/>
        </w:rPr>
        <w:t xml:space="preserve">Variability of college attending and non-college attending individuals’ perceptions of emerging adulthood (i.e., IDEA scale) will be examined in relation to their reported sexual possible selves. This will be conducted through a series of binomial </w:t>
      </w:r>
      <w:r w:rsidRPr="009A1F4F">
        <w:rPr>
          <w:rFonts w:ascii="Times New Roman" w:hAnsi="Times New Roman" w:cs="Times New Roman"/>
        </w:rPr>
        <w:lastRenderedPageBreak/>
        <w:t xml:space="preserve">(binary) logistic regressions examining the IDEA scale (continuous IV), college attendance (dichotomous IV), and SPS (dichotomous DV). Binomial logistic regressions is an extension of linear regression models that attempts to predict the probability that an observation falls into one of two categories of a dichotomous dependent variable based on one or more independent variables that can be either continuous or categorical. Specifically, I will predict the probability that an average score of each IDEA subscale (e.g., age of possibilities) between those </w:t>
      </w:r>
      <w:r w:rsidRPr="009A1F4F">
        <w:rPr>
          <w:rFonts w:ascii="Times New Roman" w:hAnsi="Times New Roman" w:cs="Times New Roman"/>
          <w:i/>
        </w:rPr>
        <w:t>who indicated</w:t>
      </w:r>
      <w:r w:rsidRPr="009A1F4F">
        <w:rPr>
          <w:rFonts w:ascii="Times New Roman" w:hAnsi="Times New Roman" w:cs="Times New Roman"/>
        </w:rPr>
        <w:t xml:space="preserve"> a SPS and feared selves and strategies for each category (coded as one) and those </w:t>
      </w:r>
      <w:r w:rsidRPr="009A1F4F">
        <w:rPr>
          <w:rFonts w:ascii="Times New Roman" w:hAnsi="Times New Roman" w:cs="Times New Roman"/>
          <w:i/>
        </w:rPr>
        <w:t>who did not</w:t>
      </w:r>
      <w:r w:rsidRPr="009A1F4F">
        <w:rPr>
          <w:rFonts w:ascii="Times New Roman" w:hAnsi="Times New Roman" w:cs="Times New Roman"/>
        </w:rPr>
        <w:t xml:space="preserve"> </w:t>
      </w:r>
      <w:r w:rsidRPr="009A1F4F">
        <w:rPr>
          <w:rFonts w:ascii="Times New Roman" w:hAnsi="Times New Roman" w:cs="Times New Roman"/>
          <w:i/>
        </w:rPr>
        <w:t>indicate</w:t>
      </w:r>
      <w:r w:rsidRPr="009A1F4F">
        <w:rPr>
          <w:rFonts w:ascii="Times New Roman" w:hAnsi="Times New Roman" w:cs="Times New Roman"/>
        </w:rPr>
        <w:t xml:space="preserve"> a goal or strategy related to those selves (coded as zero), based on college attendance (coded as zero) and college non-attendance (coded as one). Binomial logistic regressions require the data to meet the following assumptions: (a) dichotomous dependent variable, (b) two or more independent variables, (c) independence of observations, (d) categories of nominal variables should be mutually exclusive, (e) minimum of 15 cases per independent variable, (f) linear relationship between the continuous IVs and logit transformation of the dependent variable, (g) no multicollinearity, (h) no significant outliers (Harrell, 2015).</w:t>
      </w:r>
    </w:p>
    <w:p w14:paraId="69665E15" w14:textId="77777777" w:rsidR="00FF1665" w:rsidRDefault="00BA731C" w:rsidP="00BA731C">
      <w:pPr>
        <w:spacing w:line="480" w:lineRule="auto"/>
        <w:jc w:val="center"/>
        <w:rPr>
          <w:rFonts w:ascii="Times New Roman" w:hAnsi="Times New Roman" w:cs="Times New Roman"/>
          <w:b/>
        </w:rPr>
      </w:pPr>
      <w:r>
        <w:rPr>
          <w:rFonts w:ascii="Times New Roman" w:hAnsi="Times New Roman" w:cs="Times New Roman"/>
          <w:b/>
        </w:rPr>
        <w:t>Results</w:t>
      </w:r>
    </w:p>
    <w:p w14:paraId="17342CBD" w14:textId="77777777" w:rsidR="00BA731C" w:rsidRPr="00BA731C" w:rsidRDefault="00BA731C" w:rsidP="00BA731C">
      <w:pPr>
        <w:spacing w:line="480" w:lineRule="auto"/>
        <w:rPr>
          <w:rFonts w:ascii="Times New Roman" w:hAnsi="Times New Roman" w:cs="Times New Roman"/>
        </w:rPr>
      </w:pPr>
      <w:r>
        <w:rPr>
          <w:rFonts w:ascii="Times New Roman" w:hAnsi="Times New Roman" w:cs="Times New Roman"/>
        </w:rPr>
        <w:t>[Insert Results here]</w:t>
      </w:r>
    </w:p>
    <w:p w14:paraId="47A511B9" w14:textId="77777777" w:rsidR="00FF1665" w:rsidRDefault="00BA731C" w:rsidP="00BA731C">
      <w:pPr>
        <w:spacing w:line="480" w:lineRule="auto"/>
        <w:jc w:val="center"/>
        <w:rPr>
          <w:rFonts w:ascii="Times New Roman" w:hAnsi="Times New Roman" w:cs="Times New Roman"/>
          <w:b/>
        </w:rPr>
      </w:pPr>
      <w:r>
        <w:rPr>
          <w:rFonts w:ascii="Times New Roman" w:hAnsi="Times New Roman" w:cs="Times New Roman"/>
          <w:b/>
        </w:rPr>
        <w:t>Discussion</w:t>
      </w:r>
    </w:p>
    <w:p w14:paraId="22A5AF7D" w14:textId="77777777" w:rsidR="00BA731C" w:rsidRDefault="00BA731C" w:rsidP="00BA731C">
      <w:pPr>
        <w:spacing w:line="480" w:lineRule="auto"/>
        <w:rPr>
          <w:rFonts w:ascii="Times New Roman" w:hAnsi="Times New Roman" w:cs="Times New Roman"/>
        </w:rPr>
      </w:pPr>
      <w:r>
        <w:rPr>
          <w:rFonts w:ascii="Times New Roman" w:hAnsi="Times New Roman" w:cs="Times New Roman"/>
        </w:rPr>
        <w:t>[Insert Discussion Here]</w:t>
      </w:r>
    </w:p>
    <w:p w14:paraId="494A1A9D" w14:textId="77777777" w:rsidR="00BA731C" w:rsidRDefault="00BA731C" w:rsidP="00BA731C">
      <w:pPr>
        <w:spacing w:line="480" w:lineRule="auto"/>
        <w:rPr>
          <w:rFonts w:ascii="Times New Roman" w:hAnsi="Times New Roman" w:cs="Times New Roman"/>
          <w:b/>
        </w:rPr>
      </w:pPr>
      <w:r>
        <w:rPr>
          <w:rFonts w:ascii="Times New Roman" w:hAnsi="Times New Roman" w:cs="Times New Roman"/>
          <w:b/>
        </w:rPr>
        <w:t>Limitations</w:t>
      </w:r>
    </w:p>
    <w:p w14:paraId="3AEBC876" w14:textId="77777777" w:rsidR="00BA731C" w:rsidRPr="00BA731C" w:rsidRDefault="00BA731C" w:rsidP="00BA731C">
      <w:pPr>
        <w:spacing w:line="480" w:lineRule="auto"/>
        <w:rPr>
          <w:rFonts w:ascii="Times New Roman" w:hAnsi="Times New Roman" w:cs="Times New Roman"/>
          <w:b/>
        </w:rPr>
      </w:pPr>
      <w:r>
        <w:rPr>
          <w:rFonts w:ascii="Times New Roman" w:hAnsi="Times New Roman" w:cs="Times New Roman"/>
          <w:b/>
        </w:rPr>
        <w:t>Implications</w:t>
      </w:r>
    </w:p>
    <w:p w14:paraId="02761F07" w14:textId="77777777" w:rsidR="00CE3A3E" w:rsidRDefault="005E2DE2" w:rsidP="005E2DE2">
      <w:pPr>
        <w:pStyle w:val="Heading1"/>
        <w:spacing w:line="480" w:lineRule="auto"/>
        <w:rPr>
          <w:rFonts w:ascii="Times New Roman" w:hAnsi="Times New Roman" w:cs="Times New Roman"/>
          <w:sz w:val="24"/>
        </w:rPr>
      </w:pPr>
      <w:bookmarkStart w:id="14" w:name="_Toc289175833"/>
      <w:bookmarkStart w:id="15" w:name="_Toc428279019"/>
      <w:r>
        <w:rPr>
          <w:rFonts w:ascii="Times New Roman" w:hAnsi="Times New Roman" w:cs="Times New Roman"/>
          <w:sz w:val="24"/>
        </w:rPr>
        <w:lastRenderedPageBreak/>
        <w:t>CHAPTER 3:</w:t>
      </w:r>
      <w:bookmarkEnd w:id="14"/>
      <w:bookmarkEnd w:id="15"/>
    </w:p>
    <w:p w14:paraId="0890FFF3" w14:textId="77777777" w:rsidR="005E2DE2" w:rsidRDefault="005E2DE2" w:rsidP="005E2DE2">
      <w:pPr>
        <w:spacing w:line="480" w:lineRule="auto"/>
        <w:jc w:val="center"/>
        <w:rPr>
          <w:rFonts w:ascii="Times New Roman" w:hAnsi="Times New Roman" w:cs="Times New Roman"/>
        </w:rPr>
      </w:pPr>
      <w:r w:rsidRPr="005E2DE2">
        <w:rPr>
          <w:rFonts w:ascii="Times New Roman" w:hAnsi="Times New Roman" w:cs="Times New Roman"/>
        </w:rPr>
        <w:t>Short-term Longitudinal Examination of Sexual Possible Selves and Strategies of First Semester College Students</w:t>
      </w:r>
    </w:p>
    <w:p w14:paraId="3DB7CDCB" w14:textId="77777777" w:rsidR="005E2DE2" w:rsidRDefault="005E2DE2">
      <w:pPr>
        <w:rPr>
          <w:rFonts w:ascii="Times New Roman" w:hAnsi="Times New Roman" w:cs="Times New Roman"/>
        </w:rPr>
      </w:pPr>
      <w:r>
        <w:rPr>
          <w:rFonts w:ascii="Times New Roman" w:hAnsi="Times New Roman" w:cs="Times New Roman"/>
        </w:rPr>
        <w:br w:type="page"/>
      </w:r>
    </w:p>
    <w:p w14:paraId="4F5EBE47" w14:textId="77777777" w:rsidR="005E2DE2" w:rsidRPr="005E2DE2" w:rsidRDefault="005E2DE2" w:rsidP="005E2DE2">
      <w:pPr>
        <w:spacing w:line="480" w:lineRule="auto"/>
        <w:jc w:val="center"/>
        <w:rPr>
          <w:rFonts w:ascii="Times New Roman" w:hAnsi="Times New Roman" w:cs="Times New Roman"/>
        </w:rPr>
      </w:pPr>
    </w:p>
    <w:p w14:paraId="00B676AC" w14:textId="77777777" w:rsidR="00236E6D" w:rsidRPr="00BA731C" w:rsidRDefault="00CE4D4B" w:rsidP="00BA731C">
      <w:pPr>
        <w:spacing w:line="480" w:lineRule="auto"/>
        <w:jc w:val="center"/>
        <w:rPr>
          <w:rFonts w:ascii="Times New Roman" w:hAnsi="Times New Roman" w:cs="Times New Roman"/>
          <w:b/>
        </w:rPr>
      </w:pPr>
      <w:bookmarkStart w:id="16" w:name="_Toc289175834"/>
      <w:bookmarkStart w:id="17" w:name="_Toc428279020"/>
      <w:r w:rsidRPr="00BA731C">
        <w:rPr>
          <w:rFonts w:ascii="Times New Roman" w:hAnsi="Times New Roman" w:cs="Times New Roman"/>
          <w:b/>
        </w:rPr>
        <w:t>Abstract</w:t>
      </w:r>
      <w:bookmarkEnd w:id="16"/>
      <w:bookmarkEnd w:id="17"/>
    </w:p>
    <w:p w14:paraId="72F365E5" w14:textId="77777777" w:rsidR="00236E6D" w:rsidRDefault="00BA731C" w:rsidP="005E2DE2">
      <w:pPr>
        <w:spacing w:line="480" w:lineRule="auto"/>
        <w:rPr>
          <w:rFonts w:ascii="Times New Roman" w:hAnsi="Times New Roman" w:cs="Times New Roman"/>
        </w:rPr>
      </w:pPr>
      <w:r>
        <w:rPr>
          <w:rFonts w:ascii="Times New Roman" w:hAnsi="Times New Roman" w:cs="Times New Roman"/>
        </w:rPr>
        <w:t>[Insert Abstract Here]</w:t>
      </w:r>
    </w:p>
    <w:p w14:paraId="7E98F1FB" w14:textId="77777777" w:rsidR="003A56F8" w:rsidRPr="003A56F8" w:rsidRDefault="003A56F8" w:rsidP="003A56F8">
      <w:pPr>
        <w:spacing w:line="480" w:lineRule="auto"/>
        <w:jc w:val="center"/>
        <w:rPr>
          <w:rFonts w:ascii="Times New Roman" w:eastAsia="ＭＳ 明朝" w:hAnsi="Times New Roman" w:cs="Times New Roman"/>
          <w:b/>
        </w:rPr>
      </w:pPr>
      <w:r w:rsidRPr="003A56F8">
        <w:rPr>
          <w:rFonts w:ascii="Times New Roman" w:eastAsia="ＭＳ 明朝" w:hAnsi="Times New Roman" w:cs="Times New Roman"/>
          <w:b/>
        </w:rPr>
        <w:t>Introduction</w:t>
      </w:r>
    </w:p>
    <w:p w14:paraId="4C883639"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Emerging adulthood (ages 18-29) is considered a time of identity exploration and experimentation prior to assuming adult roles (Arnett, 2015). Emerging adults experience a series of transitions during this period including transitioning from familial households and entering into postsecondary education settings (i.e., college). This role deference (i.e., moratorium) allows emerging adults to explore various facets of their identity, including in the realm of sexuality (Arnett, 2015). The transition to college can be an influential period as students become integrated into various college cultures and subcultures (Kenyon &amp; Koerner, 2009), and begin exploring and establishing patterns of behaviors (Olmstead, Roberson, Pasley, &amp; Fincham, 2013); however, these explorations are often influenced by both perceptions of social or peer norms in college and expectations that individuals hold for themselves during college (Fielder &amp; Carey, 2010; Stinson, 2010). Perceptions of other’s behaviors (i.e., pluralistic ignorance; Lambert, Apple, &amp; Kahn, 2003) and self-expectations (i.e., possible selves; Markus &amp; Nurius, 1986) have both been found to influence future behavior (Lambert et al., 2003; Fielder &amp; Carey, 2010; Oyserman &amp; James, 2009; Oyserman &amp; Markus, 1990). Possible selves encompass various expectations and fears individuals holds for themselves in the proximal future (Markus &amp; Nurius, 1986), and serve as a specific pathway or guide to becoming the ideal self one would like to become in the future (Oyserman, Bybee, Terry, &amp; Hart-Johnson, </w:t>
      </w:r>
      <w:r w:rsidRPr="003A56F8">
        <w:rPr>
          <w:rFonts w:ascii="Times New Roman" w:eastAsia="ＭＳ 明朝" w:hAnsi="Times New Roman" w:cs="Times New Roman"/>
        </w:rPr>
        <w:lastRenderedPageBreak/>
        <w:t>2004). Possible selves, when paired with a specific behavioral strategy, can also be influential to future behavioral outcomes (Oyserman &amp; James, 2009; Oyserman, Johnson, &amp; James, 2011).</w:t>
      </w:r>
    </w:p>
    <w:p w14:paraId="20951548"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Perceptions of and expectations for peer’s sexual engagement in college have been found to influence the sexual behaviors of those transitioning to college (e.g., hooking up; Fielder &amp; Carey, 2010); however, little attention has been devoted to how an individual’s expectations and fears of sexuality </w:t>
      </w:r>
      <w:r w:rsidRPr="003A56F8">
        <w:rPr>
          <w:rFonts w:ascii="Times New Roman" w:eastAsia="ＭＳ 明朝" w:hAnsi="Times New Roman" w:cs="Times New Roman"/>
          <w:i/>
        </w:rPr>
        <w:t>for</w:t>
      </w:r>
      <w:r w:rsidRPr="003A56F8">
        <w:rPr>
          <w:rFonts w:ascii="Times New Roman" w:eastAsia="ＭＳ 明朝" w:hAnsi="Times New Roman" w:cs="Times New Roman"/>
        </w:rPr>
        <w:t xml:space="preserve"> </w:t>
      </w:r>
      <w:r w:rsidRPr="003A56F8">
        <w:rPr>
          <w:rFonts w:ascii="Times New Roman" w:eastAsia="ＭＳ 明朝" w:hAnsi="Times New Roman" w:cs="Times New Roman"/>
          <w:i/>
        </w:rPr>
        <w:t>themselves</w:t>
      </w:r>
      <w:r w:rsidRPr="003A56F8">
        <w:rPr>
          <w:rFonts w:ascii="Times New Roman" w:eastAsia="ＭＳ 明朝" w:hAnsi="Times New Roman" w:cs="Times New Roman"/>
        </w:rPr>
        <w:t xml:space="preserve"> can influence future engagement in sexual behaviors (i.e., sexual possible selves; Anders, Olmstead, &amp; Johnson, under review). To date no study was found that examined how emerging adults’ sexual possible selves can influence their sexual behavior as they transition into and experience their first semester of college. The current study addresses this gap in the extant literature using a short-term longitudinal examination of first year students’ sexual possible selves and strategies as they transition to college. We also consider changes in sexual possible selves and strategies and sexual behavior from the beginning to the end of the first semester.</w:t>
      </w:r>
    </w:p>
    <w:p w14:paraId="125E2634" w14:textId="77777777" w:rsidR="003A56F8" w:rsidRPr="003A56F8" w:rsidRDefault="003A56F8" w:rsidP="003A56F8">
      <w:pPr>
        <w:spacing w:line="480" w:lineRule="auto"/>
        <w:rPr>
          <w:rFonts w:ascii="Times New Roman" w:eastAsia="ＭＳ 明朝" w:hAnsi="Times New Roman" w:cs="Times New Roman"/>
          <w:b/>
        </w:rPr>
      </w:pPr>
      <w:r w:rsidRPr="003A56F8">
        <w:rPr>
          <w:rFonts w:ascii="Times New Roman" w:eastAsia="ＭＳ 明朝" w:hAnsi="Times New Roman" w:cs="Times New Roman"/>
          <w:b/>
        </w:rPr>
        <w:t>Emerging Adults’ Casual Sex Perceptions and Behaviors</w:t>
      </w:r>
    </w:p>
    <w:p w14:paraId="40EC5176"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The period of emerging adulthood (ages 18-29) is thought to serve as a moratorium for certain groups of young individuals as they transition from the regulated period of adolescence to the responsibility driven period of adulthood (Arnett, 2015). Emerging adulthood is considered a period wherein individuals are able to experiment outside their familial homes and explore various facets of their identity (Kenyan &amp; Koerner, 2009). These explorations occur predominately for individuals in postsecondary </w:t>
      </w:r>
      <w:r w:rsidRPr="003A56F8">
        <w:rPr>
          <w:rFonts w:ascii="Times New Roman" w:eastAsia="ＭＳ 明朝" w:hAnsi="Times New Roman" w:cs="Times New Roman"/>
        </w:rPr>
        <w:lastRenderedPageBreak/>
        <w:t xml:space="preserve">education settings (Hendry &amp; Kloep, 2007), as these settings promote opportunities to be introduced to and explore various campus cultures and subcultures (e.g., “hookup culture”; Garcia, Reiber, Massey, &amp; Merriwether, 2012). College cultures promote the establishment of health related behavioral patterns, as emerging adults look to peers or perceived social norms as guides for their own behavior (Fielder &amp; Carey, 2010; Lambert et al., 2003). </w:t>
      </w:r>
    </w:p>
    <w:p w14:paraId="44FDFB07"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One of these cultures includes the college “hookup culture,” which has been found to be prevalent across campuses in the U.S. (e.g., Garcia et al., 2012). Hooking often has an ambiguous definition and encompasses a range of behaviors (e.g., kissing through intercourse; Bogle, 2008); however, it is most common among adolescent and college attending emerging adults (Bogle, 2008; Garcia et al., 2012). In particular, a recent study found that although hooking up was prevalent for each school year cohort, first year students had the highest rates of hooking up. First year students’ hookup rates increased into the second semester, before steadily declining across subsequent semesters and years (Roberson, Olmstead, &amp; Fincham, 2015). </w:t>
      </w:r>
    </w:p>
    <w:p w14:paraId="5E94093E"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Studies have shown that emerging adults’ hookup patterns may be influenced by their perceptions of peer behaviors (Barriger &amp; Velez-Blasini, 2013; Cohen &amp; Shotland, 1996; Fielder &amp; Carey, 2010); however, these perceptions may be problematic as students often overestimate peer engagement in hookups (i.e., descriptive norms; Lambert et al., 2003). Emerging adults have also been shown to misperceive their peer’s or societal approval of hooking up (i.e., injunctive norms; Fielder &amp; Carey, 2010). Although inconsistent, studies also report that overestimating peer approval can influence </w:t>
      </w:r>
      <w:r w:rsidRPr="003A56F8">
        <w:rPr>
          <w:rFonts w:ascii="Times New Roman" w:eastAsia="ＭＳ 明朝" w:hAnsi="Times New Roman" w:cs="Times New Roman"/>
        </w:rPr>
        <w:lastRenderedPageBreak/>
        <w:t>an individual’s approval of and future involvement in hookups (Barriger &amp; Velez-Blasini, 2013; Napper, Kenny, &amp; LaBrie, 2014). Using a short-term longitudinal approach, Napper, Kenny, and LaBrie (2014) found a positive relationship between emerging adults’ estimation of close peers’ approval of hooking up and personal approval of hooking up. This relationship was also indirectly related to engaging in future hooking up behaviors. Overall, these misperceptions or overestimations may be particularly influential or prolific for first year students as they navigate the transition into college cultures (Fielder &amp; Carey, 2010). This population may be particularly vulnerable to changing ideals and experience learning as they explore, experiment, and make decisions about involvement in various sexual relationships (Allen, Husser, Stone, &amp; Jordal, 2008) and cultures (Wade &amp; Heldman, 2012).</w:t>
      </w:r>
    </w:p>
    <w:p w14:paraId="70337739" w14:textId="77777777" w:rsidR="003A56F8" w:rsidRPr="003A56F8" w:rsidRDefault="003A56F8" w:rsidP="003A56F8">
      <w:pPr>
        <w:spacing w:line="480" w:lineRule="auto"/>
        <w:rPr>
          <w:rFonts w:ascii="Times New Roman" w:eastAsia="ＭＳ 明朝" w:hAnsi="Times New Roman" w:cs="Times New Roman"/>
          <w:b/>
        </w:rPr>
      </w:pPr>
      <w:r w:rsidRPr="003A56F8">
        <w:rPr>
          <w:rFonts w:ascii="Times New Roman" w:eastAsia="ＭＳ 明朝" w:hAnsi="Times New Roman" w:cs="Times New Roman"/>
          <w:b/>
        </w:rPr>
        <w:t>The Theory of Possible Selves</w:t>
      </w:r>
    </w:p>
    <w:p w14:paraId="0171AE89" w14:textId="77777777" w:rsidR="003A56F8" w:rsidRPr="003A56F8" w:rsidRDefault="003A56F8" w:rsidP="003A56F8">
      <w:pPr>
        <w:spacing w:line="480" w:lineRule="auto"/>
        <w:rPr>
          <w:rFonts w:ascii="Times New Roman" w:eastAsia="ＭＳ 明朝" w:hAnsi="Times New Roman" w:cs="Times New Roman"/>
        </w:rPr>
      </w:pPr>
      <w:r w:rsidRPr="003A56F8">
        <w:rPr>
          <w:rFonts w:ascii="Times New Roman" w:eastAsia="ＭＳ 明朝" w:hAnsi="Times New Roman" w:cs="Times New Roman"/>
        </w:rPr>
        <w:tab/>
        <w:t xml:space="preserve">As emerging adults are actively exploring and experimenting with various facets of their identity that may be influential to future outcomes, one useful theory in which to examine this form of identity development is the possible selves theory (Markus &amp; Nurius, 1986). Possible selves encompass the selves that individuals hope to become, expect to become, or hope to avoid becoming in the proximal future (Markus &amp; Nurius, 1986). Individuals can possess multiple expected and feared possible selves, and often have possible selves that change and develop as they reach developmental transitions (Oyserman &amp; James, 2009), such as in the period of emerging adulthood. As individuals develop, their possible selves also develop in domains relevant to their life stage, or developmental tasks, and are typically linked with their social roles and identities (Cross </w:t>
      </w:r>
      <w:r w:rsidRPr="003A56F8">
        <w:rPr>
          <w:rFonts w:ascii="Times New Roman" w:eastAsia="ＭＳ 明朝" w:hAnsi="Times New Roman" w:cs="Times New Roman"/>
        </w:rPr>
        <w:lastRenderedPageBreak/>
        <w:t xml:space="preserve">&amp; Markus, 1994; Oyserman &amp; James, 2009). Possible selves may be seen as reference points upon which more general self-impressions and evaluations are formed. </w:t>
      </w:r>
    </w:p>
    <w:p w14:paraId="014175BF"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Possible selves also provide simulated actions and behavioral strategies for</w:t>
      </w:r>
      <w:r w:rsidRPr="003A56F8">
        <w:rPr>
          <w:rFonts w:ascii="Times New Roman" w:eastAsia="ＭＳ 明朝" w:hAnsi="Times New Roman" w:cs="Times New Roman"/>
          <w:b/>
        </w:rPr>
        <w:t xml:space="preserve"> </w:t>
      </w:r>
      <w:r w:rsidRPr="003A56F8">
        <w:rPr>
          <w:rFonts w:ascii="Times New Roman" w:eastAsia="ＭＳ 明朝" w:hAnsi="Times New Roman" w:cs="Times New Roman"/>
        </w:rPr>
        <w:t>organizing, forming, reaching, and avoiding future oriented selves (Cross &amp; Markus, 1991; Markus &amp; Nurius, 1986; Yang &amp; Noels, 2013). Possible selves have been shown guide and regulate behavior as it provides a roadmap from present goals to future behaviors (Oyserman, Bybee, Terry, &amp; Hart-Johnson, 2004). Oyserman and Markus (1990a) suggested that possible selves can be “viewed as motivational resources that provide individuals with some control over their own behavior” (p. 113). Goal-focused individuals are more consistent in ignoring conflicting information that may impede goal attainment and may help them resist engaging in perceived normative risk behaviors (Oyserman et al., 2004). This specialized view may allow for an extensive investigation into the relationship between expectations and participation in sexual behavior.</w:t>
      </w:r>
    </w:p>
    <w:p w14:paraId="474EC7CD" w14:textId="77777777" w:rsidR="003A56F8" w:rsidRPr="003A56F8" w:rsidRDefault="003A56F8" w:rsidP="003A56F8">
      <w:pPr>
        <w:spacing w:line="480" w:lineRule="auto"/>
        <w:rPr>
          <w:rFonts w:ascii="Times New Roman" w:eastAsia="ＭＳ 明朝" w:hAnsi="Times New Roman" w:cs="Times New Roman"/>
        </w:rPr>
      </w:pPr>
      <w:r w:rsidRPr="003A56F8">
        <w:rPr>
          <w:rFonts w:ascii="Times New Roman" w:eastAsia="ＭＳ 明朝" w:hAnsi="Times New Roman" w:cs="Times New Roman"/>
          <w:b/>
        </w:rPr>
        <w:tab/>
      </w:r>
      <w:r w:rsidRPr="003A56F8">
        <w:rPr>
          <w:rFonts w:ascii="Times New Roman" w:eastAsia="ＭＳ 明朝" w:hAnsi="Times New Roman" w:cs="Times New Roman"/>
        </w:rPr>
        <w:t xml:space="preserve">Investigations of the relationship between possible selves and future outcomes has shown that possible selves are critical for motivating action and achieving future identities (Higgins, 1996; Oyserman &amp; Markus, 1990; Oyserman, Johnson, &amp; James, 2011; Oyserman, Terry, &amp; Bybee, 2002; Stauman &amp; Higgins, 1987). Despite the potential for examining possible selves in relation to future behavioral outcomes or goal attainment, the majority of possible selves examinations have used cross-sectional, correlational designs (for exceptions see Frazier, Hooker, Johnson, &amp; Kaus, 2000; Oyserman et al., 2002). Further, recent research has found that possible selves are often dynamic and can change based on developmental stages and salient domains (Frazier et </w:t>
      </w:r>
      <w:r w:rsidRPr="003A56F8">
        <w:rPr>
          <w:rFonts w:ascii="Times New Roman" w:eastAsia="ＭＳ 明朝" w:hAnsi="Times New Roman" w:cs="Times New Roman"/>
        </w:rPr>
        <w:lastRenderedPageBreak/>
        <w:t xml:space="preserve">al., 2000). For example, using a longitudinal approach, Frazier, Hooker, Johnson, and Kaus (2000) examined continuity or change in possible selves using a life course perspective focused on aging adults. Findings indicated both continuity and change within the salient possible selves themes in this population, and emphasized how possible selves may be reflective of individuals’ changing expectations, goals, and fears (Frazier et al., 2000). Continued research on how possible selves develop and change over time, and the influence that these changes may have on future behavioral outcomes is imperative. Specifically, this may be particularly true in the realm of sexuality, as goals about sexuality are thought to be dynamic and dependent on current developmental stage, such as sexual explorations in emerging adulthood (Arnett, 2015); however, to date there have been no examinations of how an individual’s sexuality focused possible selves may change over time and potentially influence future sexual behavior.  </w:t>
      </w:r>
    </w:p>
    <w:p w14:paraId="3453D747" w14:textId="77777777" w:rsidR="003A56F8" w:rsidRPr="003A56F8" w:rsidRDefault="003A56F8" w:rsidP="003A56F8">
      <w:pPr>
        <w:spacing w:line="480" w:lineRule="auto"/>
        <w:rPr>
          <w:rFonts w:ascii="Times New Roman" w:eastAsia="ＭＳ 明朝" w:hAnsi="Times New Roman" w:cs="Times New Roman"/>
          <w:b/>
        </w:rPr>
      </w:pPr>
      <w:r w:rsidRPr="003A56F8">
        <w:rPr>
          <w:rFonts w:ascii="Times New Roman" w:eastAsia="ＭＳ 明朝" w:hAnsi="Times New Roman" w:cs="Times New Roman"/>
          <w:b/>
        </w:rPr>
        <w:t>Sexual Possible Selves</w:t>
      </w:r>
    </w:p>
    <w:p w14:paraId="0F769B2F"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 xml:space="preserve">Recent research (see Anders et al., under review) has expanded upon the sexual expectation literature using a life course perspective by examining emerging adults’ sexuality in conjunction with the possible selves theory (i.e., sexual possible selves). Sexual possible selves (SPS) attends to the expectations and fears that individuals hold for their future sexual identities (i.e., sexual selves), including the specific behavioral strategies used to attain or avoid these future selves (Anders et al., under review). These SPS are thought to serve as motivators to achieving their future idealized selves, along with providing specific pathways in which to guide them. Similar to possible selves, SPS </w:t>
      </w:r>
      <w:r w:rsidRPr="003A56F8">
        <w:rPr>
          <w:rFonts w:ascii="Times New Roman" w:eastAsia="ＭＳ 明朝" w:hAnsi="Times New Roman" w:cs="Times New Roman"/>
        </w:rPr>
        <w:lastRenderedPageBreak/>
        <w:t xml:space="preserve">emphasizes salient sexual themes for emerging adults and may be enhanced by considering one’s current developmental period. </w:t>
      </w:r>
    </w:p>
    <w:p w14:paraId="542C0C20"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t>Using a mixed-methods approach, one study examined SPS among a sample of first semester college men and women (</w:t>
      </w:r>
      <w:r w:rsidRPr="003A56F8">
        <w:rPr>
          <w:rFonts w:ascii="Times New Roman" w:eastAsia="ＭＳ 明朝" w:hAnsi="Times New Roman" w:cs="Times New Roman"/>
          <w:i/>
        </w:rPr>
        <w:t xml:space="preserve">N </w:t>
      </w:r>
      <w:r w:rsidRPr="003A56F8">
        <w:rPr>
          <w:rFonts w:ascii="Times New Roman" w:eastAsia="ＭＳ 明朝" w:hAnsi="Times New Roman" w:cs="Times New Roman"/>
        </w:rPr>
        <w:t xml:space="preserve">= 282) making the transition into college (see Anders et al., under review). Findings indicated that participants reported salient sexual possible selves around abstinence, sexual exploration, and interpersonal relationships, as well as salient fears about physical/sexual health outcomes. Further, this study examined whether students were able to articulate specific behavioral strategies being used to attain or avoid these future SPS, and if so, what were these specific strategies. Overall, approximately 22.3% of the sample did not articulate explicit behavioral strategies for their associated SPS attainment or avoidance. Despite the importance of this finding, this study was cross sectional in nature and was unable to explain how these SPS and strategies (or lack thereof) were related to future sexual behavior. Also, a focus of this developmental examination was on the expectations and fears of first semester students as they transition into college, as this is an influential time on emerging adults’ sexuality (Fielder &amp; Carey, 2010); however, Anders and colleagues (under review) did not examine how first semester students’ expectations and fears may change as they develop and become integrated into various cultures and subcultures on campus. To address these limitations, the current study included a short-term longitudinal design and examined how SPS and feared sexual selves and strategies (a) changed over time and (b) were associated with later sexual behavior. </w:t>
      </w:r>
    </w:p>
    <w:p w14:paraId="38DA0E5A" w14:textId="77777777" w:rsidR="003A56F8" w:rsidRPr="003A56F8" w:rsidRDefault="003A56F8" w:rsidP="003A56F8">
      <w:pPr>
        <w:spacing w:line="480" w:lineRule="auto"/>
        <w:rPr>
          <w:rFonts w:ascii="Times New Roman" w:eastAsia="ＭＳ 明朝" w:hAnsi="Times New Roman" w:cs="Times New Roman"/>
          <w:b/>
        </w:rPr>
      </w:pPr>
      <w:r w:rsidRPr="003A56F8">
        <w:rPr>
          <w:rFonts w:ascii="Times New Roman" w:eastAsia="ＭＳ 明朝" w:hAnsi="Times New Roman" w:cs="Times New Roman"/>
          <w:b/>
        </w:rPr>
        <w:t>Current Study</w:t>
      </w:r>
    </w:p>
    <w:p w14:paraId="20656DA9" w14:textId="77777777" w:rsidR="003A56F8" w:rsidRPr="003A56F8" w:rsidRDefault="003A56F8" w:rsidP="003A56F8">
      <w:pPr>
        <w:spacing w:line="480" w:lineRule="auto"/>
        <w:ind w:firstLine="720"/>
        <w:rPr>
          <w:rFonts w:ascii="Times New Roman" w:eastAsia="ＭＳ 明朝" w:hAnsi="Times New Roman" w:cs="Times New Roman"/>
        </w:rPr>
      </w:pPr>
      <w:r w:rsidRPr="003A56F8">
        <w:rPr>
          <w:rFonts w:ascii="Times New Roman" w:eastAsia="ＭＳ 明朝" w:hAnsi="Times New Roman" w:cs="Times New Roman"/>
        </w:rPr>
        <w:lastRenderedPageBreak/>
        <w:t>The current study contributes to the sexual possible selves (SPS) literature by examining the expectations, fears, and strategies of first semester college students and their relationship with subsequent sexual behavior. Specifically, this study examined the salient themes of first year students’ SPS and strategies as they transition into college (T1) and potential changes or continuity in these salient themes at the end of their first semester in college (T2). We also examined the relationship between students’ SPS as they transition into college (T1) and sexual behaviors (i.e., hookup behaviors and sexual intercourse behaviors) reported at the end of their first semester (T2). Lastly, we examined how the articulation (or lack thereof) of specific behavioral strategies for SPS and fear avoidance were associated with whether participants were able to attain or avoid their articulated goals. Findings from this study hold important implications for sexual education and/or intervention, including an emphasis on more individualized and continued sexual health and wellbeing education for college attending emerging adults throughout their college career. Our study was guided by five research questions developed from theory (life course and possible selves) and the extant literature on emerging adult sexuality:</w:t>
      </w:r>
    </w:p>
    <w:p w14:paraId="6E2CB380" w14:textId="77777777" w:rsidR="003A56F8" w:rsidRPr="003A56F8" w:rsidRDefault="003A56F8" w:rsidP="003A56F8">
      <w:pPr>
        <w:spacing w:line="480" w:lineRule="auto"/>
        <w:ind w:left="720"/>
        <w:rPr>
          <w:rFonts w:ascii="Times New Roman" w:eastAsia="ＭＳ 明朝" w:hAnsi="Times New Roman" w:cs="Times New Roman"/>
        </w:rPr>
      </w:pPr>
      <w:r w:rsidRPr="003A56F8">
        <w:rPr>
          <w:rFonts w:ascii="Times New Roman" w:eastAsia="ＭＳ 明朝" w:hAnsi="Times New Roman" w:cs="Times New Roman"/>
          <w:b/>
        </w:rPr>
        <w:t>RQ1</w:t>
      </w:r>
      <w:r w:rsidRPr="003A56F8">
        <w:rPr>
          <w:rFonts w:ascii="Times New Roman" w:eastAsia="ＭＳ 明朝" w:hAnsi="Times New Roman" w:cs="Times New Roman"/>
        </w:rPr>
        <w:t>: What are first semester students’ (a) expected and (b) feared sexual possible selves at the beginning of their first semester (T1) and end of their first semester (T2)?</w:t>
      </w:r>
    </w:p>
    <w:p w14:paraId="43EF1DCD" w14:textId="77777777" w:rsidR="003A56F8" w:rsidRPr="003A56F8" w:rsidRDefault="003A56F8" w:rsidP="003A56F8">
      <w:pPr>
        <w:spacing w:line="480" w:lineRule="auto"/>
        <w:ind w:left="720"/>
        <w:rPr>
          <w:rFonts w:ascii="Times New Roman" w:eastAsia="ＭＳ 明朝" w:hAnsi="Times New Roman" w:cs="Times New Roman"/>
        </w:rPr>
      </w:pPr>
      <w:r w:rsidRPr="003A56F8">
        <w:rPr>
          <w:rFonts w:ascii="Times New Roman" w:eastAsia="ＭＳ 明朝" w:hAnsi="Times New Roman" w:cs="Times New Roman"/>
          <w:b/>
        </w:rPr>
        <w:t>RQ2</w:t>
      </w:r>
      <w:r w:rsidRPr="003A56F8">
        <w:rPr>
          <w:rFonts w:ascii="Times New Roman" w:eastAsia="ＭＳ 明朝" w:hAnsi="Times New Roman" w:cs="Times New Roman"/>
        </w:rPr>
        <w:t>: What are first semester students’ associated (a) expected and (b) feared behavioral strategies at the beginning of their first semester (T1) and end of their first semester (T2)?</w:t>
      </w:r>
    </w:p>
    <w:p w14:paraId="47571551" w14:textId="77777777" w:rsidR="003A56F8" w:rsidRPr="003A56F8" w:rsidRDefault="003A56F8" w:rsidP="003A56F8">
      <w:pPr>
        <w:spacing w:line="480" w:lineRule="auto"/>
        <w:ind w:left="720"/>
        <w:rPr>
          <w:rFonts w:ascii="Times New Roman" w:eastAsia="ＭＳ 明朝" w:hAnsi="Times New Roman" w:cs="Times New Roman"/>
        </w:rPr>
      </w:pPr>
      <w:r w:rsidRPr="003A56F8">
        <w:rPr>
          <w:rFonts w:ascii="Times New Roman" w:eastAsia="ＭＳ 明朝" w:hAnsi="Times New Roman" w:cs="Times New Roman"/>
          <w:b/>
        </w:rPr>
        <w:lastRenderedPageBreak/>
        <w:t xml:space="preserve">RQ3: </w:t>
      </w:r>
      <w:r w:rsidRPr="003A56F8">
        <w:rPr>
          <w:rFonts w:ascii="Times New Roman" w:eastAsia="ＭＳ 明朝" w:hAnsi="Times New Roman" w:cs="Times New Roman"/>
        </w:rPr>
        <w:t>Do first semester students’ (a) expected and (b) feared sexual possible selves and strategies change from the beginning of their first semester (T1) to the end of their first semester (T2)?</w:t>
      </w:r>
    </w:p>
    <w:p w14:paraId="72D9A814" w14:textId="77777777" w:rsidR="003A56F8" w:rsidRPr="003A56F8" w:rsidRDefault="003A56F8" w:rsidP="003A56F8">
      <w:pPr>
        <w:spacing w:line="480" w:lineRule="auto"/>
        <w:ind w:left="720"/>
        <w:rPr>
          <w:rFonts w:ascii="Times New Roman" w:eastAsia="ＭＳ 明朝" w:hAnsi="Times New Roman" w:cs="Times New Roman"/>
        </w:rPr>
      </w:pPr>
      <w:r w:rsidRPr="003A56F8">
        <w:rPr>
          <w:rFonts w:ascii="Times New Roman" w:eastAsia="ＭＳ 明朝" w:hAnsi="Times New Roman" w:cs="Times New Roman"/>
          <w:b/>
        </w:rPr>
        <w:t>RQ4</w:t>
      </w:r>
      <w:r w:rsidRPr="003A56F8">
        <w:rPr>
          <w:rFonts w:ascii="Times New Roman" w:eastAsia="ＭＳ 明朝" w:hAnsi="Times New Roman" w:cs="Times New Roman"/>
        </w:rPr>
        <w:t>: What is the relationship between first semester students’ (a) expected and (b) feared sexual possible selves at the beginning of their first semester (T1) and sexual behaviors (i.e., first semester intercourse experience, first semester hookup experience, first semester hookup behaviors, and most recent hookup behaviors), sexual health behaviors (i.e., contraceptive use and contraceptive/condom non-use), and demographic measures (i.e., sex, romantic relationship status, pre-college sexual education, and religiosity) reported at the end of their first semester (T2)?</w:t>
      </w:r>
    </w:p>
    <w:p w14:paraId="2311F76F" w14:textId="77777777" w:rsidR="00BA731C" w:rsidRPr="005E2DE2" w:rsidRDefault="003A56F8" w:rsidP="003A56F8">
      <w:pPr>
        <w:spacing w:line="480" w:lineRule="auto"/>
        <w:ind w:left="720"/>
        <w:rPr>
          <w:rFonts w:ascii="Times New Roman" w:hAnsi="Times New Roman" w:cs="Times New Roman"/>
        </w:rPr>
      </w:pPr>
      <w:r w:rsidRPr="003A56F8">
        <w:rPr>
          <w:rFonts w:ascii="Times New Roman" w:eastAsia="ＭＳ 明朝" w:hAnsi="Times New Roman" w:cs="Times New Roman"/>
          <w:b/>
        </w:rPr>
        <w:t>RQ5</w:t>
      </w:r>
      <w:r w:rsidRPr="003A56F8">
        <w:rPr>
          <w:rFonts w:ascii="Times New Roman" w:eastAsia="ＭＳ 明朝" w:hAnsi="Times New Roman" w:cs="Times New Roman"/>
        </w:rPr>
        <w:t>: What is the relationship between first semester students’ (a) expected and (b) feared behavioral strategies at the beginning of their first semester (T1) and sexual behaviors (i.e., first semester intercourse experience, first semester hookup experience, first semester hookup behaviors, and most recent hookup behaviors), sexual health behaviors (i.e., contraceptive use and contraceptive/condom non-use), and demographic measures (i.e., sex, romantic relationship status, pre-college sexual education, and religiosity) reported at the end of their first semester (T2)?</w:t>
      </w:r>
    </w:p>
    <w:p w14:paraId="034E3405" w14:textId="77777777" w:rsidR="00D2327E" w:rsidRPr="00D2327E" w:rsidRDefault="00D2327E" w:rsidP="00D2327E">
      <w:pPr>
        <w:spacing w:line="480" w:lineRule="auto"/>
        <w:jc w:val="center"/>
        <w:rPr>
          <w:rFonts w:ascii="Times New Roman" w:eastAsia="ＭＳ 明朝" w:hAnsi="Times New Roman" w:cs="Times New Roman"/>
          <w:b/>
        </w:rPr>
      </w:pPr>
      <w:r w:rsidRPr="00D2327E">
        <w:rPr>
          <w:rFonts w:ascii="Times New Roman" w:eastAsia="ＭＳ 明朝" w:hAnsi="Times New Roman" w:cs="Times New Roman"/>
          <w:b/>
        </w:rPr>
        <w:t>Methods</w:t>
      </w:r>
    </w:p>
    <w:p w14:paraId="6A2E5D5C"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Data collection</w:t>
      </w:r>
    </w:p>
    <w:p w14:paraId="0FC07F73"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lastRenderedPageBreak/>
        <w:t>Upon IRB approval, participants will be recruited during the first four weeks of the fall 2016 semester from the undergraduate psychology research pool at the University of Tennessee, Knoxville. Participants will be recruited from introductory psychology courses (e.g., Psych 110) and will occur through the university’s SONA system, a system used for student participation in various research, experimental studies, or research papers in exchange for required psychology course credit. With this system, individuals are able to actively choose the research projects in which they wish to participate and will self-select into this study. Those who choose to participate will be offered course credit as compensation for participation. Due to the longitudinal nature of the study, participants will be offered credit at both T1 (beginning of semester) and T2 (end of semester). Although participation in both time points is encouraged, participants may choose to not participate in the second time point; thus, participation credits will be given for completion of each survey time point individually (i.e., two credits for T1 and two credits for T2).</w:t>
      </w:r>
    </w:p>
    <w:p w14:paraId="66E60DE8"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The survey will be administered through online access of the Department of Psychology’s SONA system through a private student login. Individuals interested in participating in the study will first read a brief paragraph explaining the nature of the study (i.e., purpose of study), along with required criteria for participation (e.g., ages of 18-25, see participant section for full criteria). If individuals meet the criteria and are interested in study participation, they will be provided the opportunity to sign up for the online study and will receive instructions for study completion. Participants will first receive an electronic copy of the Informed Consent Form for the study that informs them </w:t>
      </w:r>
      <w:r w:rsidRPr="00D2327E">
        <w:rPr>
          <w:rFonts w:ascii="Times New Roman" w:eastAsia="ＭＳ 明朝" w:hAnsi="Times New Roman" w:cs="Times New Roman"/>
        </w:rPr>
        <w:lastRenderedPageBreak/>
        <w:t xml:space="preserve">of the risks and benefits of the study, and emphasizes that this study is voluntary and they can withdraw at any time. Participants will be informed that by continuing with the study (i.e., clicking “Next”) they are providing consent and meet the study criteria. </w:t>
      </w:r>
    </w:p>
    <w:p w14:paraId="22B060CA"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After informed consent is given, participants will designate a study identification consisting of their first initial of their first name, first initial of their last name, and date of birth (MM/DD/YY; e.g., KA062089) and will list this unique identification (ID) again during participation at the second time point. This will allow us to link their T1 and T2 responses and compare these while maintaining student confidentiality. </w:t>
      </w:r>
    </w:p>
    <w:p w14:paraId="637DE140"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The second round of data collection (i.e., T2) will open during the last four weeks of the fall 2016 semester. The SONA system can be used to automatically generate and send out reminder emails regarding participation in the second wave of data collection and will begin when data collection opens. Similar to T1, students will be provided with a brief paragraph explaining the nature of the study (i.e., purpose of study), along with inclusion and exclusion criteria for participation (e.g., ages of 18-25 see participant section for full criteria). </w:t>
      </w:r>
    </w:p>
    <w:p w14:paraId="6F37331B"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If individuals meet the criteria and are interested in study participation, they will be provided the opportunity to sign up for the online study and will receive instructions. Individuals will first receive an electronic copy of the Informed Consent Form for the study that informs them of the risks and benefits of the study, and emphasizes that this study is voluntary and they can withdraw at any time. Participants will be informed that by continuing with the study (i.e., clicking “Next”) they are providing consent and meet study criteria. When informed consent is received, participants will be asked to provide </w:t>
      </w:r>
      <w:r w:rsidRPr="00D2327E">
        <w:rPr>
          <w:rFonts w:ascii="Times New Roman" w:eastAsia="ＭＳ 明朝" w:hAnsi="Times New Roman" w:cs="Times New Roman"/>
        </w:rPr>
        <w:lastRenderedPageBreak/>
        <w:t>their previous study identification comprised of their first initial of their first name, first initial of their last name, and date of birth (MM/DD/YY; e.g., KA062089).</w:t>
      </w:r>
    </w:p>
    <w:p w14:paraId="33B0915D"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All participants will be given the same survey measures at both time points. As the main focus of this study is on emerging adults’ sexual possible selves and strategies, both surveys will begin by collecting responses to the sexual possible selves survey (detailed below in measures). This form of data collection will protect against a priming effect by other measures included in this survey (e.g., hooking up measure may prime an articulation of hooking up SPS; Davies, Zhu, &amp; Brantley, 2007). Following the SPS measures, both time points will collect demographic information, along with measures of sexual behavior and sexual health (see measures section for full information). The measures will be adapted for each time point to obtain the appropriate information (e.g., intercourse experience at beginning of semester versus at the end of semester; see below for full descriptions of measures). Study participation will take approximately 30 minutes for each survey. Limitations of this form of data collection include a low number of participants due to the early participation requirement of this study (i.e., first four weeks of semester), potential for attrition (which is common to all longitudinal studies), survey exhaustion, and survey confusion (due to the online nature of survey). </w:t>
      </w:r>
    </w:p>
    <w:p w14:paraId="17C56EAF"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Participants</w:t>
      </w:r>
    </w:p>
    <w:p w14:paraId="0C33F782"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b/>
        </w:rPr>
        <w:tab/>
      </w:r>
      <w:r w:rsidRPr="00D2327E">
        <w:rPr>
          <w:rFonts w:ascii="Times New Roman" w:eastAsia="ＭＳ 明朝" w:hAnsi="Times New Roman" w:cs="Times New Roman"/>
        </w:rPr>
        <w:t xml:space="preserve">As initial participation is only open for a limited period (i.e., first four weeks of semester), the sample size will be dependent on how many students choose to sign up for this survey and/or fit the inclusion/exclusion criteria for the study (i.e., first year college, emerging adults). Participation criteria will include: (a) between the ages of 18-25, (b) </w:t>
      </w:r>
      <w:r w:rsidRPr="00D2327E">
        <w:rPr>
          <w:rFonts w:ascii="Times New Roman" w:eastAsia="ＭＳ 明朝" w:hAnsi="Times New Roman" w:cs="Times New Roman"/>
        </w:rPr>
        <w:lastRenderedPageBreak/>
        <w:t xml:space="preserve">registered as a freshman, and (c) in their first semester of coursework at the University of Tennessee, Knoxville. A minimum of 100 participants would be ideal for this study as this number allows for possible attrition between T1 and T2, which is common in longitudinal studies. A larger sample size also strengthens the qualitative and quantitative analyses that will be used in this examination (i.e., saturation and power). When conducting a qualitative content analysis, a larger sample size allows for saturation of themes that emerge (Creswell, 2007) and helps with generalizability of the findings to a broader college student population. The majority of quantitative analyses requires a minimum number of participants to accurately detect significant differences between groups (e.g., five participants per group for chi-square tests). </w:t>
      </w:r>
    </w:p>
    <w:p w14:paraId="40AAF817"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Measures</w:t>
      </w:r>
    </w:p>
    <w:p w14:paraId="79FC573B"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b/>
        </w:rPr>
        <w:t>Sexual Possible Selves</w:t>
      </w:r>
      <w:r>
        <w:rPr>
          <w:rFonts w:ascii="Times New Roman" w:eastAsia="ＭＳ 明朝" w:hAnsi="Times New Roman" w:cs="Times New Roman"/>
          <w:b/>
        </w:rPr>
        <w:t xml:space="preserve">. </w:t>
      </w:r>
      <w:r w:rsidRPr="00D2327E">
        <w:rPr>
          <w:rFonts w:ascii="Times New Roman" w:eastAsia="ＭＳ 明朝" w:hAnsi="Times New Roman" w:cs="Times New Roman"/>
        </w:rPr>
        <w:t xml:space="preserve">First year students’ sexual possible selves and strategies will be collected through the adaptation of the standard open-ended format of the possible self and strategy measure (see Oyserman et al., 2004 for original measure; see Anders et al., under review for revised measure). Originally, this measure was designed to assess an individual’s overall possible selves by asking the individual to list expected and feared goals for the upcoming year. This questionnaire is divided into two parts, and begins by asking the participants to imagine who they would like to be in the future (i.e., expected possible selves). Participants are then asked to write what they expect to become and what they expect to be doing next year (Oyserman et al., 2004). Participants then indicate whether or not they are doing something to achieve these possible selves, and to list any specific strategies they are using. Strategies for possible selves have been associated with </w:t>
      </w:r>
      <w:r w:rsidRPr="00D2327E">
        <w:rPr>
          <w:rFonts w:ascii="Times New Roman" w:eastAsia="ＭＳ 明朝" w:hAnsi="Times New Roman" w:cs="Times New Roman"/>
        </w:rPr>
        <w:lastRenderedPageBreak/>
        <w:t xml:space="preserve">behavioral outcomes and are considered influential in an individual’s future self-regulation (Oyserman et al., 2004; Oyserman et al., 2011). Specifically, previous studies indicated that behavioral strategies that relate to the accompanying future self are associated with future goal attainment (Oyserman et al., 2004). Whether individuals are able to articulate a specific behavioral strategy they are using to attain or avoid these future oriented selves may be indicative of future behavioral outcomes including sexual behavioral engagement (e.g., hookup behaviors). </w:t>
      </w:r>
    </w:p>
    <w:p w14:paraId="60AB5A35"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rPr>
        <w:t>The second part of this measure assesses feared possible selves by asking participants to think of concerns or images of what they hoped to avoid within the upcoming year (i.e. what they do not want to do or want to avoid being). Participants are then asked to list selves that they would like to avoid becoming in the upcoming year and to indicate what strategies they are using to avoid these feared selves (Oyserman et al., 2004). Adaptation of the possible selves questionnaire to measure sex and sexuality for this current study is described below.</w:t>
      </w:r>
    </w:p>
    <w:p w14:paraId="28B09320"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Sexual possible selves (T1). </w:t>
      </w:r>
      <w:r w:rsidRPr="00D2327E">
        <w:rPr>
          <w:rFonts w:ascii="Times New Roman" w:eastAsia="ＭＳ 明朝" w:hAnsi="Times New Roman" w:cs="Times New Roman"/>
        </w:rPr>
        <w:t xml:space="preserve">Participants’ sexual possible selves will be collected at the beginning of their first semester in college (T1) and will focus on the upcoming semester (fall 2016). Participants’ responses will be collected through an adaptation of Oyserman and colleagues' (2004) measure by rewording the prompts to focus specifically on sex and sexuality (see Anders et al., under review). Additionally, this measure will be adapted to focus on their sexual possible selves during the first semester of their freshman year. Specifically, expected SPS will be collected from participants by providing the following: </w:t>
      </w:r>
    </w:p>
    <w:p w14:paraId="1908ED5F"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lastRenderedPageBreak/>
        <w:t xml:space="preserve">Who will you be this upcoming semester? Each of us has some image or picture of what we will be like and what we want to avoid being like in the future. Think about your upcoming semester-- imagine what you expect to occur regarding your sexuality and sexual practices.  In the lines below, write what you expect your first semester of freshman year will be like when addressing sex.  </w:t>
      </w:r>
    </w:p>
    <w:p w14:paraId="06871894"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A prompt will then be given to the participant that states: “Regarding sex, this year I am expecting…” followed by providing the individual with four options to list expected sexual selves (see attached questionnaire). </w:t>
      </w:r>
    </w:p>
    <w:p w14:paraId="07C688B0"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Similarly, feared SPS will be collected by providing the following: </w:t>
      </w:r>
    </w:p>
    <w:p w14:paraId="66766DC6"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 xml:space="preserve">In addition to expectations and expected goals, we all have images or pictures of what we don’t want to be like regarding our sexuality; what we don’t want to do or want to avoid being.  First, think a minute about ways you would </w:t>
      </w:r>
      <w:r w:rsidRPr="00D2327E">
        <w:rPr>
          <w:rFonts w:ascii="Times New Roman" w:eastAsia="ＭＳ 明朝" w:hAnsi="Times New Roman" w:cs="Times New Roman"/>
          <w:bCs/>
        </w:rPr>
        <w:t>not</w:t>
      </w:r>
      <w:r w:rsidRPr="00D2327E">
        <w:rPr>
          <w:rFonts w:ascii="Times New Roman" w:eastAsia="ＭＳ 明朝" w:hAnsi="Times New Roman" w:cs="Times New Roman"/>
        </w:rPr>
        <w:t xml:space="preserve"> like to be this upcoming semester-- things you are concerned about or want to avoid being like. Write those concerns or sexual selves to-be-avoided in the lines below.  </w:t>
      </w:r>
    </w:p>
    <w:p w14:paraId="685E3AB7"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Participants are then asked: “Regarding sex, this semester I hope to avoid…” and provides four options to list feared sexual selves.</w:t>
      </w:r>
    </w:p>
    <w:p w14:paraId="01FF6D01"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Sexual possible selves strategies (T1).  </w:t>
      </w:r>
      <w:r w:rsidRPr="00D2327E">
        <w:rPr>
          <w:rFonts w:ascii="Times New Roman" w:eastAsia="ＭＳ 明朝" w:hAnsi="Times New Roman" w:cs="Times New Roman"/>
        </w:rPr>
        <w:t xml:space="preserve">In addition to a participant’s SPS, strategies that the participant is using to reach or avoid these future selves will be collected. Expected SPS strategies will be collected by asking the following: </w:t>
      </w:r>
    </w:p>
    <w:p w14:paraId="3F056FC4"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 xml:space="preserve">In the space next to each expectation, mark NO (X) if you are not currently doing something about that expectation and mark YES (X) if you are currently doing something to get to that expectation. For each expectation that you marked YES, </w:t>
      </w:r>
      <w:r w:rsidRPr="00D2327E">
        <w:rPr>
          <w:rFonts w:ascii="Times New Roman" w:eastAsia="ＭＳ 明朝" w:hAnsi="Times New Roman" w:cs="Times New Roman"/>
        </w:rPr>
        <w:lastRenderedPageBreak/>
        <w:t xml:space="preserve">use the space to the right to write what you are doing this semester to attain that goal. Use the first space for the first expectation, the second space for the second expectation and so on.  </w:t>
      </w:r>
    </w:p>
    <w:p w14:paraId="4E9D9915"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Participants are then provided four options to list strategies they will be using to obtain these future oriented sexual selves. </w:t>
      </w:r>
    </w:p>
    <w:p w14:paraId="0F06942C"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Additionally, associated feared SPS strategies were collected by asking the following: </w:t>
      </w:r>
    </w:p>
    <w:p w14:paraId="0A6F11C9"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In the space next to each concern or to-be-avoided self, mark NO (X) if you are not currently working on avoiding that concern or to-be-avoided self and mark YES (X) if you are currently doing something so this will not happen this semester. For each sexual concern or to-be-avoided sexual self that you marked YES, use the space at the end of each line to write what you are doing this semester to reduce the chances that this will describe you during your freshman year. Use the first space for the first concern, the second space for the second concern and so on.</w:t>
      </w:r>
    </w:p>
    <w:p w14:paraId="620A0F87"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rPr>
        <w:t>Participants are then provided four options to list the strategies they will be using to obtain these feared sexual selves.</w:t>
      </w:r>
    </w:p>
    <w:p w14:paraId="3702A122"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Sexual possible selves (T2).</w:t>
      </w:r>
      <w:r w:rsidRPr="00D2327E">
        <w:rPr>
          <w:rFonts w:ascii="Times New Roman" w:eastAsia="ＭＳ 明朝" w:hAnsi="Times New Roman" w:cs="Times New Roman"/>
          <w:b/>
        </w:rPr>
        <w:tab/>
      </w:r>
      <w:r w:rsidRPr="00D2327E">
        <w:rPr>
          <w:rFonts w:ascii="Times New Roman" w:eastAsia="ＭＳ 明朝" w:hAnsi="Times New Roman" w:cs="Times New Roman"/>
        </w:rPr>
        <w:t xml:space="preserve">Participants’ sexual possible selves will be collected again at the end of their first semester (T2) to examine changes in salient SPS expectations and fears. Specifically, this measure will examine their expectations and fears for the upcoming Spring 2017 semester and will examine how these may have changed during their first semester in college, and how these changes may be associated </w:t>
      </w:r>
      <w:r w:rsidRPr="00D2327E">
        <w:rPr>
          <w:rFonts w:ascii="Times New Roman" w:eastAsia="ＭＳ 明朝" w:hAnsi="Times New Roman" w:cs="Times New Roman"/>
        </w:rPr>
        <w:lastRenderedPageBreak/>
        <w:t xml:space="preserve">with behavioral engagement (see Analyses for full description of comparisons). Specifically, expected SPS will be collected from participants by providing the following: </w:t>
      </w:r>
    </w:p>
    <w:p w14:paraId="7AEC6F30"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 xml:space="preserve">Who will you be this upcoming semester (Spring 2017)? Each of us has some image or picture of what we will be like and what we want to avoid being like in the future. Think about your upcoming semester-- imagine what you expect to occur regarding your sexuality and sexual practices.  In the lines below, write what you expect your second semester of freshman year will be like when addressing sex.  </w:t>
      </w:r>
    </w:p>
    <w:p w14:paraId="5B727C79"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A prompt will then be given to the participant that states: “Regarding sex, this upcoming semester (Spring 2017) I am expecting…” followed by providing the individual with four options to list expected sexual selves (see attached questionnaire). </w:t>
      </w:r>
    </w:p>
    <w:p w14:paraId="521E077F"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Similarly, feared SPS will be collected by providing the following: </w:t>
      </w:r>
    </w:p>
    <w:p w14:paraId="65126F4C"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 xml:space="preserve">In addition to expectations and expected goals, we all have images or pictures of what we don’t want to be like regarding our sexuality; what we don’t want to do or want to avoid being.  First, think a minute about ways you would </w:t>
      </w:r>
      <w:r w:rsidRPr="00D2327E">
        <w:rPr>
          <w:rFonts w:ascii="Times New Roman" w:eastAsia="ＭＳ 明朝" w:hAnsi="Times New Roman" w:cs="Times New Roman"/>
          <w:bCs/>
        </w:rPr>
        <w:t>not</w:t>
      </w:r>
      <w:r w:rsidRPr="00D2327E">
        <w:rPr>
          <w:rFonts w:ascii="Times New Roman" w:eastAsia="ＭＳ 明朝" w:hAnsi="Times New Roman" w:cs="Times New Roman"/>
        </w:rPr>
        <w:t xml:space="preserve"> like to be this upcoming semester (Spring 2017) – things you are concerned about or want to avoid being like. Write those concerns or sexual selves to-be-avoided in the lines below.  </w:t>
      </w:r>
    </w:p>
    <w:p w14:paraId="0F44A07D"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Participants are then asked: “Regarding sex, this upcoming semester (Spring 2017) I hope to avoid…” and provides four options to list feared sexual selves.</w:t>
      </w:r>
    </w:p>
    <w:p w14:paraId="56CD81C6"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lastRenderedPageBreak/>
        <w:t xml:space="preserve">Sexual possible selves strategies (T2).  </w:t>
      </w:r>
      <w:r w:rsidRPr="00D2327E">
        <w:rPr>
          <w:rFonts w:ascii="Times New Roman" w:eastAsia="ＭＳ 明朝" w:hAnsi="Times New Roman" w:cs="Times New Roman"/>
        </w:rPr>
        <w:t xml:space="preserve">In addition to a participant’s SPS, strategies that the participant is using to reach or avoid these future selves will be collected. Expected SPS strategies will be collected by asking the following: </w:t>
      </w:r>
    </w:p>
    <w:p w14:paraId="24F862C5"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 xml:space="preserve">In the space next to each expectation, mark NO (X) if you are not currently doing something about that expectation and mark YES (X) if you are currently doing something to get to that expectation. For each expectation that you marked YES, use the space to the right to write what you are doing this semester to attain that goal. Use the first space for the first expectation, the second space for the second expectation and so on.  </w:t>
      </w:r>
    </w:p>
    <w:p w14:paraId="67F1F13C"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Participants are then provided four options to list strategies they will be using to obtain these future oriented sexual selves. </w:t>
      </w:r>
    </w:p>
    <w:p w14:paraId="47C08A8D"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Additionally, associated feared SPS strategies were collected by asking the following: </w:t>
      </w:r>
    </w:p>
    <w:p w14:paraId="40901173"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rPr>
        <w:t>In the space next to each concern or to-be-avoided self, mark NO (X) if you are not currently working on avoiding that concern or to-be-avoided self and mark YES (X) if you are currently doing something so this will not happen this semester. For each sexual concern or to-be-avoided sexual self that you marked YES, use the space at the end of each line to write what you are doing this semester to reduce the chances that this will describe you during your freshman year. Use the first space for the first concern, the second space for the second concern and so on.</w:t>
      </w:r>
    </w:p>
    <w:p w14:paraId="71FA3487"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rPr>
        <w:t>Participants are then provided four options to list the strategies they will be using to obtain these feared sexual selves.</w:t>
      </w:r>
    </w:p>
    <w:p w14:paraId="26BE1163"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lastRenderedPageBreak/>
        <w:t>Demographic measures</w:t>
      </w:r>
      <w:r w:rsidRPr="00D2327E">
        <w:rPr>
          <w:rFonts w:ascii="Times New Roman" w:eastAsia="ＭＳ 明朝" w:hAnsi="Times New Roman" w:cs="Times New Roman"/>
          <w:b/>
        </w:rPr>
        <w:tab/>
      </w:r>
    </w:p>
    <w:p w14:paraId="64ADBDA2"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Sex.</w:t>
      </w:r>
      <w:r w:rsidRPr="00D2327E">
        <w:rPr>
          <w:rFonts w:ascii="Times New Roman" w:eastAsia="ＭＳ 明朝" w:hAnsi="Times New Roman" w:cs="Times New Roman"/>
        </w:rPr>
        <w:t xml:space="preserve"> Participants indicate their sex as (1) </w:t>
      </w:r>
      <w:r w:rsidRPr="00D2327E">
        <w:rPr>
          <w:rFonts w:ascii="Times New Roman" w:eastAsia="ＭＳ 明朝" w:hAnsi="Times New Roman" w:cs="Times New Roman"/>
          <w:i/>
        </w:rPr>
        <w:t>Male</w:t>
      </w:r>
      <w:r w:rsidRPr="00D2327E">
        <w:rPr>
          <w:rFonts w:ascii="Times New Roman" w:eastAsia="ＭＳ 明朝" w:hAnsi="Times New Roman" w:cs="Times New Roman"/>
        </w:rPr>
        <w:t xml:space="preserve">, (2) </w:t>
      </w:r>
      <w:r w:rsidRPr="00D2327E">
        <w:rPr>
          <w:rFonts w:ascii="Times New Roman" w:eastAsia="ＭＳ 明朝" w:hAnsi="Times New Roman" w:cs="Times New Roman"/>
          <w:i/>
        </w:rPr>
        <w:t>Female</w:t>
      </w:r>
      <w:r w:rsidRPr="00D2327E">
        <w:rPr>
          <w:rFonts w:ascii="Times New Roman" w:eastAsia="ＭＳ 明朝" w:hAnsi="Times New Roman" w:cs="Times New Roman"/>
        </w:rPr>
        <w:t xml:space="preserve">, or (3) </w:t>
      </w:r>
      <w:r w:rsidRPr="00D2327E">
        <w:rPr>
          <w:rFonts w:ascii="Times New Roman" w:eastAsia="ＭＳ 明朝" w:hAnsi="Times New Roman" w:cs="Times New Roman"/>
          <w:i/>
        </w:rPr>
        <w:t>Other</w:t>
      </w:r>
      <w:r w:rsidRPr="00D2327E">
        <w:rPr>
          <w:rFonts w:ascii="Times New Roman" w:eastAsia="ＭＳ 明朝" w:hAnsi="Times New Roman" w:cs="Times New Roman"/>
        </w:rPr>
        <w:t>, please specify.</w:t>
      </w:r>
    </w:p>
    <w:p w14:paraId="7850D24E"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Romantic relationship status.</w:t>
      </w:r>
      <w:r w:rsidRPr="00D2327E">
        <w:rPr>
          <w:rFonts w:ascii="Times New Roman" w:eastAsia="ＭＳ 明朝" w:hAnsi="Times New Roman" w:cs="Times New Roman"/>
        </w:rPr>
        <w:t xml:space="preserve"> At both T1 and T2, participants will report whether or not they are in an exclusive romantic relationship, non-exclusive romantic relationship, or no romantic relationship (i.e., romantically uninvolved). Response options will include: (1) </w:t>
      </w:r>
      <w:r w:rsidRPr="00D2327E">
        <w:rPr>
          <w:rFonts w:ascii="Times New Roman" w:eastAsia="ＭＳ 明朝" w:hAnsi="Times New Roman" w:cs="Times New Roman"/>
          <w:i/>
        </w:rPr>
        <w:t>no relationship</w:t>
      </w:r>
      <w:r w:rsidRPr="00D2327E">
        <w:rPr>
          <w:rFonts w:ascii="Times New Roman" w:eastAsia="ＭＳ 明朝" w:hAnsi="Times New Roman" w:cs="Times New Roman"/>
        </w:rPr>
        <w:t xml:space="preserve">, (2) </w:t>
      </w:r>
      <w:r w:rsidRPr="00D2327E">
        <w:rPr>
          <w:rFonts w:ascii="Times New Roman" w:eastAsia="ＭＳ 明朝" w:hAnsi="Times New Roman" w:cs="Times New Roman"/>
          <w:i/>
        </w:rPr>
        <w:t>non-exclusive relationship</w:t>
      </w:r>
      <w:r w:rsidRPr="00D2327E">
        <w:rPr>
          <w:rFonts w:ascii="Times New Roman" w:eastAsia="ＭＳ 明朝" w:hAnsi="Times New Roman" w:cs="Times New Roman"/>
        </w:rPr>
        <w:t xml:space="preserve"> (e.g., hookup partners, friends with benefits, dating non-exclusively, and talking), and (3) </w:t>
      </w:r>
      <w:r w:rsidRPr="00D2327E">
        <w:rPr>
          <w:rFonts w:ascii="Times New Roman" w:eastAsia="ＭＳ 明朝" w:hAnsi="Times New Roman" w:cs="Times New Roman"/>
          <w:i/>
        </w:rPr>
        <w:t>exclusive relationship</w:t>
      </w:r>
      <w:r w:rsidRPr="00D2327E">
        <w:rPr>
          <w:rFonts w:ascii="Times New Roman" w:eastAsia="ＭＳ 明朝" w:hAnsi="Times New Roman" w:cs="Times New Roman"/>
        </w:rPr>
        <w:t xml:space="preserve"> (e.g., dating exclusively, cohabitating, engaged, or married). At T2 participants will be asked to indicate whether they are in the </w:t>
      </w:r>
      <w:r w:rsidRPr="00D2327E">
        <w:rPr>
          <w:rFonts w:ascii="Times New Roman" w:eastAsia="ＭＳ 明朝" w:hAnsi="Times New Roman" w:cs="Times New Roman"/>
          <w:i/>
        </w:rPr>
        <w:t>same romantic relationship</w:t>
      </w:r>
      <w:r w:rsidRPr="00D2327E">
        <w:rPr>
          <w:rFonts w:ascii="Times New Roman" w:eastAsia="ＭＳ 明朝" w:hAnsi="Times New Roman" w:cs="Times New Roman"/>
        </w:rPr>
        <w:t xml:space="preserve"> as the beginning of the semester (T1).</w:t>
      </w:r>
    </w:p>
    <w:p w14:paraId="4FA0EE19"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Pre-college sexual education. </w:t>
      </w:r>
      <w:r w:rsidRPr="00D2327E">
        <w:rPr>
          <w:rFonts w:ascii="Times New Roman" w:eastAsia="ＭＳ 明朝" w:hAnsi="Times New Roman" w:cs="Times New Roman"/>
        </w:rPr>
        <w:t xml:space="preserve">At T1, participants will report their pre-college sexual education exposure through the following question, “Prior to college, which of the following types of sex education were you exposed to (choose all that apply)?” Response options will include: (0) </w:t>
      </w:r>
      <w:r w:rsidRPr="00D2327E">
        <w:rPr>
          <w:rFonts w:ascii="Times New Roman" w:eastAsia="ＭＳ 明朝" w:hAnsi="Times New Roman" w:cs="Times New Roman"/>
          <w:i/>
        </w:rPr>
        <w:t xml:space="preserve">I was not exposed to sex education prior to college, </w:t>
      </w:r>
      <w:r w:rsidRPr="00D2327E">
        <w:rPr>
          <w:rFonts w:ascii="Times New Roman" w:eastAsia="ＭＳ 明朝" w:hAnsi="Times New Roman" w:cs="Times New Roman"/>
        </w:rPr>
        <w:t xml:space="preserve">(1) </w:t>
      </w:r>
      <w:r w:rsidRPr="00D2327E">
        <w:rPr>
          <w:rFonts w:ascii="Times New Roman" w:eastAsia="ＭＳ 明朝" w:hAnsi="Times New Roman" w:cs="Times New Roman"/>
          <w:i/>
        </w:rPr>
        <w:t>Abstinence,</w:t>
      </w:r>
      <w:r w:rsidRPr="00D2327E">
        <w:rPr>
          <w:rFonts w:ascii="Times New Roman" w:eastAsia="ＭＳ 明朝" w:hAnsi="Times New Roman" w:cs="Times New Roman"/>
        </w:rPr>
        <w:t xml:space="preserve"> (2) </w:t>
      </w:r>
      <w:r w:rsidRPr="00D2327E">
        <w:rPr>
          <w:rFonts w:ascii="Times New Roman" w:eastAsia="ＭＳ 明朝" w:hAnsi="Times New Roman" w:cs="Times New Roman"/>
          <w:i/>
        </w:rPr>
        <w:t xml:space="preserve">Male and female reproductive anatomy (parts, names, functions), </w:t>
      </w:r>
      <w:r w:rsidRPr="00D2327E">
        <w:rPr>
          <w:rFonts w:ascii="Times New Roman" w:eastAsia="ＭＳ 明朝" w:hAnsi="Times New Roman" w:cs="Times New Roman"/>
        </w:rPr>
        <w:t xml:space="preserve">(3) </w:t>
      </w:r>
      <w:r w:rsidRPr="00D2327E">
        <w:rPr>
          <w:rFonts w:ascii="Times New Roman" w:eastAsia="ＭＳ 明朝" w:hAnsi="Times New Roman" w:cs="Times New Roman"/>
          <w:i/>
        </w:rPr>
        <w:t xml:space="preserve">Causes of pregnancy (i.e., penile-vaginal intercourse), </w:t>
      </w:r>
      <w:r w:rsidRPr="00D2327E">
        <w:rPr>
          <w:rFonts w:ascii="Times New Roman" w:eastAsia="ＭＳ 明朝" w:hAnsi="Times New Roman" w:cs="Times New Roman"/>
        </w:rPr>
        <w:t xml:space="preserve">(4) </w:t>
      </w:r>
      <w:r w:rsidRPr="00D2327E">
        <w:rPr>
          <w:rFonts w:ascii="Times New Roman" w:eastAsia="ＭＳ 明朝" w:hAnsi="Times New Roman" w:cs="Times New Roman"/>
          <w:i/>
        </w:rPr>
        <w:t xml:space="preserve">Methods of contraception (condoms, birth controls, etc), </w:t>
      </w:r>
      <w:r w:rsidRPr="00D2327E">
        <w:rPr>
          <w:rFonts w:ascii="Times New Roman" w:eastAsia="ＭＳ 明朝" w:hAnsi="Times New Roman" w:cs="Times New Roman"/>
        </w:rPr>
        <w:t xml:space="preserve">(5) </w:t>
      </w:r>
      <w:r w:rsidRPr="00D2327E">
        <w:rPr>
          <w:rFonts w:ascii="Times New Roman" w:eastAsia="ＭＳ 明朝" w:hAnsi="Times New Roman" w:cs="Times New Roman"/>
          <w:i/>
        </w:rPr>
        <w:t>Sexually transmitted diseases/infections,</w:t>
      </w:r>
      <w:r w:rsidRPr="00D2327E">
        <w:rPr>
          <w:rFonts w:ascii="Times New Roman" w:eastAsia="ＭＳ 明朝" w:hAnsi="Times New Roman" w:cs="Times New Roman"/>
        </w:rPr>
        <w:t xml:space="preserve"> (6) </w:t>
      </w:r>
      <w:r w:rsidRPr="00D2327E">
        <w:rPr>
          <w:rFonts w:ascii="Times New Roman" w:eastAsia="ＭＳ 明朝" w:hAnsi="Times New Roman" w:cs="Times New Roman"/>
          <w:i/>
        </w:rPr>
        <w:t>Puberty,</w:t>
      </w:r>
      <w:r w:rsidRPr="00D2327E">
        <w:rPr>
          <w:rFonts w:ascii="Times New Roman" w:eastAsia="ＭＳ 明朝" w:hAnsi="Times New Roman" w:cs="Times New Roman"/>
        </w:rPr>
        <w:t xml:space="preserve"> (7) </w:t>
      </w:r>
      <w:r w:rsidRPr="00D2327E">
        <w:rPr>
          <w:rFonts w:ascii="Times New Roman" w:eastAsia="ＭＳ 明朝" w:hAnsi="Times New Roman" w:cs="Times New Roman"/>
          <w:i/>
        </w:rPr>
        <w:t xml:space="preserve">Different types of sexual behaviors (e.g., oral sex, vaginal intercourse), </w:t>
      </w:r>
      <w:r w:rsidRPr="00D2327E">
        <w:rPr>
          <w:rFonts w:ascii="Times New Roman" w:eastAsia="ＭＳ 明朝" w:hAnsi="Times New Roman" w:cs="Times New Roman"/>
        </w:rPr>
        <w:t xml:space="preserve">(8) </w:t>
      </w:r>
      <w:r w:rsidRPr="00D2327E">
        <w:rPr>
          <w:rFonts w:ascii="Times New Roman" w:eastAsia="ＭＳ 明朝" w:hAnsi="Times New Roman" w:cs="Times New Roman"/>
          <w:i/>
        </w:rPr>
        <w:t xml:space="preserve">Other. </w:t>
      </w:r>
      <w:r w:rsidRPr="00D2327E">
        <w:rPr>
          <w:rFonts w:ascii="Times New Roman" w:eastAsia="ＭＳ 明朝" w:hAnsi="Times New Roman" w:cs="Times New Roman"/>
        </w:rPr>
        <w:t>Participants will then be provided a space to list other types of sexual education.</w:t>
      </w:r>
    </w:p>
    <w:p w14:paraId="6BDB2758"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lastRenderedPageBreak/>
        <w:t xml:space="preserve">Religiosity. </w:t>
      </w:r>
      <w:r w:rsidRPr="00D2327E">
        <w:rPr>
          <w:rFonts w:ascii="Times New Roman" w:eastAsia="ＭＳ 明朝" w:hAnsi="Times New Roman" w:cs="Times New Roman"/>
        </w:rPr>
        <w:t xml:space="preserve">At both T1 and T2, participants’ religiosity will be measured by asking them to indicate the level of intensity of their religious beliefs on a continuous scale of (0) </w:t>
      </w:r>
      <w:r w:rsidRPr="00D2327E">
        <w:rPr>
          <w:rFonts w:ascii="Times New Roman" w:eastAsia="ＭＳ 明朝" w:hAnsi="Times New Roman" w:cs="Times New Roman"/>
          <w:i/>
        </w:rPr>
        <w:t xml:space="preserve">not at all intense </w:t>
      </w:r>
      <w:r w:rsidRPr="00D2327E">
        <w:rPr>
          <w:rFonts w:ascii="Times New Roman" w:eastAsia="ＭＳ 明朝" w:hAnsi="Times New Roman" w:cs="Times New Roman"/>
        </w:rPr>
        <w:t xml:space="preserve">to (20) </w:t>
      </w:r>
      <w:r w:rsidRPr="00D2327E">
        <w:rPr>
          <w:rFonts w:ascii="Times New Roman" w:eastAsia="ＭＳ 明朝" w:hAnsi="Times New Roman" w:cs="Times New Roman"/>
          <w:i/>
        </w:rPr>
        <w:t>very intense</w:t>
      </w:r>
      <w:r w:rsidRPr="00D2327E">
        <w:rPr>
          <w:rFonts w:ascii="Times New Roman" w:eastAsia="ＭＳ 明朝" w:hAnsi="Times New Roman" w:cs="Times New Roman"/>
        </w:rPr>
        <w:t>.</w:t>
      </w:r>
    </w:p>
    <w:p w14:paraId="51815B3F"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b/>
        </w:rPr>
        <w:t>Sexual experience</w:t>
      </w:r>
    </w:p>
    <w:p w14:paraId="6A965886"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Pre-college sexual intercourse experience (T1). </w:t>
      </w:r>
      <w:r w:rsidRPr="00D2327E">
        <w:rPr>
          <w:rFonts w:ascii="Times New Roman" w:eastAsia="ＭＳ 明朝" w:hAnsi="Times New Roman" w:cs="Times New Roman"/>
        </w:rPr>
        <w:t xml:space="preserve">To measure participants’ pre-college sexual intercourse experience, participants will indicate whether they have engaged in consensual oral sex (given or received), genital rubbing (i.e., tribadism), penile-vaginal intercourse, and penile-anal intercourse with another partner prior to college. Participants will first be asked, “Have you ever given or received consensual oral sex prior to college?” Response options include: (0) </w:t>
      </w:r>
      <w:r w:rsidRPr="00D2327E">
        <w:rPr>
          <w:rFonts w:ascii="Times New Roman" w:eastAsia="ＭＳ 明朝" w:hAnsi="Times New Roman" w:cs="Times New Roman"/>
          <w:i/>
        </w:rPr>
        <w:t>No oral sex</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Had oral sex</w:t>
      </w:r>
      <w:r w:rsidRPr="00D2327E">
        <w:rPr>
          <w:rFonts w:ascii="Times New Roman" w:eastAsia="ＭＳ 明朝" w:hAnsi="Times New Roman" w:cs="Times New Roman"/>
        </w:rPr>
        <w:t xml:space="preserve">. Participants will next be asked, “Have you ever engaged in consensual genital-to-genital rubbing (tribadism) prior to college?” Response options include: (0) </w:t>
      </w:r>
      <w:r w:rsidRPr="00D2327E">
        <w:rPr>
          <w:rFonts w:ascii="Times New Roman" w:eastAsia="ＭＳ 明朝" w:hAnsi="Times New Roman" w:cs="Times New Roman"/>
          <w:i/>
        </w:rPr>
        <w:t>No genital rubbing</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Genital rubbing</w:t>
      </w:r>
      <w:r w:rsidRPr="00D2327E">
        <w:rPr>
          <w:rFonts w:ascii="Times New Roman" w:eastAsia="ＭＳ 明朝" w:hAnsi="Times New Roman" w:cs="Times New Roman"/>
        </w:rPr>
        <w:t xml:space="preserve">. Participants will next be asked, “Have you ever engaged in consensual penile-vaginal intercourse (vaginal sex) prior to college?” Response options include: (0) </w:t>
      </w:r>
      <w:r w:rsidRPr="00D2327E">
        <w:rPr>
          <w:rFonts w:ascii="Times New Roman" w:eastAsia="ＭＳ 明朝" w:hAnsi="Times New Roman" w:cs="Times New Roman"/>
          <w:i/>
        </w:rPr>
        <w:t>No penile-vaginal intercourse</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Had penile-vaginal intercourse</w:t>
      </w:r>
      <w:r w:rsidRPr="00D2327E">
        <w:rPr>
          <w:rFonts w:ascii="Times New Roman" w:eastAsia="ＭＳ 明朝" w:hAnsi="Times New Roman" w:cs="Times New Roman"/>
        </w:rPr>
        <w:t xml:space="preserve">. Lastly, participants will be asked, “Have you ever engaged in consensual penile-anal intercourse (anal sex) prior to college?” Response options include: (0) </w:t>
      </w:r>
      <w:r w:rsidRPr="00D2327E">
        <w:rPr>
          <w:rFonts w:ascii="Times New Roman" w:eastAsia="ＭＳ 明朝" w:hAnsi="Times New Roman" w:cs="Times New Roman"/>
          <w:i/>
        </w:rPr>
        <w:t xml:space="preserve">No penile-anal intercourse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Had penile-anal intercourse</w:t>
      </w:r>
      <w:r w:rsidRPr="00D2327E">
        <w:rPr>
          <w:rFonts w:ascii="Times New Roman" w:eastAsia="ＭＳ 明朝" w:hAnsi="Times New Roman" w:cs="Times New Roman"/>
        </w:rPr>
        <w:t xml:space="preserve">. History of all four types of intercourse behaviors will be collected to account for individuals identifying as sexual minorities. Responses will then be recoded as (0) </w:t>
      </w:r>
      <w:r w:rsidRPr="00D2327E">
        <w:rPr>
          <w:rFonts w:ascii="Times New Roman" w:eastAsia="ＭＳ 明朝" w:hAnsi="Times New Roman" w:cs="Times New Roman"/>
          <w:i/>
        </w:rPr>
        <w:t xml:space="preserve">No intercourse experience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 xml:space="preserve">Had intercourse experience </w:t>
      </w:r>
      <w:r w:rsidRPr="00D2327E">
        <w:rPr>
          <w:rFonts w:ascii="Times New Roman" w:eastAsia="ＭＳ 明朝" w:hAnsi="Times New Roman" w:cs="Times New Roman"/>
        </w:rPr>
        <w:t xml:space="preserve">based on participation in </w:t>
      </w:r>
      <w:r w:rsidRPr="00D2327E">
        <w:rPr>
          <w:rFonts w:ascii="Times New Roman" w:eastAsia="ＭＳ 明朝" w:hAnsi="Times New Roman" w:cs="Times New Roman"/>
          <w:i/>
        </w:rPr>
        <w:t>any</w:t>
      </w:r>
      <w:r w:rsidRPr="00D2327E">
        <w:rPr>
          <w:rFonts w:ascii="Times New Roman" w:eastAsia="ＭＳ 明朝" w:hAnsi="Times New Roman" w:cs="Times New Roman"/>
        </w:rPr>
        <w:t xml:space="preserve"> form of intercourse experience. </w:t>
      </w:r>
    </w:p>
    <w:p w14:paraId="24CF0850"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lastRenderedPageBreak/>
        <w:t xml:space="preserve">Pre-college hookup experience (T1). </w:t>
      </w:r>
      <w:r w:rsidRPr="00D2327E">
        <w:rPr>
          <w:rFonts w:ascii="Times New Roman" w:eastAsia="ＭＳ 明朝" w:hAnsi="Times New Roman" w:cs="Times New Roman"/>
        </w:rPr>
        <w:t xml:space="preserve">To measure participants’ engagement in hooking up prior to this study, participants will be presented with the following definition, “Some people say that a hookup is an event where you were physically intimate (e.g., kissing, sexual touching, oral sex, vaginal intercourse, anal intercourse) with someone whom you were not dating or in a romantic relationship with at the time and in which you understood there was no mutual expectation of a romantic commitment” (Lewis, Atkins, Blayney, Dent, &amp; Kaysen, 2012). Participants will then be asked, “Based on this definition, how many non-romantic partners have you hooked up with in the year prior to coming to college?”. Participants will then be provided a space to list their number of partners. Additionally, their response will be dichotomized to: (0) </w:t>
      </w:r>
      <w:r w:rsidRPr="00D2327E">
        <w:rPr>
          <w:rFonts w:ascii="Times New Roman" w:eastAsia="ＭＳ 明朝" w:hAnsi="Times New Roman" w:cs="Times New Roman"/>
          <w:i/>
        </w:rPr>
        <w:t xml:space="preserve">Never hooked up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Have hooked up.</w:t>
      </w:r>
    </w:p>
    <w:p w14:paraId="357EB3AA"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Pre-college hookup behaviors (T1). </w:t>
      </w:r>
      <w:r w:rsidRPr="00D2327E">
        <w:rPr>
          <w:rFonts w:ascii="Times New Roman" w:eastAsia="ＭＳ 明朝" w:hAnsi="Times New Roman" w:cs="Times New Roman"/>
        </w:rPr>
        <w:t xml:space="preserve">To examine participants’ pre-college hookup experience, they will be asked about their specific hookup behaviors prior to college by asking the following, “If you have ever hooked up, which of the following hookup behaviors have you engaged in prior to coming to college?” Participants will then be presented with the following options and asked to check all that apply: (0) </w:t>
      </w:r>
      <w:r w:rsidRPr="00D2327E">
        <w:rPr>
          <w:rFonts w:ascii="Times New Roman" w:eastAsia="ＭＳ 明朝" w:hAnsi="Times New Roman" w:cs="Times New Roman"/>
          <w:i/>
        </w:rPr>
        <w:t>Deep kissing/making out</w:t>
      </w:r>
      <w:r w:rsidRPr="00D2327E">
        <w:rPr>
          <w:rFonts w:ascii="Times New Roman" w:eastAsia="ＭＳ 明朝" w:hAnsi="Times New Roman" w:cs="Times New Roman"/>
        </w:rPr>
        <w:t xml:space="preserve">, (1) </w:t>
      </w:r>
      <w:r w:rsidRPr="00D2327E">
        <w:rPr>
          <w:rFonts w:ascii="Times New Roman" w:eastAsia="ＭＳ 明朝" w:hAnsi="Times New Roman" w:cs="Times New Roman"/>
          <w:i/>
        </w:rPr>
        <w:t xml:space="preserve">Sexual touching </w:t>
      </w:r>
      <w:r w:rsidRPr="00D2327E">
        <w:rPr>
          <w:rFonts w:ascii="Times New Roman" w:eastAsia="ＭＳ 明朝" w:hAnsi="Times New Roman" w:cs="Times New Roman"/>
        </w:rPr>
        <w:t xml:space="preserve">(e.g., touching of partner’s genitals or partner touching your genitals), (2) </w:t>
      </w:r>
      <w:r w:rsidRPr="00D2327E">
        <w:rPr>
          <w:rFonts w:ascii="Times New Roman" w:eastAsia="ＭＳ 明朝" w:hAnsi="Times New Roman" w:cs="Times New Roman"/>
          <w:i/>
        </w:rPr>
        <w:t xml:space="preserve">Oral intercourse </w:t>
      </w:r>
      <w:r w:rsidRPr="00D2327E">
        <w:rPr>
          <w:rFonts w:ascii="Times New Roman" w:eastAsia="ＭＳ 明朝" w:hAnsi="Times New Roman" w:cs="Times New Roman"/>
        </w:rPr>
        <w:t xml:space="preserve">(given or received), (3) </w:t>
      </w:r>
      <w:r w:rsidRPr="00D2327E">
        <w:rPr>
          <w:rFonts w:ascii="Times New Roman" w:eastAsia="ＭＳ 明朝" w:hAnsi="Times New Roman" w:cs="Times New Roman"/>
          <w:i/>
        </w:rPr>
        <w:t>Penile-vaginal intercourse</w:t>
      </w:r>
      <w:r w:rsidRPr="00D2327E">
        <w:rPr>
          <w:rFonts w:ascii="Times New Roman" w:eastAsia="ＭＳ 明朝" w:hAnsi="Times New Roman" w:cs="Times New Roman"/>
        </w:rPr>
        <w:t xml:space="preserve">, or (4) </w:t>
      </w:r>
      <w:r w:rsidRPr="00D2327E">
        <w:rPr>
          <w:rFonts w:ascii="Times New Roman" w:eastAsia="ＭＳ 明朝" w:hAnsi="Times New Roman" w:cs="Times New Roman"/>
          <w:i/>
        </w:rPr>
        <w:t>Penile-anal intercourse</w:t>
      </w:r>
      <w:r w:rsidRPr="00D2327E">
        <w:rPr>
          <w:rFonts w:ascii="Times New Roman" w:eastAsia="ＭＳ 明朝" w:hAnsi="Times New Roman" w:cs="Times New Roman"/>
        </w:rPr>
        <w:t xml:space="preserve">, (5) </w:t>
      </w:r>
      <w:r w:rsidRPr="00D2327E">
        <w:rPr>
          <w:rFonts w:ascii="Times New Roman" w:eastAsia="ＭＳ 明朝" w:hAnsi="Times New Roman" w:cs="Times New Roman"/>
          <w:i/>
        </w:rPr>
        <w:t xml:space="preserve">Other. </w:t>
      </w:r>
      <w:r w:rsidRPr="00D2327E">
        <w:rPr>
          <w:rFonts w:ascii="Times New Roman" w:eastAsia="ＭＳ 明朝" w:hAnsi="Times New Roman" w:cs="Times New Roman"/>
        </w:rPr>
        <w:t xml:space="preserve">Participants will also be provided a space to list </w:t>
      </w:r>
      <w:r w:rsidRPr="00D2327E">
        <w:rPr>
          <w:rFonts w:ascii="Times New Roman" w:eastAsia="ＭＳ 明朝" w:hAnsi="Times New Roman" w:cs="Times New Roman"/>
          <w:i/>
        </w:rPr>
        <w:t>other</w:t>
      </w:r>
      <w:r w:rsidRPr="00D2327E">
        <w:rPr>
          <w:rFonts w:ascii="Times New Roman" w:eastAsia="ＭＳ 明朝" w:hAnsi="Times New Roman" w:cs="Times New Roman"/>
        </w:rPr>
        <w:t xml:space="preserve"> hookup behaviors.</w:t>
      </w:r>
    </w:p>
    <w:p w14:paraId="58BF48FD"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Most recent pre-college hookup behaviors (T1). </w:t>
      </w:r>
      <w:r w:rsidRPr="00D2327E">
        <w:rPr>
          <w:rFonts w:ascii="Times New Roman" w:eastAsia="ＭＳ 明朝" w:hAnsi="Times New Roman" w:cs="Times New Roman"/>
        </w:rPr>
        <w:t xml:space="preserve">Additionally, to examine participants most recent pre-college hookup behaviors, participants will be asked, “If you </w:t>
      </w:r>
      <w:r w:rsidRPr="00D2327E">
        <w:rPr>
          <w:rFonts w:ascii="Times New Roman" w:eastAsia="ＭＳ 明朝" w:hAnsi="Times New Roman" w:cs="Times New Roman"/>
        </w:rPr>
        <w:lastRenderedPageBreak/>
        <w:t xml:space="preserve">have ever hooked up prior to coming to college, which of the following hookup behaviors did you engage in during your MOST RECENT hookup?” Participants will then be presented with the following options and asked to check all that apply: (0) </w:t>
      </w:r>
      <w:r w:rsidRPr="00D2327E">
        <w:rPr>
          <w:rFonts w:ascii="Times New Roman" w:eastAsia="ＭＳ 明朝" w:hAnsi="Times New Roman" w:cs="Times New Roman"/>
          <w:i/>
        </w:rPr>
        <w:t>Deep kissing/making out</w:t>
      </w:r>
      <w:r w:rsidRPr="00D2327E">
        <w:rPr>
          <w:rFonts w:ascii="Times New Roman" w:eastAsia="ＭＳ 明朝" w:hAnsi="Times New Roman" w:cs="Times New Roman"/>
        </w:rPr>
        <w:t xml:space="preserve">, (1) </w:t>
      </w:r>
      <w:r w:rsidRPr="00D2327E">
        <w:rPr>
          <w:rFonts w:ascii="Times New Roman" w:eastAsia="ＭＳ 明朝" w:hAnsi="Times New Roman" w:cs="Times New Roman"/>
          <w:i/>
        </w:rPr>
        <w:t xml:space="preserve">Sexual touching </w:t>
      </w:r>
      <w:r w:rsidRPr="00D2327E">
        <w:rPr>
          <w:rFonts w:ascii="Times New Roman" w:eastAsia="ＭＳ 明朝" w:hAnsi="Times New Roman" w:cs="Times New Roman"/>
        </w:rPr>
        <w:t xml:space="preserve">(e.g., touching of partner’s genitals or partner touching your genitals), (2) </w:t>
      </w:r>
      <w:r w:rsidRPr="00D2327E">
        <w:rPr>
          <w:rFonts w:ascii="Times New Roman" w:eastAsia="ＭＳ 明朝" w:hAnsi="Times New Roman" w:cs="Times New Roman"/>
          <w:i/>
        </w:rPr>
        <w:t xml:space="preserve">Oral intercourse </w:t>
      </w:r>
      <w:r w:rsidRPr="00D2327E">
        <w:rPr>
          <w:rFonts w:ascii="Times New Roman" w:eastAsia="ＭＳ 明朝" w:hAnsi="Times New Roman" w:cs="Times New Roman"/>
        </w:rPr>
        <w:t xml:space="preserve">(given or received), (3) </w:t>
      </w:r>
      <w:r w:rsidRPr="00D2327E">
        <w:rPr>
          <w:rFonts w:ascii="Times New Roman" w:eastAsia="ＭＳ 明朝" w:hAnsi="Times New Roman" w:cs="Times New Roman"/>
          <w:i/>
        </w:rPr>
        <w:t>Penile-vaginal intercourse</w:t>
      </w:r>
      <w:r w:rsidRPr="00D2327E">
        <w:rPr>
          <w:rFonts w:ascii="Times New Roman" w:eastAsia="ＭＳ 明朝" w:hAnsi="Times New Roman" w:cs="Times New Roman"/>
        </w:rPr>
        <w:t xml:space="preserve">, or (4) </w:t>
      </w:r>
      <w:r w:rsidRPr="00D2327E">
        <w:rPr>
          <w:rFonts w:ascii="Times New Roman" w:eastAsia="ＭＳ 明朝" w:hAnsi="Times New Roman" w:cs="Times New Roman"/>
          <w:i/>
        </w:rPr>
        <w:t>Penile-anal intercourse</w:t>
      </w:r>
      <w:r w:rsidRPr="00D2327E">
        <w:rPr>
          <w:rFonts w:ascii="Times New Roman" w:eastAsia="ＭＳ 明朝" w:hAnsi="Times New Roman" w:cs="Times New Roman"/>
        </w:rPr>
        <w:t xml:space="preserve">, (5) </w:t>
      </w:r>
      <w:r w:rsidRPr="00D2327E">
        <w:rPr>
          <w:rFonts w:ascii="Times New Roman" w:eastAsia="ＭＳ 明朝" w:hAnsi="Times New Roman" w:cs="Times New Roman"/>
          <w:i/>
        </w:rPr>
        <w:t xml:space="preserve">Other. </w:t>
      </w:r>
      <w:r w:rsidRPr="00D2327E">
        <w:rPr>
          <w:rFonts w:ascii="Times New Roman" w:eastAsia="ＭＳ 明朝" w:hAnsi="Times New Roman" w:cs="Times New Roman"/>
        </w:rPr>
        <w:t xml:space="preserve">Participants will also be provided a space to list </w:t>
      </w:r>
      <w:r w:rsidRPr="00D2327E">
        <w:rPr>
          <w:rFonts w:ascii="Times New Roman" w:eastAsia="ＭＳ 明朝" w:hAnsi="Times New Roman" w:cs="Times New Roman"/>
          <w:i/>
        </w:rPr>
        <w:t>other</w:t>
      </w:r>
      <w:r w:rsidRPr="00D2327E">
        <w:rPr>
          <w:rFonts w:ascii="Times New Roman" w:eastAsia="ＭＳ 明朝" w:hAnsi="Times New Roman" w:cs="Times New Roman"/>
        </w:rPr>
        <w:t xml:space="preserve"> hookup behaviors. Participants will also be asked to specify in weeks how long ago their most recent hookup occurred and provided a space to list this information. </w:t>
      </w:r>
    </w:p>
    <w:p w14:paraId="3D5FEFA5"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b/>
        </w:rPr>
        <w:t xml:space="preserve">First semester intercourse experience (T2). </w:t>
      </w:r>
      <w:r w:rsidRPr="00D2327E">
        <w:rPr>
          <w:rFonts w:ascii="Times New Roman" w:eastAsia="ＭＳ 明朝" w:hAnsi="Times New Roman" w:cs="Times New Roman"/>
        </w:rPr>
        <w:t xml:space="preserve">To measure participants’ sexual intercourse experience during their first semester of college, participants will indicate whether or not they engaged in consensual oral sex (given or received), tribadism (genital rubbing), penile-vaginal intercourse, and/or penile-anal intercourse with a partner during their first semester of college. Participants will first be asked, “Did you give or receive consensual oral sex during your first semester at college?” Response options include: (0) </w:t>
      </w:r>
      <w:r w:rsidRPr="00D2327E">
        <w:rPr>
          <w:rFonts w:ascii="Times New Roman" w:eastAsia="ＭＳ 明朝" w:hAnsi="Times New Roman" w:cs="Times New Roman"/>
          <w:i/>
        </w:rPr>
        <w:t>No oral sex</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Had oral sex</w:t>
      </w:r>
      <w:r w:rsidRPr="00D2327E">
        <w:rPr>
          <w:rFonts w:ascii="Times New Roman" w:eastAsia="ＭＳ 明朝" w:hAnsi="Times New Roman" w:cs="Times New Roman"/>
        </w:rPr>
        <w:t xml:space="preserve">. Participants will next be asked, “Have you ever engaged in consensual genital-to-genital rubbing (tribadism) during your first semester at college?” Response options include: (0) </w:t>
      </w:r>
      <w:r w:rsidRPr="00D2327E">
        <w:rPr>
          <w:rFonts w:ascii="Times New Roman" w:eastAsia="ＭＳ 明朝" w:hAnsi="Times New Roman" w:cs="Times New Roman"/>
          <w:i/>
        </w:rPr>
        <w:t>No genital rubbing</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Genital rubbing</w:t>
      </w:r>
      <w:r w:rsidRPr="00D2327E">
        <w:rPr>
          <w:rFonts w:ascii="Times New Roman" w:eastAsia="ＭＳ 明朝" w:hAnsi="Times New Roman" w:cs="Times New Roman"/>
        </w:rPr>
        <w:t xml:space="preserve">. Participants will next be asked, “Did you engage in consensual penile-vaginal intercourse during your first semester at college?” Response options include: (0) </w:t>
      </w:r>
      <w:r w:rsidRPr="00D2327E">
        <w:rPr>
          <w:rFonts w:ascii="Times New Roman" w:eastAsia="ＭＳ 明朝" w:hAnsi="Times New Roman" w:cs="Times New Roman"/>
          <w:i/>
        </w:rPr>
        <w:t>No penile-vaginal intercourse</w:t>
      </w:r>
      <w:r w:rsidRPr="00D2327E">
        <w:rPr>
          <w:rFonts w:ascii="Times New Roman" w:eastAsia="ＭＳ 明朝" w:hAnsi="Times New Roman" w:cs="Times New Roman"/>
        </w:rPr>
        <w:t xml:space="preserve"> or (1) </w:t>
      </w:r>
      <w:r w:rsidRPr="00D2327E">
        <w:rPr>
          <w:rFonts w:ascii="Times New Roman" w:eastAsia="ＭＳ 明朝" w:hAnsi="Times New Roman" w:cs="Times New Roman"/>
          <w:i/>
        </w:rPr>
        <w:t>Had penile-vaginal intercourse</w:t>
      </w:r>
      <w:r w:rsidRPr="00D2327E">
        <w:rPr>
          <w:rFonts w:ascii="Times New Roman" w:eastAsia="ＭＳ 明朝" w:hAnsi="Times New Roman" w:cs="Times New Roman"/>
        </w:rPr>
        <w:t xml:space="preserve">. Lastly, participants will be asked, “Did you engage in consensual penile-anal intercourse during your first semester at college?” </w:t>
      </w:r>
      <w:r w:rsidRPr="00D2327E">
        <w:rPr>
          <w:rFonts w:ascii="Times New Roman" w:eastAsia="ＭＳ 明朝" w:hAnsi="Times New Roman" w:cs="Times New Roman"/>
        </w:rPr>
        <w:lastRenderedPageBreak/>
        <w:t xml:space="preserve">Response options include: (0) </w:t>
      </w:r>
      <w:r w:rsidRPr="00D2327E">
        <w:rPr>
          <w:rFonts w:ascii="Times New Roman" w:eastAsia="ＭＳ 明朝" w:hAnsi="Times New Roman" w:cs="Times New Roman"/>
          <w:i/>
        </w:rPr>
        <w:t xml:space="preserve">No penile-anal intercourse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Had penile-anal intercourse</w:t>
      </w:r>
      <w:r w:rsidRPr="00D2327E">
        <w:rPr>
          <w:rFonts w:ascii="Times New Roman" w:eastAsia="ＭＳ 明朝" w:hAnsi="Times New Roman" w:cs="Times New Roman"/>
        </w:rPr>
        <w:t xml:space="preserve">. The history of all four types of intercourse behaviors will be collected to account for individuals identifying as sexual minorities. Responses will then be recoded to (0) </w:t>
      </w:r>
      <w:r w:rsidRPr="00D2327E">
        <w:rPr>
          <w:rFonts w:ascii="Times New Roman" w:eastAsia="ＭＳ 明朝" w:hAnsi="Times New Roman" w:cs="Times New Roman"/>
          <w:i/>
        </w:rPr>
        <w:t xml:space="preserve">No intercourse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 xml:space="preserve">Had intercourse </w:t>
      </w:r>
      <w:r w:rsidRPr="00D2327E">
        <w:rPr>
          <w:rFonts w:ascii="Times New Roman" w:eastAsia="ＭＳ 明朝" w:hAnsi="Times New Roman" w:cs="Times New Roman"/>
        </w:rPr>
        <w:t xml:space="preserve">based on participation in </w:t>
      </w:r>
      <w:r w:rsidRPr="00D2327E">
        <w:rPr>
          <w:rFonts w:ascii="Times New Roman" w:eastAsia="ＭＳ 明朝" w:hAnsi="Times New Roman" w:cs="Times New Roman"/>
          <w:i/>
        </w:rPr>
        <w:t>any</w:t>
      </w:r>
      <w:r w:rsidRPr="00D2327E">
        <w:rPr>
          <w:rFonts w:ascii="Times New Roman" w:eastAsia="ＭＳ 明朝" w:hAnsi="Times New Roman" w:cs="Times New Roman"/>
        </w:rPr>
        <w:t xml:space="preserve"> form of intercourse experience.</w:t>
      </w:r>
    </w:p>
    <w:p w14:paraId="24796FB3"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b/>
        </w:rPr>
        <w:t xml:space="preserve">First semester hookup experience (T2). </w:t>
      </w:r>
      <w:r w:rsidRPr="00D2327E">
        <w:rPr>
          <w:rFonts w:ascii="Times New Roman" w:eastAsia="ＭＳ 明朝" w:hAnsi="Times New Roman" w:cs="Times New Roman"/>
        </w:rPr>
        <w:t xml:space="preserve">To measure changes in participants’ engagement in hooking up during their first semester of college, participants will once again be presented with the following definition, “Some people say that a hookup is an event where you were physically intimate (e.g., kissing, sexual touching, oral sex, vaginal intercourse, anal intercourse) with someone whom you were not dating or in a romantic relationship with at the time and in which you understood there was no mutual expectation of a romantic commitment.” (Lewis et al., 2012). Participants will then be asked, “Based on this definition, how many non-romantic partners have you hooked up with in your first semester of college?” Participants will then be provided a space to list their number of partners. Additionally, their response will be dichotomized to: (0) </w:t>
      </w:r>
      <w:r w:rsidRPr="00D2327E">
        <w:rPr>
          <w:rFonts w:ascii="Times New Roman" w:eastAsia="ＭＳ 明朝" w:hAnsi="Times New Roman" w:cs="Times New Roman"/>
          <w:i/>
        </w:rPr>
        <w:t xml:space="preserve">Did not hook up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Did hook up.</w:t>
      </w:r>
    </w:p>
    <w:p w14:paraId="61BEE8F0"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First semester hookup behaviors (T2). </w:t>
      </w:r>
      <w:r w:rsidRPr="00D2327E">
        <w:rPr>
          <w:rFonts w:ascii="Times New Roman" w:eastAsia="ＭＳ 明朝" w:hAnsi="Times New Roman" w:cs="Times New Roman"/>
        </w:rPr>
        <w:t xml:space="preserve">Participants will then be asked about their specific hookup behaviors during their first semester of college. Participants will be asked, “If you did hookup during your first semester, which of the following hookup behaviors did you engage in?” Participants will then be presented with the following options and asked to check all that apply: (0) </w:t>
      </w:r>
      <w:r w:rsidRPr="00D2327E">
        <w:rPr>
          <w:rFonts w:ascii="Times New Roman" w:eastAsia="ＭＳ 明朝" w:hAnsi="Times New Roman" w:cs="Times New Roman"/>
          <w:i/>
        </w:rPr>
        <w:t>Deep kissing/making out</w:t>
      </w:r>
      <w:r w:rsidRPr="00D2327E">
        <w:rPr>
          <w:rFonts w:ascii="Times New Roman" w:eastAsia="ＭＳ 明朝" w:hAnsi="Times New Roman" w:cs="Times New Roman"/>
        </w:rPr>
        <w:t xml:space="preserve">, (1) </w:t>
      </w:r>
      <w:r w:rsidRPr="00D2327E">
        <w:rPr>
          <w:rFonts w:ascii="Times New Roman" w:eastAsia="ＭＳ 明朝" w:hAnsi="Times New Roman" w:cs="Times New Roman"/>
          <w:i/>
        </w:rPr>
        <w:t xml:space="preserve">Sexual touching </w:t>
      </w:r>
      <w:r w:rsidRPr="00D2327E">
        <w:rPr>
          <w:rFonts w:ascii="Times New Roman" w:eastAsia="ＭＳ 明朝" w:hAnsi="Times New Roman" w:cs="Times New Roman"/>
        </w:rPr>
        <w:t xml:space="preserve">(e.g., touching of partner’s genitals or partner touching your genitals), (2) </w:t>
      </w:r>
      <w:r w:rsidRPr="00D2327E">
        <w:rPr>
          <w:rFonts w:ascii="Times New Roman" w:eastAsia="ＭＳ 明朝" w:hAnsi="Times New Roman" w:cs="Times New Roman"/>
          <w:i/>
        </w:rPr>
        <w:t xml:space="preserve">Oral </w:t>
      </w:r>
      <w:r w:rsidRPr="00D2327E">
        <w:rPr>
          <w:rFonts w:ascii="Times New Roman" w:eastAsia="ＭＳ 明朝" w:hAnsi="Times New Roman" w:cs="Times New Roman"/>
          <w:i/>
        </w:rPr>
        <w:lastRenderedPageBreak/>
        <w:t xml:space="preserve">intercourse </w:t>
      </w:r>
      <w:r w:rsidRPr="00D2327E">
        <w:rPr>
          <w:rFonts w:ascii="Times New Roman" w:eastAsia="ＭＳ 明朝" w:hAnsi="Times New Roman" w:cs="Times New Roman"/>
        </w:rPr>
        <w:t xml:space="preserve">(given or received), (3) </w:t>
      </w:r>
      <w:r w:rsidRPr="00D2327E">
        <w:rPr>
          <w:rFonts w:ascii="Times New Roman" w:eastAsia="ＭＳ 明朝" w:hAnsi="Times New Roman" w:cs="Times New Roman"/>
          <w:i/>
        </w:rPr>
        <w:t>Penile-vaginal intercourse</w:t>
      </w:r>
      <w:r w:rsidRPr="00D2327E">
        <w:rPr>
          <w:rFonts w:ascii="Times New Roman" w:eastAsia="ＭＳ 明朝" w:hAnsi="Times New Roman" w:cs="Times New Roman"/>
        </w:rPr>
        <w:t xml:space="preserve">, or (4) </w:t>
      </w:r>
      <w:r w:rsidRPr="00D2327E">
        <w:rPr>
          <w:rFonts w:ascii="Times New Roman" w:eastAsia="ＭＳ 明朝" w:hAnsi="Times New Roman" w:cs="Times New Roman"/>
          <w:i/>
        </w:rPr>
        <w:t>Penile-anal intercourse</w:t>
      </w:r>
      <w:r w:rsidRPr="00D2327E">
        <w:rPr>
          <w:rFonts w:ascii="Times New Roman" w:eastAsia="ＭＳ 明朝" w:hAnsi="Times New Roman" w:cs="Times New Roman"/>
        </w:rPr>
        <w:t xml:space="preserve">, (5) </w:t>
      </w:r>
      <w:r w:rsidRPr="00D2327E">
        <w:rPr>
          <w:rFonts w:ascii="Times New Roman" w:eastAsia="ＭＳ 明朝" w:hAnsi="Times New Roman" w:cs="Times New Roman"/>
          <w:i/>
        </w:rPr>
        <w:t xml:space="preserve">Other. </w:t>
      </w:r>
      <w:r w:rsidRPr="00D2327E">
        <w:rPr>
          <w:rFonts w:ascii="Times New Roman" w:eastAsia="ＭＳ 明朝" w:hAnsi="Times New Roman" w:cs="Times New Roman"/>
        </w:rPr>
        <w:t xml:space="preserve">Participants will also be provided a space to list </w:t>
      </w:r>
      <w:r w:rsidRPr="00D2327E">
        <w:rPr>
          <w:rFonts w:ascii="Times New Roman" w:eastAsia="ＭＳ 明朝" w:hAnsi="Times New Roman" w:cs="Times New Roman"/>
          <w:i/>
        </w:rPr>
        <w:t>other</w:t>
      </w:r>
      <w:r w:rsidRPr="00D2327E">
        <w:rPr>
          <w:rFonts w:ascii="Times New Roman" w:eastAsia="ＭＳ 明朝" w:hAnsi="Times New Roman" w:cs="Times New Roman"/>
        </w:rPr>
        <w:t xml:space="preserve"> hookup behaviors.</w:t>
      </w:r>
    </w:p>
    <w:p w14:paraId="73FB20E4"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b/>
        </w:rPr>
        <w:t>Most recent hookup behaviors (T2).</w:t>
      </w:r>
      <w:r w:rsidRPr="00D2327E">
        <w:rPr>
          <w:rFonts w:ascii="Times New Roman" w:eastAsia="ＭＳ 明朝" w:hAnsi="Times New Roman" w:cs="Times New Roman"/>
        </w:rPr>
        <w:t xml:space="preserve"> To examine participants’ most recent hookup behaviors during their first semester, participants will be asked, “If you did hookup during your first semester, which of the following hookup behaviors did you engage in your MOST RECENT hookup?” Participants will then be presented with the following options and asked to check all that apply: (0) </w:t>
      </w:r>
      <w:r w:rsidRPr="00D2327E">
        <w:rPr>
          <w:rFonts w:ascii="Times New Roman" w:eastAsia="ＭＳ 明朝" w:hAnsi="Times New Roman" w:cs="Times New Roman"/>
          <w:i/>
        </w:rPr>
        <w:t>Deep kissing/making out</w:t>
      </w:r>
      <w:r w:rsidRPr="00D2327E">
        <w:rPr>
          <w:rFonts w:ascii="Times New Roman" w:eastAsia="ＭＳ 明朝" w:hAnsi="Times New Roman" w:cs="Times New Roman"/>
        </w:rPr>
        <w:t xml:space="preserve">, (1) </w:t>
      </w:r>
      <w:r w:rsidRPr="00D2327E">
        <w:rPr>
          <w:rFonts w:ascii="Times New Roman" w:eastAsia="ＭＳ 明朝" w:hAnsi="Times New Roman" w:cs="Times New Roman"/>
          <w:i/>
        </w:rPr>
        <w:t xml:space="preserve">Sexual touching </w:t>
      </w:r>
      <w:r w:rsidRPr="00D2327E">
        <w:rPr>
          <w:rFonts w:ascii="Times New Roman" w:eastAsia="ＭＳ 明朝" w:hAnsi="Times New Roman" w:cs="Times New Roman"/>
        </w:rPr>
        <w:t xml:space="preserve">(e.g., touching of partner’s genitals or partner touching your genitals), (2) </w:t>
      </w:r>
      <w:r w:rsidRPr="00D2327E">
        <w:rPr>
          <w:rFonts w:ascii="Times New Roman" w:eastAsia="ＭＳ 明朝" w:hAnsi="Times New Roman" w:cs="Times New Roman"/>
          <w:i/>
        </w:rPr>
        <w:t xml:space="preserve">Oral intercourse </w:t>
      </w:r>
      <w:r w:rsidRPr="00D2327E">
        <w:rPr>
          <w:rFonts w:ascii="Times New Roman" w:eastAsia="ＭＳ 明朝" w:hAnsi="Times New Roman" w:cs="Times New Roman"/>
        </w:rPr>
        <w:t xml:space="preserve">(given or received), (3) </w:t>
      </w:r>
      <w:r w:rsidRPr="00D2327E">
        <w:rPr>
          <w:rFonts w:ascii="Times New Roman" w:eastAsia="ＭＳ 明朝" w:hAnsi="Times New Roman" w:cs="Times New Roman"/>
          <w:i/>
        </w:rPr>
        <w:t>Penile-vaginal intercourse</w:t>
      </w:r>
      <w:r w:rsidRPr="00D2327E">
        <w:rPr>
          <w:rFonts w:ascii="Times New Roman" w:eastAsia="ＭＳ 明朝" w:hAnsi="Times New Roman" w:cs="Times New Roman"/>
        </w:rPr>
        <w:t xml:space="preserve">, or (4) </w:t>
      </w:r>
      <w:r w:rsidRPr="00D2327E">
        <w:rPr>
          <w:rFonts w:ascii="Times New Roman" w:eastAsia="ＭＳ 明朝" w:hAnsi="Times New Roman" w:cs="Times New Roman"/>
          <w:i/>
        </w:rPr>
        <w:t>Penile-anal intercourse</w:t>
      </w:r>
      <w:r w:rsidRPr="00D2327E">
        <w:rPr>
          <w:rFonts w:ascii="Times New Roman" w:eastAsia="ＭＳ 明朝" w:hAnsi="Times New Roman" w:cs="Times New Roman"/>
        </w:rPr>
        <w:t xml:space="preserve">, (5) </w:t>
      </w:r>
      <w:r w:rsidRPr="00D2327E">
        <w:rPr>
          <w:rFonts w:ascii="Times New Roman" w:eastAsia="ＭＳ 明朝" w:hAnsi="Times New Roman" w:cs="Times New Roman"/>
          <w:i/>
        </w:rPr>
        <w:t xml:space="preserve">Other. </w:t>
      </w:r>
      <w:r w:rsidRPr="00D2327E">
        <w:rPr>
          <w:rFonts w:ascii="Times New Roman" w:eastAsia="ＭＳ 明朝" w:hAnsi="Times New Roman" w:cs="Times New Roman"/>
        </w:rPr>
        <w:t xml:space="preserve">Participants will also be provided a space to list </w:t>
      </w:r>
      <w:r w:rsidRPr="00D2327E">
        <w:rPr>
          <w:rFonts w:ascii="Times New Roman" w:eastAsia="ＭＳ 明朝" w:hAnsi="Times New Roman" w:cs="Times New Roman"/>
          <w:i/>
        </w:rPr>
        <w:t>other</w:t>
      </w:r>
      <w:r w:rsidRPr="00D2327E">
        <w:rPr>
          <w:rFonts w:ascii="Times New Roman" w:eastAsia="ＭＳ 明朝" w:hAnsi="Times New Roman" w:cs="Times New Roman"/>
        </w:rPr>
        <w:t xml:space="preserve"> hookup behaviors. Participants will also be asked to specify in weeks how long ago their most recent hookup occurred and provided a space to list this information.</w:t>
      </w:r>
    </w:p>
    <w:p w14:paraId="0429C5A4"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Sexual Health Measures</w:t>
      </w:r>
    </w:p>
    <w:p w14:paraId="518FCCF7" w14:textId="77777777" w:rsidR="00D2327E" w:rsidRPr="00D2327E" w:rsidRDefault="00D2327E" w:rsidP="00D2327E">
      <w:pPr>
        <w:spacing w:line="480" w:lineRule="auto"/>
        <w:ind w:firstLine="720"/>
        <w:rPr>
          <w:rFonts w:ascii="Times New Roman" w:eastAsia="ＭＳ 明朝" w:hAnsi="Times New Roman" w:cs="Times New Roman"/>
          <w:b/>
        </w:rPr>
      </w:pPr>
      <w:r w:rsidRPr="00D2327E">
        <w:rPr>
          <w:rFonts w:ascii="Times New Roman" w:eastAsia="ＭＳ 明朝" w:hAnsi="Times New Roman" w:cs="Times New Roman"/>
        </w:rPr>
        <w:t xml:space="preserve">Previous SPS studies found a consistent emphasis on physical/sexual health related expectations, fears, and strategies (see Anders et al., under review), thus examining measures related to participants’ physical/sexual health behaviors provides insight into connections between the SPS and actual behaviors in which they are engaging. </w:t>
      </w:r>
    </w:p>
    <w:p w14:paraId="14B6F5E7" w14:textId="77777777" w:rsidR="00D2327E" w:rsidRPr="00D2327E" w:rsidRDefault="00D2327E" w:rsidP="00D2327E">
      <w:pPr>
        <w:spacing w:line="480" w:lineRule="auto"/>
        <w:ind w:firstLine="720"/>
        <w:rPr>
          <w:rFonts w:ascii="Times New Roman" w:eastAsia="ＭＳ 明朝" w:hAnsi="Times New Roman" w:cs="Times New Roman"/>
          <w:i/>
        </w:rPr>
      </w:pPr>
      <w:r w:rsidRPr="00D2327E">
        <w:rPr>
          <w:rFonts w:ascii="Times New Roman" w:eastAsia="ＭＳ 明朝" w:hAnsi="Times New Roman" w:cs="Times New Roman"/>
          <w:b/>
        </w:rPr>
        <w:t>Contraceptive use (T2).</w:t>
      </w:r>
      <w:r w:rsidRPr="00D2327E">
        <w:rPr>
          <w:rFonts w:ascii="Times New Roman" w:eastAsia="ＭＳ 明朝" w:hAnsi="Times New Roman" w:cs="Times New Roman"/>
        </w:rPr>
        <w:t xml:space="preserve"> To examine physical/sexual health behaviors related to contraceptive use (i.e., oral contraceptives and/or barrier methods), participants will be asked about their history of contraceptive use (and non-use) during sexual activity in their </w:t>
      </w:r>
      <w:r w:rsidRPr="00D2327E">
        <w:rPr>
          <w:rFonts w:ascii="Times New Roman" w:eastAsia="ＭＳ 明朝" w:hAnsi="Times New Roman" w:cs="Times New Roman"/>
        </w:rPr>
        <w:lastRenderedPageBreak/>
        <w:t xml:space="preserve">first semester. Contraceptive use during sexual activity will first be addressed by asking participants the following question, “During this semester (fall 2016), which of the following forms of contraception (i.e., sexual protection) did you use during a penetrative sexual encounter (i.e., oral sex, penile-vaginal intercourse, or penile-anal intercourse)? Please check all that apply.” Response options will include: (0) </w:t>
      </w:r>
      <w:r w:rsidRPr="00D2327E">
        <w:rPr>
          <w:rFonts w:ascii="Times New Roman" w:eastAsia="ＭＳ 明朝" w:hAnsi="Times New Roman" w:cs="Times New Roman"/>
          <w:i/>
        </w:rPr>
        <w:t xml:space="preserve">Hormonal contraceptives </w:t>
      </w:r>
      <w:r w:rsidRPr="00D2327E">
        <w:rPr>
          <w:rFonts w:ascii="Times New Roman" w:eastAsia="ＭＳ 明朝" w:hAnsi="Times New Roman" w:cs="Times New Roman"/>
        </w:rPr>
        <w:t>(e.g., oral birth control, NuvaRing)</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(1) </w:t>
      </w:r>
      <w:r w:rsidRPr="00D2327E">
        <w:rPr>
          <w:rFonts w:ascii="Times New Roman" w:eastAsia="ＭＳ 明朝" w:hAnsi="Times New Roman" w:cs="Times New Roman"/>
          <w:i/>
        </w:rPr>
        <w:t xml:space="preserve">Intrauterine Devices </w:t>
      </w:r>
      <w:r w:rsidRPr="00D2327E">
        <w:rPr>
          <w:rFonts w:ascii="Times New Roman" w:eastAsia="ＭＳ 明朝" w:hAnsi="Times New Roman" w:cs="Times New Roman"/>
        </w:rPr>
        <w:t>(IUD)</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(2) </w:t>
      </w:r>
      <w:r w:rsidRPr="00D2327E">
        <w:rPr>
          <w:rFonts w:ascii="Times New Roman" w:eastAsia="ＭＳ 明朝" w:hAnsi="Times New Roman" w:cs="Times New Roman"/>
          <w:i/>
        </w:rPr>
        <w:t xml:space="preserve">Barrier methods </w:t>
      </w:r>
      <w:r w:rsidRPr="00D2327E">
        <w:rPr>
          <w:rFonts w:ascii="Times New Roman" w:eastAsia="ＭＳ 明朝" w:hAnsi="Times New Roman" w:cs="Times New Roman"/>
        </w:rPr>
        <w:t xml:space="preserve">(e.g. condom or dental dam), (3) </w:t>
      </w:r>
      <w:r w:rsidRPr="00D2327E">
        <w:rPr>
          <w:rFonts w:ascii="Times New Roman" w:eastAsia="ＭＳ 明朝" w:hAnsi="Times New Roman" w:cs="Times New Roman"/>
          <w:i/>
        </w:rPr>
        <w:t xml:space="preserve">Withdrawal, </w:t>
      </w:r>
      <w:r w:rsidRPr="00D2327E">
        <w:rPr>
          <w:rFonts w:ascii="Times New Roman" w:eastAsia="ＭＳ 明朝" w:hAnsi="Times New Roman" w:cs="Times New Roman"/>
        </w:rPr>
        <w:t xml:space="preserve">or (4) </w:t>
      </w:r>
      <w:r w:rsidRPr="00D2327E">
        <w:rPr>
          <w:rFonts w:ascii="Times New Roman" w:eastAsia="ＭＳ 明朝" w:hAnsi="Times New Roman" w:cs="Times New Roman"/>
          <w:i/>
        </w:rPr>
        <w:t>Other</w:t>
      </w:r>
      <w:r w:rsidRPr="00D2327E">
        <w:rPr>
          <w:rFonts w:ascii="Times New Roman" w:eastAsia="ＭＳ 明朝" w:hAnsi="Times New Roman" w:cs="Times New Roman"/>
        </w:rPr>
        <w:t>. Participants will then be provided with a space to list what other form of contraception they used.</w:t>
      </w:r>
    </w:p>
    <w:p w14:paraId="4A044E0C"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Contraceptive/Condom non-use (T2). </w:t>
      </w:r>
      <w:r w:rsidRPr="00D2327E">
        <w:rPr>
          <w:rFonts w:ascii="Times New Roman" w:eastAsia="ＭＳ 明朝" w:hAnsi="Times New Roman" w:cs="Times New Roman"/>
        </w:rPr>
        <w:t xml:space="preserve">To examine whether participants engaged in unprotected sexual intercourse during their first semester in college, participants will be asked the following question, “During this semester (fall 2016), did you engage in </w:t>
      </w:r>
      <w:r w:rsidRPr="00D2327E">
        <w:rPr>
          <w:rFonts w:ascii="Times New Roman" w:eastAsia="ＭＳ 明朝" w:hAnsi="Times New Roman" w:cs="Times New Roman"/>
          <w:i/>
        </w:rPr>
        <w:t>any</w:t>
      </w:r>
      <w:r w:rsidRPr="00D2327E">
        <w:rPr>
          <w:rFonts w:ascii="Times New Roman" w:eastAsia="ＭＳ 明朝" w:hAnsi="Times New Roman" w:cs="Times New Roman"/>
        </w:rPr>
        <w:t xml:space="preserve"> penetrative sexual activity with a partner (i.e., oral sex, penile-vaginal intercourse, or penile-anal intercourse) without you (or your partner) using a form of pregnancy prevention (e.g., hormonal contraceptive) or barrier prevention (e.g., condom)?” Response options include: (0) </w:t>
      </w:r>
      <w:r w:rsidRPr="00D2327E">
        <w:rPr>
          <w:rFonts w:ascii="Times New Roman" w:eastAsia="ＭＳ 明朝" w:hAnsi="Times New Roman" w:cs="Times New Roman"/>
          <w:i/>
        </w:rPr>
        <w:t xml:space="preserve">No </w:t>
      </w:r>
      <w:r w:rsidRPr="00D2327E">
        <w:rPr>
          <w:rFonts w:ascii="Times New Roman" w:eastAsia="ＭＳ 明朝" w:hAnsi="Times New Roman" w:cs="Times New Roman"/>
        </w:rPr>
        <w:t xml:space="preserve">or (1) </w:t>
      </w:r>
      <w:r w:rsidRPr="00D2327E">
        <w:rPr>
          <w:rFonts w:ascii="Times New Roman" w:eastAsia="ＭＳ 明朝" w:hAnsi="Times New Roman" w:cs="Times New Roman"/>
          <w:i/>
        </w:rPr>
        <w:t xml:space="preserve">Yes, at least once. </w:t>
      </w:r>
      <w:r w:rsidRPr="00D2327E">
        <w:rPr>
          <w:rFonts w:ascii="Times New Roman" w:eastAsia="ＭＳ 明朝" w:hAnsi="Times New Roman" w:cs="Times New Roman"/>
        </w:rPr>
        <w:t>Participants will then be asked, “If you selected yes, please list the number of times this occurred” and then will be provided a space to list this number.</w:t>
      </w:r>
    </w:p>
    <w:p w14:paraId="223305DE"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Analyses</w:t>
      </w:r>
    </w:p>
    <w:p w14:paraId="1A74D185"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Open-ended response coding.</w:t>
      </w:r>
      <w:r w:rsidRPr="00D2327E">
        <w:rPr>
          <w:rFonts w:ascii="Times New Roman" w:eastAsia="ＭＳ 明朝" w:hAnsi="Times New Roman" w:cs="Times New Roman"/>
        </w:rPr>
        <w:t xml:space="preserve"> Guided by previous SPS examinations (Anders et al., under review), at both T1 and T2, this study will address the first and second research questions by examining participants’ open-ended responses of their expected and feared possible selves, along with the associated behavioral strategies, using qualitative content </w:t>
      </w:r>
      <w:r w:rsidRPr="00D2327E">
        <w:rPr>
          <w:rFonts w:ascii="Times New Roman" w:eastAsia="ＭＳ 明朝" w:hAnsi="Times New Roman" w:cs="Times New Roman"/>
        </w:rPr>
        <w:lastRenderedPageBreak/>
        <w:t>analysis (Krippendorff, 2013). First, responses will be carefully examined by three independent coders (i.e., one professor, one graduate student, and one undergraduate student) for recurring topics or themes. From these identified themes, keywords (i.e., units; Krippendorff, 2013) will be created as the basis for developing coding categories of the participants’ responses (e.g., physical/sexual health). Using these identified coding categories, a coding of the SPS responses will then be conducted to categorize each individual’s responses. Additionally, common techniques utilized in qualitative research will be implemented throughout the analyses to help avoid biases and to reach saturation (Creswell, 2007). These techniques include: memoing, use of multiple coders, and inter-coder reliability</w:t>
      </w:r>
      <w:r w:rsidRPr="00D2327E" w:rsidDel="005F6E88">
        <w:rPr>
          <w:rFonts w:ascii="Times New Roman" w:eastAsia="ＭＳ 明朝" w:hAnsi="Times New Roman" w:cs="Times New Roman"/>
        </w:rPr>
        <w:t xml:space="preserve"> </w:t>
      </w:r>
      <w:r w:rsidRPr="00D2327E">
        <w:rPr>
          <w:rFonts w:ascii="Times New Roman" w:eastAsia="ＭＳ 明朝" w:hAnsi="Times New Roman" w:cs="Times New Roman"/>
        </w:rPr>
        <w:t xml:space="preserve">(Creswell, 2007).  </w:t>
      </w:r>
    </w:p>
    <w:p w14:paraId="0E9693D1"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Qualitative analyses. </w:t>
      </w:r>
      <w:r w:rsidRPr="00D2327E">
        <w:rPr>
          <w:rFonts w:ascii="Times New Roman" w:eastAsia="ＭＳ 明朝" w:hAnsi="Times New Roman" w:cs="Times New Roman"/>
        </w:rPr>
        <w:t>To address our third research question, comparisons between the participants’ sexual possible selves categories at the beginning of the semester (T1) and at the end of the semester (T2) will be examined. Salience examinations of the specific categories will be analyzed to examine for differences between what sexual themes are prevalent at the beginning of the semester versus the end of the semester per participants’ responses. Descriptive statistics regarding the frequency of participants that changed their expectations and fears will be conducted, along with comparisons of what categories are most salient for this population at each time point. Significant differences in salient themes between these two time points could be indicative of the fluidity of sexuality goals or fears during this developmental transition.</w:t>
      </w:r>
    </w:p>
    <w:p w14:paraId="41B16AC1" w14:textId="77777777" w:rsid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Quantitative analyses. </w:t>
      </w:r>
      <w:r w:rsidRPr="00D2327E">
        <w:rPr>
          <w:rFonts w:ascii="Times New Roman" w:eastAsia="ＭＳ 明朝" w:hAnsi="Times New Roman" w:cs="Times New Roman"/>
        </w:rPr>
        <w:t xml:space="preserve">To address our fourth and fifth research question, participants’ responses will be coded for each category as either (0) </w:t>
      </w:r>
      <w:r w:rsidRPr="00D2327E">
        <w:rPr>
          <w:rFonts w:ascii="Times New Roman" w:eastAsia="ＭＳ 明朝" w:hAnsi="Times New Roman" w:cs="Times New Roman"/>
          <w:i/>
        </w:rPr>
        <w:t xml:space="preserve">Participant did not </w:t>
      </w:r>
      <w:r w:rsidRPr="00D2327E">
        <w:rPr>
          <w:rFonts w:ascii="Times New Roman" w:eastAsia="ＭＳ 明朝" w:hAnsi="Times New Roman" w:cs="Times New Roman"/>
          <w:i/>
        </w:rPr>
        <w:lastRenderedPageBreak/>
        <w:t xml:space="preserve">report SPS category </w:t>
      </w:r>
      <w:r w:rsidRPr="00D2327E">
        <w:rPr>
          <w:rFonts w:ascii="Times New Roman" w:eastAsia="ＭＳ 明朝" w:hAnsi="Times New Roman" w:cs="Times New Roman"/>
        </w:rPr>
        <w:t xml:space="preserve">and (1) </w:t>
      </w:r>
      <w:r w:rsidRPr="00D2327E">
        <w:rPr>
          <w:rFonts w:ascii="Times New Roman" w:eastAsia="ＭＳ 明朝" w:hAnsi="Times New Roman" w:cs="Times New Roman"/>
          <w:i/>
        </w:rPr>
        <w:t>Participant reported SPS category</w:t>
      </w:r>
      <w:r w:rsidRPr="00D2327E">
        <w:rPr>
          <w:rFonts w:ascii="Times New Roman" w:eastAsia="ＭＳ 明朝" w:hAnsi="Times New Roman" w:cs="Times New Roman"/>
        </w:rPr>
        <w:t xml:space="preserve">, as previous SPS literature reported a preponderance of zeros for each category leading to skewed data (see Anders et al., under review). This form of coding allows us to examine differences in sexual behavior outcomes between those who reported a specific category or not. Specifically, to address our fourth research question regarding the articulation of SPS categories at T1 and behavior outcomes at T2, we will run a series of chi-square tests to examine differences in expected SPS (T1) and feared SPS (T1) and the outcome measures of: </w:t>
      </w:r>
      <w:r w:rsidRPr="00D2327E">
        <w:rPr>
          <w:rFonts w:ascii="Times New Roman" w:eastAsia="ＭＳ 明朝" w:hAnsi="Times New Roman" w:cs="Times New Roman"/>
          <w:i/>
        </w:rPr>
        <w:t xml:space="preserve">sexual intercourse experience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first semester hookup experience </w:t>
      </w:r>
      <w:r w:rsidRPr="00D2327E">
        <w:rPr>
          <w:rFonts w:ascii="Times New Roman" w:eastAsia="ＭＳ 明朝" w:hAnsi="Times New Roman" w:cs="Times New Roman"/>
        </w:rPr>
        <w:t>(T2)</w:t>
      </w:r>
      <w:r w:rsidRPr="00D2327E">
        <w:rPr>
          <w:rFonts w:ascii="Times New Roman" w:eastAsia="ＭＳ 明朝" w:hAnsi="Times New Roman" w:cs="Times New Roman"/>
          <w:i/>
        </w:rPr>
        <w:t>,</w:t>
      </w:r>
      <w:r w:rsidRPr="00D2327E">
        <w:rPr>
          <w:rFonts w:ascii="Times New Roman" w:eastAsia="ＭＳ 明朝" w:hAnsi="Times New Roman" w:cs="Times New Roman"/>
        </w:rPr>
        <w:t xml:space="preserve"> </w:t>
      </w:r>
      <w:r w:rsidRPr="00D2327E">
        <w:rPr>
          <w:rFonts w:ascii="Times New Roman" w:eastAsia="ＭＳ 明朝" w:hAnsi="Times New Roman" w:cs="Times New Roman"/>
          <w:i/>
        </w:rPr>
        <w:t xml:space="preserve">first semester hookup behaviors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most recent hookup behaviors </w:t>
      </w:r>
      <w:r w:rsidRPr="00D2327E">
        <w:rPr>
          <w:rFonts w:ascii="Times New Roman" w:eastAsia="ＭＳ 明朝" w:hAnsi="Times New Roman" w:cs="Times New Roman"/>
        </w:rPr>
        <w:t xml:space="preserve">(T2), </w:t>
      </w:r>
      <w:r w:rsidRPr="00D2327E">
        <w:rPr>
          <w:rFonts w:ascii="Times New Roman" w:eastAsia="ＭＳ 明朝" w:hAnsi="Times New Roman" w:cs="Times New Roman"/>
          <w:i/>
        </w:rPr>
        <w:t xml:space="preserve">contraceptive use </w:t>
      </w:r>
      <w:r w:rsidRPr="00D2327E">
        <w:rPr>
          <w:rFonts w:ascii="Times New Roman" w:eastAsia="ＭＳ 明朝" w:hAnsi="Times New Roman" w:cs="Times New Roman"/>
        </w:rPr>
        <w:t xml:space="preserve">(T2), and </w:t>
      </w:r>
      <w:r w:rsidRPr="00D2327E">
        <w:rPr>
          <w:rFonts w:ascii="Times New Roman" w:eastAsia="ＭＳ 明朝" w:hAnsi="Times New Roman" w:cs="Times New Roman"/>
          <w:i/>
        </w:rPr>
        <w:t xml:space="preserve">contraceptive/condom non-use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and demographic measures (i.e., </w:t>
      </w:r>
      <w:r w:rsidRPr="00D2327E">
        <w:rPr>
          <w:rFonts w:ascii="Times New Roman" w:eastAsia="ＭＳ 明朝" w:hAnsi="Times New Roman" w:cs="Times New Roman"/>
          <w:i/>
        </w:rPr>
        <w:t>sex</w:t>
      </w:r>
      <w:r w:rsidRPr="00D2327E">
        <w:rPr>
          <w:rFonts w:ascii="Times New Roman" w:eastAsia="ＭＳ 明朝" w:hAnsi="Times New Roman" w:cs="Times New Roman"/>
        </w:rPr>
        <w:t xml:space="preserve">, </w:t>
      </w:r>
      <w:r w:rsidRPr="00D2327E">
        <w:rPr>
          <w:rFonts w:ascii="Times New Roman" w:eastAsia="ＭＳ 明朝" w:hAnsi="Times New Roman" w:cs="Times New Roman"/>
          <w:i/>
        </w:rPr>
        <w:t xml:space="preserve">romantic relationship status, pre-college sexual education, </w:t>
      </w:r>
      <w:r w:rsidRPr="00D2327E">
        <w:rPr>
          <w:rFonts w:ascii="Times New Roman" w:eastAsia="ＭＳ 明朝" w:hAnsi="Times New Roman" w:cs="Times New Roman"/>
        </w:rPr>
        <w:t xml:space="preserve">and </w:t>
      </w:r>
      <w:r w:rsidRPr="00D2327E">
        <w:rPr>
          <w:rFonts w:ascii="Times New Roman" w:eastAsia="ＭＳ 明朝" w:hAnsi="Times New Roman" w:cs="Times New Roman"/>
          <w:i/>
        </w:rPr>
        <w:t>religiosity</w:t>
      </w:r>
      <w:r w:rsidRPr="00D2327E">
        <w:rPr>
          <w:rFonts w:ascii="Times New Roman" w:eastAsia="ＭＳ 明朝" w:hAnsi="Times New Roman" w:cs="Times New Roman"/>
        </w:rPr>
        <w:t>).</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Last, to address our fifth research question regarding the articulation of specific behavioral strategies for attaining or avoiding the SPS categories and future behavioral outcomes, we will conduct a series of chi-square tests to examine differences in expected SPS (T1) and feared SPS (T1) and the outcome measures of: </w:t>
      </w:r>
      <w:r w:rsidRPr="00D2327E">
        <w:rPr>
          <w:rFonts w:ascii="Times New Roman" w:eastAsia="ＭＳ 明朝" w:hAnsi="Times New Roman" w:cs="Times New Roman"/>
          <w:i/>
        </w:rPr>
        <w:t xml:space="preserve">sexual intercourse experience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first semester hookup experience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first semester hookup behaviors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most recent hookup behaviors </w:t>
      </w:r>
      <w:r w:rsidRPr="00D2327E">
        <w:rPr>
          <w:rFonts w:ascii="Times New Roman" w:eastAsia="ＭＳ 明朝" w:hAnsi="Times New Roman" w:cs="Times New Roman"/>
        </w:rPr>
        <w:t xml:space="preserve">(T2), </w:t>
      </w:r>
      <w:r w:rsidRPr="00D2327E">
        <w:rPr>
          <w:rFonts w:ascii="Times New Roman" w:eastAsia="ＭＳ 明朝" w:hAnsi="Times New Roman" w:cs="Times New Roman"/>
          <w:i/>
        </w:rPr>
        <w:t xml:space="preserve">contraceptive use </w:t>
      </w:r>
      <w:r w:rsidRPr="00D2327E">
        <w:rPr>
          <w:rFonts w:ascii="Times New Roman" w:eastAsia="ＭＳ 明朝" w:hAnsi="Times New Roman" w:cs="Times New Roman"/>
        </w:rPr>
        <w:t xml:space="preserve">(T2), and </w:t>
      </w:r>
      <w:r w:rsidRPr="00D2327E">
        <w:rPr>
          <w:rFonts w:ascii="Times New Roman" w:eastAsia="ＭＳ 明朝" w:hAnsi="Times New Roman" w:cs="Times New Roman"/>
          <w:i/>
        </w:rPr>
        <w:t xml:space="preserve">contraceptive/condom non-use </w:t>
      </w:r>
      <w:r w:rsidRPr="00D2327E">
        <w:rPr>
          <w:rFonts w:ascii="Times New Roman" w:eastAsia="ＭＳ 明朝" w:hAnsi="Times New Roman" w:cs="Times New Roman"/>
        </w:rPr>
        <w:t>(T2)</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and demographic measures (i.e., </w:t>
      </w:r>
      <w:r w:rsidRPr="00D2327E">
        <w:rPr>
          <w:rFonts w:ascii="Times New Roman" w:eastAsia="ＭＳ 明朝" w:hAnsi="Times New Roman" w:cs="Times New Roman"/>
          <w:i/>
        </w:rPr>
        <w:t>sex</w:t>
      </w:r>
      <w:r w:rsidRPr="00D2327E">
        <w:rPr>
          <w:rFonts w:ascii="Times New Roman" w:eastAsia="ＭＳ 明朝" w:hAnsi="Times New Roman" w:cs="Times New Roman"/>
        </w:rPr>
        <w:t xml:space="preserve">, </w:t>
      </w:r>
      <w:r w:rsidRPr="00D2327E">
        <w:rPr>
          <w:rFonts w:ascii="Times New Roman" w:eastAsia="ＭＳ 明朝" w:hAnsi="Times New Roman" w:cs="Times New Roman"/>
          <w:i/>
        </w:rPr>
        <w:t xml:space="preserve">romantic relationship status, pre-college sexual education, </w:t>
      </w:r>
      <w:r w:rsidRPr="00D2327E">
        <w:rPr>
          <w:rFonts w:ascii="Times New Roman" w:eastAsia="ＭＳ 明朝" w:hAnsi="Times New Roman" w:cs="Times New Roman"/>
        </w:rPr>
        <w:t xml:space="preserve">and </w:t>
      </w:r>
      <w:r w:rsidRPr="00D2327E">
        <w:rPr>
          <w:rFonts w:ascii="Times New Roman" w:eastAsia="ＭＳ 明朝" w:hAnsi="Times New Roman" w:cs="Times New Roman"/>
          <w:i/>
        </w:rPr>
        <w:t>religiosity</w:t>
      </w:r>
      <w:r w:rsidRPr="00D2327E">
        <w:rPr>
          <w:rFonts w:ascii="Times New Roman" w:eastAsia="ＭＳ 明朝" w:hAnsi="Times New Roman" w:cs="Times New Roman"/>
        </w:rPr>
        <w:t xml:space="preserve">). Specifically, this study will compare differences in behavioral outcomes of participants who articulated a specific category (e.g., physical/sexual health) </w:t>
      </w:r>
      <w:r w:rsidRPr="00D2327E">
        <w:rPr>
          <w:rFonts w:ascii="Times New Roman" w:eastAsia="ＭＳ 明朝" w:hAnsi="Times New Roman" w:cs="Times New Roman"/>
          <w:i/>
        </w:rPr>
        <w:t>and</w:t>
      </w:r>
      <w:r w:rsidRPr="00D2327E">
        <w:rPr>
          <w:rFonts w:ascii="Times New Roman" w:eastAsia="ＭＳ 明朝" w:hAnsi="Times New Roman" w:cs="Times New Roman"/>
        </w:rPr>
        <w:t xml:space="preserve"> also articulated a specific behavioral strategy for attaining/avoiding that category versus participants who articulated a specific category, but were unable to articulate an </w:t>
      </w:r>
      <w:r w:rsidRPr="00D2327E">
        <w:rPr>
          <w:rFonts w:ascii="Times New Roman" w:eastAsia="ＭＳ 明朝" w:hAnsi="Times New Roman" w:cs="Times New Roman"/>
        </w:rPr>
        <w:lastRenderedPageBreak/>
        <w:t>associated behavioral strategy for attainment/avoidance. This comparison may provide continued evidence of the importance of specific behavioral strategies or pathways that guide behavior to goal attainment, and could be directly applied to promoting more individualized sexual education programs focused on specific strategy intervention.</w:t>
      </w:r>
    </w:p>
    <w:p w14:paraId="4E593FEF" w14:textId="77777777" w:rsidR="00D2327E" w:rsidRDefault="00D2327E" w:rsidP="00D2327E">
      <w:pPr>
        <w:spacing w:line="480" w:lineRule="auto"/>
        <w:jc w:val="center"/>
        <w:rPr>
          <w:rFonts w:ascii="Times New Roman" w:eastAsia="ＭＳ 明朝" w:hAnsi="Times New Roman" w:cs="Times New Roman"/>
          <w:b/>
        </w:rPr>
      </w:pPr>
      <w:r>
        <w:rPr>
          <w:rFonts w:ascii="Times New Roman" w:eastAsia="ＭＳ 明朝" w:hAnsi="Times New Roman" w:cs="Times New Roman"/>
          <w:b/>
        </w:rPr>
        <w:t>Results</w:t>
      </w:r>
    </w:p>
    <w:p w14:paraId="50F69B26" w14:textId="77777777" w:rsidR="00D2327E" w:rsidRDefault="00D2327E" w:rsidP="00D2327E">
      <w:pPr>
        <w:spacing w:line="480" w:lineRule="auto"/>
        <w:rPr>
          <w:rFonts w:ascii="Times New Roman" w:eastAsia="ＭＳ 明朝" w:hAnsi="Times New Roman" w:cs="Times New Roman"/>
        </w:rPr>
      </w:pPr>
      <w:r>
        <w:rPr>
          <w:rFonts w:ascii="Times New Roman" w:eastAsia="ＭＳ 明朝" w:hAnsi="Times New Roman" w:cs="Times New Roman"/>
        </w:rPr>
        <w:t>[Insert Results Here]</w:t>
      </w:r>
    </w:p>
    <w:p w14:paraId="1FAAED27" w14:textId="77777777" w:rsidR="00D2327E" w:rsidRDefault="00D2327E" w:rsidP="00D2327E">
      <w:pPr>
        <w:spacing w:line="480" w:lineRule="auto"/>
        <w:jc w:val="center"/>
        <w:rPr>
          <w:rFonts w:ascii="Times New Roman" w:eastAsia="ＭＳ 明朝" w:hAnsi="Times New Roman" w:cs="Times New Roman"/>
          <w:b/>
        </w:rPr>
      </w:pPr>
      <w:r>
        <w:rPr>
          <w:rFonts w:ascii="Times New Roman" w:eastAsia="ＭＳ 明朝" w:hAnsi="Times New Roman" w:cs="Times New Roman"/>
          <w:b/>
        </w:rPr>
        <w:t>Discussion</w:t>
      </w:r>
    </w:p>
    <w:p w14:paraId="7B58BDAB" w14:textId="77777777" w:rsidR="005E2DE2" w:rsidRPr="00D2327E" w:rsidRDefault="00D2327E" w:rsidP="00D2327E">
      <w:pPr>
        <w:spacing w:line="480" w:lineRule="auto"/>
        <w:jc w:val="center"/>
        <w:rPr>
          <w:rFonts w:ascii="Times New Roman" w:hAnsi="Times New Roman" w:cs="Times New Roman"/>
          <w:b/>
        </w:rPr>
      </w:pPr>
      <w:r>
        <w:rPr>
          <w:rFonts w:ascii="Times New Roman" w:eastAsia="ＭＳ 明朝" w:hAnsi="Times New Roman" w:cs="Times New Roman"/>
        </w:rPr>
        <w:t>[Insert Discussion Here]</w:t>
      </w:r>
      <w:r w:rsidR="00F710F9" w:rsidRPr="005E2DE2">
        <w:rPr>
          <w:rFonts w:ascii="Times New Roman" w:hAnsi="Times New Roman" w:cs="Times New Roman"/>
        </w:rPr>
        <w:br w:type="page"/>
      </w:r>
      <w:r w:rsidR="005E2DE2" w:rsidRPr="00D2327E">
        <w:rPr>
          <w:rFonts w:ascii="Times New Roman" w:hAnsi="Times New Roman" w:cs="Times New Roman"/>
          <w:b/>
        </w:rPr>
        <w:lastRenderedPageBreak/>
        <w:t>CHAPTER 4:</w:t>
      </w:r>
    </w:p>
    <w:p w14:paraId="1671346C" w14:textId="77777777" w:rsidR="005E2DE2" w:rsidRDefault="005E2DE2" w:rsidP="005E2DE2">
      <w:pPr>
        <w:pStyle w:val="Heading2"/>
        <w:spacing w:line="480" w:lineRule="auto"/>
        <w:rPr>
          <w:rFonts w:ascii="Times New Roman" w:hAnsi="Times New Roman" w:cs="Times New Roman"/>
          <w:b w:val="0"/>
          <w:bCs w:val="0"/>
          <w:iCs w:val="0"/>
          <w:sz w:val="24"/>
          <w:szCs w:val="24"/>
        </w:rPr>
      </w:pPr>
      <w:r w:rsidRPr="005E2DE2">
        <w:rPr>
          <w:rFonts w:ascii="Times New Roman" w:hAnsi="Times New Roman" w:cs="Times New Roman"/>
          <w:b w:val="0"/>
          <w:bCs w:val="0"/>
          <w:iCs w:val="0"/>
          <w:sz w:val="24"/>
          <w:szCs w:val="24"/>
        </w:rPr>
        <w:t>In-depth Qualitative Examination of Sexual Possible Selves and Strategies of First Semester College Students: How Sexual Possible Selves are Developed During the Transition to College</w:t>
      </w:r>
    </w:p>
    <w:p w14:paraId="0FF4CAE9" w14:textId="77777777" w:rsidR="00D2327E" w:rsidRDefault="00D2327E" w:rsidP="00D2327E">
      <w:pPr>
        <w:rPr>
          <w:rFonts w:ascii="Times New Roman" w:hAnsi="Times New Roman" w:cs="Times New Roman"/>
          <w:b/>
          <w:bCs/>
          <w:iCs/>
        </w:rPr>
      </w:pPr>
      <w:r>
        <w:rPr>
          <w:rFonts w:ascii="Times New Roman" w:hAnsi="Times New Roman" w:cs="Times New Roman"/>
          <w:b/>
          <w:bCs/>
          <w:iCs/>
        </w:rPr>
        <w:br w:type="page"/>
      </w:r>
    </w:p>
    <w:p w14:paraId="3D18FE8C" w14:textId="77777777" w:rsidR="00D2327E" w:rsidRDefault="00D2327E" w:rsidP="00D2327E">
      <w:pPr>
        <w:spacing w:line="480" w:lineRule="auto"/>
        <w:jc w:val="center"/>
        <w:rPr>
          <w:rFonts w:ascii="Times New Roman" w:hAnsi="Times New Roman" w:cs="Times New Roman"/>
          <w:b/>
        </w:rPr>
      </w:pPr>
      <w:r>
        <w:rPr>
          <w:rFonts w:ascii="Times New Roman" w:hAnsi="Times New Roman" w:cs="Times New Roman"/>
          <w:b/>
        </w:rPr>
        <w:lastRenderedPageBreak/>
        <w:t>Abstract</w:t>
      </w:r>
    </w:p>
    <w:p w14:paraId="02EA19A7" w14:textId="77777777" w:rsidR="00D2327E" w:rsidRDefault="00D2327E" w:rsidP="00D2327E">
      <w:pPr>
        <w:spacing w:line="480" w:lineRule="auto"/>
        <w:rPr>
          <w:rFonts w:ascii="Times New Roman" w:hAnsi="Times New Roman" w:cs="Times New Roman"/>
        </w:rPr>
      </w:pPr>
      <w:r>
        <w:rPr>
          <w:rFonts w:ascii="Times New Roman" w:hAnsi="Times New Roman" w:cs="Times New Roman"/>
        </w:rPr>
        <w:t>[Insert Abstract Here]</w:t>
      </w:r>
    </w:p>
    <w:p w14:paraId="69E6D882" w14:textId="77777777" w:rsidR="00D2327E" w:rsidRPr="00D2327E" w:rsidRDefault="00D2327E" w:rsidP="00D2327E">
      <w:pPr>
        <w:spacing w:line="480" w:lineRule="auto"/>
        <w:jc w:val="center"/>
        <w:rPr>
          <w:rFonts w:ascii="Times New Roman" w:eastAsia="ＭＳ 明朝" w:hAnsi="Times New Roman" w:cs="Times New Roman"/>
          <w:b/>
        </w:rPr>
      </w:pPr>
      <w:r w:rsidRPr="00D2327E">
        <w:rPr>
          <w:rFonts w:ascii="Times New Roman" w:eastAsia="ＭＳ 明朝" w:hAnsi="Times New Roman" w:cs="Times New Roman"/>
          <w:b/>
        </w:rPr>
        <w:t>Introduction</w:t>
      </w:r>
    </w:p>
    <w:p w14:paraId="580CDFF3"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t xml:space="preserve">The period of adolescence is considered a time of identity development, wherein adolescents are afforded a moratorium to explore various facets of their current and future selves prior to adulthood (Erikson, 1950; Oyserman &amp; Fryberg, 2006); however, due to recent economic and educational shifts, some scholars argue that this moratorium has continued into early adulthood, and has since been referred to as emerging adulthood (Arnett, 2015). Emerging adulthood (ages 18-29) is a period of relative freedom from responsibilities associated with adulthood (e.g., having a family) wherein individuals are able to explore aspects of their identity, typically in a higher education setting (e.g., college; Arnett, 2015). During this period, emerging adults often transition from their familial home and parental influences to settings where they are required to become more independent, autonomous individuals; however, this period is also thought to be a time wherein emerging adults are influenced by their perceptions of cultural norms and peer behaviors in college environments (i.e., pluralistic ignorance; Fielder &amp; Carey, 2010; Lambert, Kahn, &amp; Apple, 2003). Evidence suggests that these perceptions may influence involvement in various cultures and behaviors in college, including in the realm of sexuality (Barriger &amp; Velez-Blasini, 2013; Fielder &amp; Carey, 2010). </w:t>
      </w:r>
    </w:p>
    <w:p w14:paraId="00F84D44"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Recent trends in sexuality research have focused on how expectations of sexual norms or peers’ behaviors shape college students’ casual sex behaviors during the period of emerging adulthood (e.g., hooking up; Fielder &amp; Carey, 2010; Stinson, 2010). The </w:t>
      </w:r>
      <w:r w:rsidRPr="00D2327E">
        <w:rPr>
          <w:rFonts w:ascii="Times New Roman" w:eastAsia="ＭＳ 明朝" w:hAnsi="Times New Roman" w:cs="Times New Roman"/>
        </w:rPr>
        <w:lastRenderedPageBreak/>
        <w:t xml:space="preserve">expectations of normative sexual behaviors within society, and specifically of peers, have been referred to as sexual expectations (Stinson, 2010); however, recent research has expanded upon this expectation literature by focusing away from external sexual motivators (e.g., expectations of peer behaviors), and instead focusing on how expectations of oneself may serve as motivation to engage in or avoid specific sexual outcomes (i.e., sexual possible selves; Anders, Olmstead, &amp; Johnson, under review). Sexual possible selves attend to the sexual selves an individual expects to become or hopes to avoid becoming in the proximal future (i.e., typically in the next year). These types of selves are considered to be motivators for behavioral change (Oyserman &amp; Fryberg, 2006) and are typically representative of one’s current developmental stage (Oyserman, Bybee, Terry, &amp; Hart-Johnson, 2004). Recent evidence suggested that examining the content of sexual possible selves can provide insight into important themes within college students’ sexual identity development, particularly as emerging adults make the transition into the college environment (Anders et al., under review). </w:t>
      </w:r>
    </w:p>
    <w:p w14:paraId="50B8D0F7"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Despite these important contributions, the sexual possible selves literature has focused primarily on </w:t>
      </w:r>
      <w:r w:rsidRPr="00D2327E">
        <w:rPr>
          <w:rFonts w:ascii="Times New Roman" w:eastAsia="ＭＳ 明朝" w:hAnsi="Times New Roman" w:cs="Times New Roman"/>
          <w:i/>
        </w:rPr>
        <w:t xml:space="preserve">what </w:t>
      </w:r>
      <w:r w:rsidRPr="00D2327E">
        <w:rPr>
          <w:rFonts w:ascii="Times New Roman" w:eastAsia="ＭＳ 明朝" w:hAnsi="Times New Roman" w:cs="Times New Roman"/>
        </w:rPr>
        <w:t xml:space="preserve">are emerging adults’ expectations and fears (i.e., the content), and has yet to examine </w:t>
      </w:r>
      <w:r w:rsidRPr="00D2327E">
        <w:rPr>
          <w:rFonts w:ascii="Times New Roman" w:eastAsia="ＭＳ 明朝" w:hAnsi="Times New Roman" w:cs="Times New Roman"/>
          <w:i/>
        </w:rPr>
        <w:t xml:space="preserve">how </w:t>
      </w:r>
      <w:r w:rsidRPr="00D2327E">
        <w:rPr>
          <w:rFonts w:ascii="Times New Roman" w:eastAsia="ＭＳ 明朝" w:hAnsi="Times New Roman" w:cs="Times New Roman"/>
        </w:rPr>
        <w:t xml:space="preserve">these sexual possible self identities are developed (e.g., through previous experience) or </w:t>
      </w:r>
      <w:r w:rsidRPr="00D2327E">
        <w:rPr>
          <w:rFonts w:ascii="Times New Roman" w:eastAsia="ＭＳ 明朝" w:hAnsi="Times New Roman" w:cs="Times New Roman"/>
          <w:i/>
        </w:rPr>
        <w:t xml:space="preserve">why </w:t>
      </w:r>
      <w:r w:rsidRPr="00D2327E">
        <w:rPr>
          <w:rFonts w:ascii="Times New Roman" w:eastAsia="ＭＳ 明朝" w:hAnsi="Times New Roman" w:cs="Times New Roman"/>
        </w:rPr>
        <w:t xml:space="preserve">their articulated selves are important to their sexual identities (e.g., religious values). Examining the development of emerging adults’ sexual possible selves would provide insight into specific influences that shape their future oriented sexual identities and likely hold important implications for influential areas in which to implement sexual education. To date, sexual possible selves have only been </w:t>
      </w:r>
      <w:r w:rsidRPr="00D2327E">
        <w:rPr>
          <w:rFonts w:ascii="Times New Roman" w:eastAsia="ＭＳ 明朝" w:hAnsi="Times New Roman" w:cs="Times New Roman"/>
        </w:rPr>
        <w:lastRenderedPageBreak/>
        <w:t>examined through cross-sectional survey methods, which may limit the information collected regarding salient sexual themes, particularly when trying to understand the developmental processes of how sexual expectations and fears form. Given these limitations, the purpose of this study was to extend the sexual possible selves literature by examining how college men and women develop the sexual selves they expect to become and hope to avoid becoming during their first semester at college through in-depth semi-structured interviews. Specifically, we were interested in identifying and examining: (a) prominent categories of sexual possible selves and fears, (b) associated strategies for achieving and avoiding these sexual possible selves and fears within each group, and (c) emergent themes in the development of sexual possible selves.</w:t>
      </w:r>
    </w:p>
    <w:p w14:paraId="5D357476"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The Life Course Period of Emerging Adulthood</w:t>
      </w:r>
    </w:p>
    <w:p w14:paraId="66C1CB46"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Recent shifts in economic and social trends, including increases in postsecondary education attendance, have led to the identification of the period between the ages of 18 to 29 where individuals have the opportunity to defer adult roles (e.g., marriage) to continue exploring facets of their identity (e.g., love, work, and sexuality; Arnett, 2015). During the period of emerging adulthood, individuals typically experience relative independence from normative social expectations and embrace opportunities for experimentation (Arnett, 2015). Emerging adults are thought to be distinct from adolescents as they typically transition from their familial home, often to higher education settings (about 70%; Arnett, 2015), and will become more autonomous from their parents. In particular, the transition to college has been shown to be an influential time on emerging adults’ development, as this transition has been associated with </w:t>
      </w:r>
      <w:r w:rsidRPr="00D2327E">
        <w:rPr>
          <w:rFonts w:ascii="Times New Roman" w:eastAsia="ＭＳ 明朝" w:hAnsi="Times New Roman" w:cs="Times New Roman"/>
        </w:rPr>
        <w:lastRenderedPageBreak/>
        <w:t>increased engagement in risk behaviors such as alcohol use and risky sexual behavior (e.g., Fielder, Walsh, Carey, &amp; Carey, 2013). During this transition, many emerging adults will experience shifts in their ideals, beliefs, and behaviors as they are exposed to various cultures and subcultures on college campuses, including shifts in sexual beliefs and behaviors (Kenyon &amp; Koerner, 2009). Recent evidence suggested that first year students have the highest hookup rates compared to those more advanced in college (Roberson, Olmstead, &amp; Fincham, 2015).</w:t>
      </w:r>
    </w:p>
    <w:p w14:paraId="33A038A9"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Sexuality in Emerging Adulthood</w:t>
      </w:r>
    </w:p>
    <w:p w14:paraId="24AA8B61"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t xml:space="preserve">The period of emerging adulthood is thought to be a time of exploration and experimentation in a variety of areas, including the realm of sexuality (Arnett, 2015). Much attention has been given to sexual exploration and experimentation that occurs on college campuses (e.g., hooking up; Garcia, Reiber, Massey, &amp; Merriwether, 2012). Although adolescents engage in sexual behaviors prior to college (Fielder &amp; Carey, 2010), the transition to college and integration into the various sexual cultures (e.g., hookup culture; Garcia et al., 2012) on campus may be an influential time in establishing patterns of sexual or health related behaviors (Fielder &amp; Carey, 2010; Olmstead, Roberson, Pasley, &amp; Fincham, 2013). Emerging adult sexuality research has consistently showed that college is a time wherein individuals consider it socially normative to engage in a series of non-committed sexual encounters or a series of brief, committed romantic relationships (i.e., serial monogamy; Regnerus &amp; Uecker, 2011). These relationships provide opportunities to explore various facets of sexuality prior to becoming involved in more long-term, committed relationships such as marriage. </w:t>
      </w:r>
    </w:p>
    <w:p w14:paraId="3DB1D5DD"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lastRenderedPageBreak/>
        <w:tab/>
        <w:t>One influence on the trends in emerging adults’ sexual behavior is through their perceptions or expectations of “socially normative” sexuality on college campuses. Recent evidence suggested that emerging adults tend to overestimate many sexual norms in college, including how often their peers engage in sexual behaviors (i.e., descriptive norms) and the level of peer acceptance of various sexual behaviors (i.e., injunctive norms; Fielder &amp; Carey, 2010; Lambert et al., 2003). Further, these overestimations have been associated with an increase in acceptance of and actual engagement in casual sex behavior (Barriger &amp; Velez-Blasini, 2013; Fielder &amp; Carey, 2010; Napper, Kenney, &amp; LaBrie, 2015). These findings suggest that an individual’s sexual motivation may be affected by external influences, such as peers or social norms; however, less is known about how internalized sexual motivations may influence one’s sexual behavioral.</w:t>
      </w:r>
    </w:p>
    <w:p w14:paraId="6A666004"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The Theory of Possible Selves</w:t>
      </w:r>
    </w:p>
    <w:p w14:paraId="747E6665"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b/>
        </w:rPr>
        <w:tab/>
      </w:r>
      <w:r w:rsidRPr="00D2327E">
        <w:rPr>
          <w:rFonts w:ascii="Times New Roman" w:eastAsia="ＭＳ 明朝" w:hAnsi="Times New Roman" w:cs="Times New Roman"/>
        </w:rPr>
        <w:t xml:space="preserve">One way to examine emerging adults’ internalized motivations, including in the realm of sexuality, is using the theory of possible selves (Markus &amp; Nurius, 1986; Oyserman et al., 2004). Possible selves are internalized expectations or fears for oneself in the future and focus on the selves one hopes to become, expects to become, or hopes to avoid becoming (Markus &amp; Nurius, 1986). Possible selves are associated with future behaviors and outcomes including identity development and goal attainment, and are thought to be reflective of one’s current developmental life stage (Oyserman &amp; James, 2009). From an early age individuals develop awareness of their current identity or facets of their selves (Oyserman &amp; Fryberg, 2006). During childhood, an individual’s selves are often simplistic and </w:t>
      </w:r>
      <w:r w:rsidRPr="00D2327E">
        <w:rPr>
          <w:rFonts w:ascii="Times New Roman" w:eastAsia="ＭＳ 明朝" w:hAnsi="Times New Roman" w:cs="Times New Roman"/>
          <w:i/>
        </w:rPr>
        <w:t>presently</w:t>
      </w:r>
      <w:r w:rsidRPr="00D2327E">
        <w:rPr>
          <w:rFonts w:ascii="Times New Roman" w:eastAsia="ＭＳ 明朝" w:hAnsi="Times New Roman" w:cs="Times New Roman"/>
        </w:rPr>
        <w:t xml:space="preserve"> focused, or may be future oriented but fairly implausible </w:t>
      </w:r>
      <w:r w:rsidRPr="00D2327E">
        <w:rPr>
          <w:rFonts w:ascii="Times New Roman" w:eastAsia="ＭＳ 明朝" w:hAnsi="Times New Roman" w:cs="Times New Roman"/>
        </w:rPr>
        <w:lastRenderedPageBreak/>
        <w:t xml:space="preserve">(e.g., becoming an astronaut); however, as children develop into adolescents, they begin to focus on and develop ideations of their </w:t>
      </w:r>
      <w:r w:rsidRPr="00D2327E">
        <w:rPr>
          <w:rFonts w:ascii="Times New Roman" w:eastAsia="ＭＳ 明朝" w:hAnsi="Times New Roman" w:cs="Times New Roman"/>
          <w:i/>
        </w:rPr>
        <w:t>future,</w:t>
      </w:r>
      <w:r w:rsidRPr="00D2327E">
        <w:rPr>
          <w:rFonts w:ascii="Times New Roman" w:eastAsia="ＭＳ 明朝" w:hAnsi="Times New Roman" w:cs="Times New Roman"/>
        </w:rPr>
        <w:t xml:space="preserve"> plausible identities or selves (e.g., become a college graduate; Oyserman &amp; Fryberg, 2006). Further, research suggested an individual’s possible selves are often developed through previous experiences, past behaviors, and current skills (Markus &amp; Nurius, 1986) or are rooted in one’s own ideals, aspirations, and values (Oyserman &amp; Fryberg, 2006). </w:t>
      </w:r>
    </w:p>
    <w:p w14:paraId="302B34F1"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Although possible selves are seen as individualized and self-motivated, construction of these future selves has been found to be inherently social in nature, as individuals often look to others as models for the development of their future selves (Oyserman &amp; Fryberg, 2006). Specifically, important others (e.g., parents) and social contexts play an important role in the creation and maintenance of possible selves, often helping or hindering attainment of these future oriented selves (Oyserman et al., 2004; Oyserman &amp; Fryberg, 2006; Oyserman, Johnson, &amp; James, 2011). Overall, it appears that the development of one’s possible selves, including the motivations behind and influences on, may hold important implications for future attainment of these selves (Oyserman &amp; Fryberg, 2006; Oyserman, Bybee, &amp; Terry, 2006). </w:t>
      </w:r>
    </w:p>
    <w:p w14:paraId="049ACBF5"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b/>
        </w:rPr>
        <w:t>Sexual Possible Selves</w:t>
      </w:r>
    </w:p>
    <w:p w14:paraId="418F37A4"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Recent research has focused on expanding the sexual expectation and possible self literature by examining internalized motivations or identities in the realm of sexuality. This concept, referred to as sexual possible selves (Anders et al., under review), attends to the expected and feared sexual selves that individuals holds for themselves in the proximal future (i.e., typically a year out), along with specific </w:t>
      </w:r>
      <w:r w:rsidRPr="00D2327E">
        <w:rPr>
          <w:rFonts w:ascii="Times New Roman" w:eastAsia="ＭＳ 明朝" w:hAnsi="Times New Roman" w:cs="Times New Roman"/>
        </w:rPr>
        <w:lastRenderedPageBreak/>
        <w:t xml:space="preserve">behavioral strategies that individuals utilizes to attain or avoid these future oriented selves. Similar to previous studies, sexual possible selves may be reflective of current developmental period (e.g., emerging adulthood) and may hold important implications for which aspects of sexuality are most salient (Anders et al., under review). These sexual expectations and fears can serve as motivation to attaining future selves by providing goals or acting as guidelines that have been shown to increase likelihood of goal attainment (Oyserman et al., 2004). Despite the potential utility of sexual possible selves, particularly as a prospective enhancement for sexual education and intervention programs, there has been limited research on this topic. </w:t>
      </w:r>
    </w:p>
    <w:p w14:paraId="2E566CEA"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A thorough review of the literature indicated just one study that examined the sexual possible selves of emerging adults (see Anders et al., under review). This study used a mixed-methods approach to examine the sexual expectations, fears, and strategies of a sample of first semester college men and women (</w:t>
      </w:r>
      <w:r w:rsidRPr="00D2327E">
        <w:rPr>
          <w:rFonts w:ascii="Times New Roman" w:eastAsia="ＭＳ 明朝" w:hAnsi="Times New Roman" w:cs="Times New Roman"/>
          <w:i/>
        </w:rPr>
        <w:t xml:space="preserve">N </w:t>
      </w:r>
      <w:r w:rsidRPr="00D2327E">
        <w:rPr>
          <w:rFonts w:ascii="Times New Roman" w:eastAsia="ＭＳ 明朝" w:hAnsi="Times New Roman" w:cs="Times New Roman"/>
        </w:rPr>
        <w:t>= 282). Anders and colleagues (under review) discovered the emergence of several sexual possible self themes including abstinence, physical/sexual health, sexual exploration, and interpersonal relationships. They also examined whether participants identified specific behavioral strategies they were utilizing to attain (or avoid) these future selves. Although several of their participants reported expectations or fears for their future sexual self, a proportion (22.3%) were unable to provide a detailed strategy they would utilize to attain or avoid these selves. They also found differences based on sample demographics, including participant gender, intercourse experience, being in a romantic relationship, and religiosity.</w:t>
      </w:r>
    </w:p>
    <w:p w14:paraId="449D1AC9"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lastRenderedPageBreak/>
        <w:t xml:space="preserve">Although this study provided insight into important themes within emerging adults’ sexual possible selves, and highlighted the variations that exist in sexual possible selves based on demographic factors, it was limited in several ways. First, this study did not examine the motivations behind participants’ sexual possible selves, and thus they were unable to explain </w:t>
      </w:r>
      <w:r w:rsidRPr="00D2327E">
        <w:rPr>
          <w:rFonts w:ascii="Times New Roman" w:eastAsia="ＭＳ 明朝" w:hAnsi="Times New Roman" w:cs="Times New Roman"/>
          <w:i/>
        </w:rPr>
        <w:t>why</w:t>
      </w:r>
      <w:r w:rsidRPr="00D2327E">
        <w:rPr>
          <w:rFonts w:ascii="Times New Roman" w:eastAsia="ＭＳ 明朝" w:hAnsi="Times New Roman" w:cs="Times New Roman"/>
        </w:rPr>
        <w:t xml:space="preserve"> emerging adults are focusing on these specific expectations and fears. Second, although previous studies highlights the importance of social contexts and peer influences on the development of these selves, this study did not examine </w:t>
      </w:r>
      <w:r w:rsidRPr="00D2327E">
        <w:rPr>
          <w:rFonts w:ascii="Times New Roman" w:eastAsia="ＭＳ 明朝" w:hAnsi="Times New Roman" w:cs="Times New Roman"/>
          <w:i/>
        </w:rPr>
        <w:t xml:space="preserve">how </w:t>
      </w:r>
      <w:r w:rsidRPr="00D2327E">
        <w:rPr>
          <w:rFonts w:ascii="Times New Roman" w:eastAsia="ＭＳ 明朝" w:hAnsi="Times New Roman" w:cs="Times New Roman"/>
        </w:rPr>
        <w:t>emerging adults developed their future oriented expectations, including potential influences on goal development. Third, the sexual possible selves literature would benefit from an in-depth examination (i.e., use of qualitative methods) of emerging adults’ sexual possible selves, which would allow participants to expand upon and provide a detailed articulation of what specific expectations and fears they may hold for their future sexuality.</w:t>
      </w:r>
    </w:p>
    <w:p w14:paraId="5A195953" w14:textId="77777777" w:rsidR="00D2327E" w:rsidRPr="00D2327E" w:rsidRDefault="00D2327E" w:rsidP="00D2327E">
      <w:pPr>
        <w:spacing w:line="480" w:lineRule="auto"/>
        <w:jc w:val="center"/>
        <w:rPr>
          <w:rFonts w:ascii="Times New Roman" w:eastAsia="ＭＳ 明朝" w:hAnsi="Times New Roman" w:cs="Times New Roman"/>
          <w:b/>
        </w:rPr>
      </w:pPr>
      <w:r w:rsidRPr="00D2327E">
        <w:rPr>
          <w:rFonts w:ascii="Times New Roman" w:eastAsia="ＭＳ 明朝" w:hAnsi="Times New Roman" w:cs="Times New Roman"/>
          <w:b/>
        </w:rPr>
        <w:t>Current Study</w:t>
      </w:r>
    </w:p>
    <w:p w14:paraId="1984A9DC"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The current study contributes to the sexual possible selves literature by examining the development of first year students’ expected and feared sexual possible selves through in-depth, semi-structured interviews. Specifically, we examined emergent themes within first year students’ sexual possible selves and fears, and the accompanying strategies (or lack thereof) these groups articulate to achieving or avoiding their sexual possible selves. As previous research has focused solely on </w:t>
      </w:r>
      <w:r w:rsidRPr="00D2327E">
        <w:rPr>
          <w:rFonts w:ascii="Times New Roman" w:eastAsia="ＭＳ 明朝" w:hAnsi="Times New Roman" w:cs="Times New Roman"/>
          <w:i/>
        </w:rPr>
        <w:t xml:space="preserve">what </w:t>
      </w:r>
      <w:r w:rsidRPr="00D2327E">
        <w:rPr>
          <w:rFonts w:ascii="Times New Roman" w:eastAsia="ＭＳ 明朝" w:hAnsi="Times New Roman" w:cs="Times New Roman"/>
        </w:rPr>
        <w:t xml:space="preserve">are emerging adults’ sexual possible selves, our study will extend our current understandings of sexual possible selves by focusing on </w:t>
      </w:r>
      <w:r w:rsidRPr="00D2327E">
        <w:rPr>
          <w:rFonts w:ascii="Times New Roman" w:eastAsia="ＭＳ 明朝" w:hAnsi="Times New Roman" w:cs="Times New Roman"/>
          <w:i/>
        </w:rPr>
        <w:t xml:space="preserve">why </w:t>
      </w:r>
      <w:r w:rsidRPr="00D2327E">
        <w:rPr>
          <w:rFonts w:ascii="Times New Roman" w:eastAsia="ＭＳ 明朝" w:hAnsi="Times New Roman" w:cs="Times New Roman"/>
        </w:rPr>
        <w:t xml:space="preserve">and </w:t>
      </w:r>
      <w:r w:rsidRPr="00D2327E">
        <w:rPr>
          <w:rFonts w:ascii="Times New Roman" w:eastAsia="ＭＳ 明朝" w:hAnsi="Times New Roman" w:cs="Times New Roman"/>
          <w:i/>
        </w:rPr>
        <w:t>how</w:t>
      </w:r>
      <w:r w:rsidRPr="00D2327E">
        <w:rPr>
          <w:rFonts w:ascii="Times New Roman" w:eastAsia="ＭＳ 明朝" w:hAnsi="Times New Roman" w:cs="Times New Roman"/>
        </w:rPr>
        <w:t xml:space="preserve"> these future oriented selves are developed </w:t>
      </w:r>
      <w:r w:rsidRPr="00D2327E">
        <w:rPr>
          <w:rFonts w:ascii="Times New Roman" w:eastAsia="ＭＳ 明朝" w:hAnsi="Times New Roman" w:cs="Times New Roman"/>
        </w:rPr>
        <w:lastRenderedPageBreak/>
        <w:t>among transitioning emerging adults. The findings from this study are likely reflective of important influences on identity development, particularly in the realm of early sexual identity. Further, findings regarding the development of first year students’ SPS may hold important implications for key developmental or social contexts in which implementation of sexual interventions and/or education may be most beneficial. Our study was guided by four research questions developed from theory (life course theory and possible selves), the extant literature on sexual possible selves and sexuality in emerging adulthood, and a qualitative methodological approach:</w:t>
      </w:r>
    </w:p>
    <w:p w14:paraId="11751532"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RQ1</w:t>
      </w:r>
      <w:r w:rsidRPr="00D2327E">
        <w:rPr>
          <w:rFonts w:ascii="Times New Roman" w:eastAsia="ＭＳ 明朝" w:hAnsi="Times New Roman" w:cs="Times New Roman"/>
        </w:rPr>
        <w:t>: What themes emerge regarding first semester students’ (a) expected and (b) feared sexual possible selves?</w:t>
      </w:r>
    </w:p>
    <w:p w14:paraId="53BAE273"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RQ2</w:t>
      </w:r>
      <w:r w:rsidRPr="00D2327E">
        <w:rPr>
          <w:rFonts w:ascii="Times New Roman" w:eastAsia="ＭＳ 明朝" w:hAnsi="Times New Roman" w:cs="Times New Roman"/>
        </w:rPr>
        <w:t>: What themes emerge regarding first semester students’ strategies associated with their (a) expected and (b) feared sexual possible selves?</w:t>
      </w:r>
    </w:p>
    <w:p w14:paraId="438E33F6"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RQ3</w:t>
      </w:r>
      <w:r w:rsidRPr="00D2327E">
        <w:rPr>
          <w:rFonts w:ascii="Times New Roman" w:eastAsia="ＭＳ 明朝" w:hAnsi="Times New Roman" w:cs="Times New Roman"/>
        </w:rPr>
        <w:t>: What sources influence the development or construction of first semester students’ (a) expected and (b) feared sexual possible selves?</w:t>
      </w:r>
    </w:p>
    <w:p w14:paraId="416C4A92" w14:textId="77777777" w:rsidR="00D2327E" w:rsidRPr="00D2327E" w:rsidRDefault="00D2327E" w:rsidP="00D2327E">
      <w:pPr>
        <w:spacing w:line="480" w:lineRule="auto"/>
        <w:jc w:val="center"/>
        <w:rPr>
          <w:rFonts w:ascii="Times New Roman" w:eastAsia="ＭＳ 明朝" w:hAnsi="Times New Roman" w:cs="Times New Roman"/>
          <w:b/>
        </w:rPr>
      </w:pPr>
      <w:r w:rsidRPr="00D2327E">
        <w:rPr>
          <w:rFonts w:ascii="Times New Roman" w:eastAsia="ＭＳ 明朝" w:hAnsi="Times New Roman" w:cs="Times New Roman"/>
          <w:b/>
        </w:rPr>
        <w:t>Proposed Methods</w:t>
      </w:r>
    </w:p>
    <w:p w14:paraId="72759396"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Participants</w:t>
      </w:r>
    </w:p>
    <w:p w14:paraId="23ABC573"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t xml:space="preserve">Participants will be recruited through the Department of Psychology’s SONA system at the University of Tennessee, Knoxville (described in detail in the data collection section) and individuals will self-select into this study. I will recruit and interview a </w:t>
      </w:r>
      <w:r w:rsidRPr="00D2327E">
        <w:rPr>
          <w:rFonts w:ascii="Times New Roman" w:eastAsia="ＭＳ 明朝" w:hAnsi="Times New Roman" w:cs="Times New Roman"/>
          <w:i/>
        </w:rPr>
        <w:t>minimum</w:t>
      </w:r>
      <w:r w:rsidRPr="00D2327E">
        <w:rPr>
          <w:rFonts w:ascii="Times New Roman" w:eastAsia="ＭＳ 明朝" w:hAnsi="Times New Roman" w:cs="Times New Roman"/>
        </w:rPr>
        <w:t xml:space="preserve"> of 30 participants in the first four weeks of the fall 2016 semester (i.e., as they transition into college). I have proposed a sample size of at least 30 participants because this size is thought to be appropriate for achieving saturation of </w:t>
      </w:r>
      <w:r w:rsidRPr="00D2327E">
        <w:rPr>
          <w:rFonts w:ascii="Times New Roman" w:eastAsia="ＭＳ 明朝" w:hAnsi="Times New Roman" w:cs="Times New Roman"/>
        </w:rPr>
        <w:lastRenderedPageBreak/>
        <w:t>themes in qualitative research (Creswell, 2007; Krippendorf, 2013). However, the sample size will be dependent on the number of participants who sign up for the study within the four weeks scheduled for interviews (i.e., a possible limitation of this form of sampling). Inclusion criteria for this study includes being: (a) between the ages of 18 and 25, (b) enrolled as a full-time undergraduate student (i.e., 12 hours), (c) registered as a student at the University of Tennessee, Knoxville, and (d) in their first semester of coursework. Although I focus on first semester students as they transition into college, the primary aim of this study is to examine in-depth interviews on emerging adults’ SPS. Thus, I am not limiting my sample to a specific gender, race/ethnicity, or sexual orientation. Instead, I hope to collect a heterogeneous sample to examine responses from a diverse range of participants.</w:t>
      </w:r>
    </w:p>
    <w:p w14:paraId="0FC28C3F"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Data Collection</w:t>
      </w:r>
    </w:p>
    <w:p w14:paraId="358AFA98"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t xml:space="preserve">Upon IRB approval, participants will be recruited during the first four weeks of the fall 2016 semester from introductory psychology courses (e.g., Psych 110) at the University of Tennessee, Knoxville. Recruitment will occur through the Department of Psychology’s SONA system, which is used to encourage student participation in various research and experimental studies in exchange for required psychology course credit. Within the SONA system, individuals actively select the research projects in which they wish to participate to obtain their required course credit and are offered the opportunity to write research related papers on their participation in research. As such, participation in this study is voluntary; however, those who choose to participate will be offered course </w:t>
      </w:r>
      <w:r w:rsidRPr="00D2327E">
        <w:rPr>
          <w:rFonts w:ascii="Times New Roman" w:eastAsia="ＭＳ 明朝" w:hAnsi="Times New Roman" w:cs="Times New Roman"/>
        </w:rPr>
        <w:lastRenderedPageBreak/>
        <w:t xml:space="preserve">credit (e.g., 1 or 2 credits; amount will be determined by director of SONA system, Dr. Jeff Lawson). </w:t>
      </w:r>
    </w:p>
    <w:p w14:paraId="2FBC6B6B"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Potential participants will first be exposed to the study through the main SONA system site under “All Projects” where the collection of available research projects is advertised. On this site the study will be briefly described (i.e., 5 to 15 words) as “Examining Sexual Expectations and Fears During Your First Semester in College” and will indicate that it requires in-person participation (versus online survey). Interested students will have access to a more detailed description of the study within the SONA system that will describe the nature of the study (i.e., in-depth interview focused on the sexual expectations, fears, and strategies of first semester students) along with the required inclusion criteria (i.e., full time freshmen between 18-25). If individuals meet the criteria and are interested in study participation, they will be provided the opportunity to sign up through the SONA system for an open interview time slot and will receive instructions for participation.</w:t>
      </w:r>
    </w:p>
    <w:p w14:paraId="6A71A54F"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Upon arrival to the designated interview location, I will briefly remind participants about the study’s purpose and they will be presented with an informed consent form to read and sign. Participants will be informed that participation is voluntary and they may withdrawal at any point. Upon providing informed consent, data collection will begin. Data will be collected through (a) an in-depth qualitative interviews and (b) a collection of demographic measures (offered at the end of the interview session to prevent potential priming effects of the participants’ qualitative responses; Davies, Zhu, &amp; Brantley, 2007). The qualitative interviews will be conducted using a semi-</w:t>
      </w:r>
      <w:r w:rsidRPr="00D2327E">
        <w:rPr>
          <w:rFonts w:ascii="Times New Roman" w:eastAsia="ＭＳ 明朝" w:hAnsi="Times New Roman" w:cs="Times New Roman"/>
        </w:rPr>
        <w:lastRenderedPageBreak/>
        <w:t xml:space="preserve">structured interview technique, a technique in which interviewers often follow a series of open-ended questions during the interview, yet is not completely structured, as the interviewer is able to ask follow-up questions throughout to elicit more detailed information from participants. This technique is common for qualitative approaches guided by a predetermined theory (e.g., possible selves theory) and planning to analyze the data through an inductive set of procedures designed to identify and examine themes within contextual data (i.e., applied thematic analysis; Guest, MacQueen, &amp; Namely, 2012). Interviews will be audio recorded for transcription and analytic purposes, along with the utilization of other qualitative techniques such as memoing, brief observations, and member checking throughout the interview (Creswell, 2007). At the end of the session, participants will be debriefed about the nature of the study and provided with information for local resources in case discomfort occurs as a result of study participation. The study is anticipated to last about 60-75 minutes, with 45 to 60 minutes for the interview and about 15 minutes for demographic measures. Demographic measures (not included in research questions/analyses for current study) are based on previous SPS examinations (see Anders et al., under review) and will include </w:t>
      </w:r>
      <w:r w:rsidRPr="00D2327E">
        <w:rPr>
          <w:rFonts w:ascii="Times New Roman" w:eastAsia="ＭＳ 明朝" w:hAnsi="Times New Roman" w:cs="Times New Roman"/>
          <w:i/>
        </w:rPr>
        <w:t xml:space="preserve">sex, romantic relationship status, sexual education exposure, </w:t>
      </w:r>
      <w:r w:rsidRPr="00D2327E">
        <w:rPr>
          <w:rFonts w:ascii="Times New Roman" w:eastAsia="ＭＳ 明朝" w:hAnsi="Times New Roman" w:cs="Times New Roman"/>
        </w:rPr>
        <w:t xml:space="preserve">and </w:t>
      </w:r>
      <w:r w:rsidRPr="00D2327E">
        <w:rPr>
          <w:rFonts w:ascii="Times New Roman" w:eastAsia="ＭＳ 明朝" w:hAnsi="Times New Roman" w:cs="Times New Roman"/>
          <w:i/>
        </w:rPr>
        <w:t>intercourse experience</w:t>
      </w:r>
      <w:r w:rsidRPr="00D2327E">
        <w:rPr>
          <w:rFonts w:ascii="Times New Roman" w:eastAsia="ＭＳ 明朝" w:hAnsi="Times New Roman" w:cs="Times New Roman"/>
        </w:rPr>
        <w:t>, to name a few.</w:t>
      </w:r>
    </w:p>
    <w:p w14:paraId="24DFC5CE"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Measures</w:t>
      </w:r>
    </w:p>
    <w:p w14:paraId="37B43E36"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b/>
        </w:rPr>
        <w:tab/>
        <w:t xml:space="preserve">Qualitative SPS interview. </w:t>
      </w:r>
      <w:r w:rsidRPr="00D2327E">
        <w:rPr>
          <w:rFonts w:ascii="Times New Roman" w:eastAsia="ＭＳ 明朝" w:hAnsi="Times New Roman" w:cs="Times New Roman"/>
        </w:rPr>
        <w:t xml:space="preserve">The sexual possible selves (SPS) interview will be conducted through an adaptation of the standard open-ended SPS questionnaire (see Anders et al., under review; originally adapted from Oyserman et al., 2004) to elicit </w:t>
      </w:r>
      <w:r w:rsidRPr="00D2327E">
        <w:rPr>
          <w:rFonts w:ascii="Times New Roman" w:eastAsia="ＭＳ 明朝" w:hAnsi="Times New Roman" w:cs="Times New Roman"/>
        </w:rPr>
        <w:lastRenderedPageBreak/>
        <w:t>detailed descriptions of participants’ expected and feared SPS. Using previous qualitative possible self interviews as a guide (see Shepard, 2003), a semi-structured interview was created using a collection of SPS prompts (e.g., definitions of sexual possible selves) and open-ended questions developed to thoroughly examine participants’ expected and feared SPS, along with associated behavioral strategies, for their first semester in college.</w:t>
      </w:r>
    </w:p>
    <w:p w14:paraId="18C3774F"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Expected SPS and strategies. </w:t>
      </w:r>
      <w:r w:rsidRPr="00D2327E">
        <w:rPr>
          <w:rFonts w:ascii="Times New Roman" w:eastAsia="ＭＳ 明朝" w:hAnsi="Times New Roman" w:cs="Times New Roman"/>
        </w:rPr>
        <w:t>I will first begin by asking about participants’ expected SPS for their first semester in college. Specifically, I begin by presenting the participant with the following prompt as a way to introduce them to the concept of SPS and allow the participant to ask any follow-up clarification questions:</w:t>
      </w:r>
    </w:p>
    <w:p w14:paraId="1DC4D570"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Prompt:</w:t>
      </w:r>
      <w:r w:rsidRPr="00D2327E">
        <w:rPr>
          <w:rFonts w:ascii="Times New Roman" w:eastAsia="ＭＳ 明朝" w:hAnsi="Times New Roman" w:cs="Times New Roman"/>
        </w:rPr>
        <w:t xml:space="preserve"> Who will you be this upcoming semester? Each of us has some image or picture of what we will be like and what we want to avoid being like in the future. One way to think about this is through the concept of possible selves, the selves we </w:t>
      </w:r>
      <w:r w:rsidRPr="00D2327E">
        <w:rPr>
          <w:rFonts w:ascii="Times New Roman" w:eastAsia="ＭＳ 明朝" w:hAnsi="Times New Roman" w:cs="Times New Roman"/>
          <w:b/>
        </w:rPr>
        <w:t xml:space="preserve">expect </w:t>
      </w:r>
      <w:r w:rsidRPr="00D2327E">
        <w:rPr>
          <w:rFonts w:ascii="Times New Roman" w:eastAsia="ＭＳ 明朝" w:hAnsi="Times New Roman" w:cs="Times New Roman"/>
        </w:rPr>
        <w:t xml:space="preserve">to become in the future or we hope to </w:t>
      </w:r>
      <w:r w:rsidRPr="00D2327E">
        <w:rPr>
          <w:rFonts w:ascii="Times New Roman" w:eastAsia="ＭＳ 明朝" w:hAnsi="Times New Roman" w:cs="Times New Roman"/>
          <w:b/>
        </w:rPr>
        <w:t xml:space="preserve">avoid </w:t>
      </w:r>
      <w:r w:rsidRPr="00D2327E">
        <w:rPr>
          <w:rFonts w:ascii="Times New Roman" w:eastAsia="ＭＳ 明朝" w:hAnsi="Times New Roman" w:cs="Times New Roman"/>
        </w:rPr>
        <w:t>becoming</w:t>
      </w:r>
      <w:r w:rsidRPr="00D2327E">
        <w:rPr>
          <w:rFonts w:ascii="Times New Roman" w:eastAsia="ＭＳ 明朝" w:hAnsi="Times New Roman" w:cs="Times New Roman"/>
          <w:b/>
        </w:rPr>
        <w:t xml:space="preserve"> </w:t>
      </w:r>
      <w:r w:rsidRPr="00D2327E">
        <w:rPr>
          <w:rFonts w:ascii="Times New Roman" w:eastAsia="ＭＳ 明朝" w:hAnsi="Times New Roman" w:cs="Times New Roman"/>
        </w:rPr>
        <w:t xml:space="preserve">in the future. This idea can also be applied when thinking about your future sexuality, or through your </w:t>
      </w:r>
      <w:r w:rsidRPr="00D2327E">
        <w:rPr>
          <w:rFonts w:ascii="Times New Roman" w:eastAsia="ＭＳ 明朝" w:hAnsi="Times New Roman" w:cs="Times New Roman"/>
          <w:b/>
        </w:rPr>
        <w:t xml:space="preserve">sexual possible selves. </w:t>
      </w:r>
      <w:r w:rsidRPr="00D2327E">
        <w:rPr>
          <w:rFonts w:ascii="Times New Roman" w:eastAsia="ＭＳ 明朝" w:hAnsi="Times New Roman" w:cs="Times New Roman"/>
        </w:rPr>
        <w:t>These selves are the sexual selves you expect to occur or hope to avoid occurring in the future, or in other words, goals you hold for who you want to be in the future in the realm of sexuality.</w:t>
      </w:r>
    </w:p>
    <w:p w14:paraId="233CE4F5"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Participants will then be asked if they understand what this concept means and will then be provided the opportunity to ask follow-up questions. When it is clear they understand the concept of SPS, participants will be prompted with the following: “Now, I want you to think about the upcoming fall semester, and imagine what you </w:t>
      </w:r>
      <w:r w:rsidRPr="00D2327E">
        <w:rPr>
          <w:rFonts w:ascii="Times New Roman" w:eastAsia="ＭＳ 明朝" w:hAnsi="Times New Roman" w:cs="Times New Roman"/>
          <w:b/>
        </w:rPr>
        <w:t>expect</w:t>
      </w:r>
      <w:r w:rsidRPr="00D2327E">
        <w:rPr>
          <w:rFonts w:ascii="Times New Roman" w:eastAsia="ＭＳ 明朝" w:hAnsi="Times New Roman" w:cs="Times New Roman"/>
        </w:rPr>
        <w:t xml:space="preserve"> to occur </w:t>
      </w:r>
      <w:r w:rsidRPr="00D2327E">
        <w:rPr>
          <w:rFonts w:ascii="Times New Roman" w:eastAsia="ＭＳ 明朝" w:hAnsi="Times New Roman" w:cs="Times New Roman"/>
        </w:rPr>
        <w:lastRenderedPageBreak/>
        <w:t xml:space="preserve">regarding your sexuality and sexual practices this semester.” Following this prompt, the first question addressing their expected SPS will be asked: </w:t>
      </w:r>
    </w:p>
    <w:p w14:paraId="7228587A"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r>
      <w:r w:rsidRPr="00D2327E">
        <w:rPr>
          <w:rFonts w:ascii="Times New Roman" w:eastAsia="ＭＳ 明朝" w:hAnsi="Times New Roman" w:cs="Times New Roman"/>
          <w:b/>
        </w:rPr>
        <w:t>Question #1:</w:t>
      </w:r>
      <w:r w:rsidRPr="00D2327E">
        <w:rPr>
          <w:rFonts w:ascii="Times New Roman" w:eastAsia="ＭＳ 明朝" w:hAnsi="Times New Roman" w:cs="Times New Roman"/>
        </w:rPr>
        <w:t xml:space="preserve"> Regarding sex, what do you expect to occur your first semester in college?</w:t>
      </w:r>
    </w:p>
    <w:p w14:paraId="10D7397C"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An open dialogue regarding the participant’s expectation will then occur, including clarification questions or questions meant to elicit more detail until a detailed, saturated answer has occurred (i.e., participant does not provide any new information regarding the expectation and/or is determined by asking the participant if there is anything else they would like to say regarding this expectation; Creswell, 2007). As the participant is listing each of his or her expected SPS, I will be memoing (i.e., taking notes) what I believe to be the main themes of these selves. For example, if a student is discussing how he or she expects to stay a virgin for the upcoming semester as they plan to wait until marriage, I will make a note of what appears to be the emergence of an abstinence based theme. Following the discussion of each SPS, I will report back to the student what I believe to be the theme of that expectation to seek confirmation (i.e., member checking; Creswell, 2007). If the participant disagrees with the theme, then I will ask follow-up questions to elicit more information until the correct theme is determined (as indicated by the participant). Once the participant confirms the theme, we will then move on to the associated behavioral strategy of that SPS. </w:t>
      </w:r>
    </w:p>
    <w:p w14:paraId="2BC4F296"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The following question (adapted from the previous SPS questionnaire) will be used to examine the individual’s associated behavioral strategy (or lack thereof) to attain the expected SPS in the upcoming semester: </w:t>
      </w:r>
    </w:p>
    <w:p w14:paraId="3D9B223C"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lastRenderedPageBreak/>
        <w:t>Question #2:</w:t>
      </w:r>
      <w:r w:rsidRPr="00D2327E">
        <w:rPr>
          <w:rFonts w:ascii="Times New Roman" w:eastAsia="ＭＳ 明朝" w:hAnsi="Times New Roman" w:cs="Times New Roman"/>
        </w:rPr>
        <w:t xml:space="preserve"> Are you doing something to reach the expectation that you just described to me? If so, what are you doing to attain this goal? If not, why not?</w:t>
      </w:r>
    </w:p>
    <w:p w14:paraId="037D250D"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Next, as one of the goals of the study is to examine the development or construction of emerging adults’ SPS and strategies, a follow up question regarding what led to or influenced their focus on this future oriented self will be asked. Specifically, the following open-ended question will be used to examine the development of their expected SPS for the upcoming semester:</w:t>
      </w:r>
    </w:p>
    <w:p w14:paraId="7303219C"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Question #3:</w:t>
      </w:r>
      <w:r w:rsidRPr="00D2327E">
        <w:rPr>
          <w:rFonts w:ascii="Times New Roman" w:eastAsia="ＭＳ 明朝" w:hAnsi="Times New Roman" w:cs="Times New Roman"/>
        </w:rPr>
        <w:t xml:space="preserve"> Why do you think this is an expectation you hold for yourself? In other words, what do you think has led or influenced you to have this expected goal? </w:t>
      </w:r>
    </w:p>
    <w:p w14:paraId="5A2D5F39"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 xml:space="preserve">Follow up questions will address: influences on this goal (e.g., religion, parents, peers) and continuity of this goal (e.g., Have you always expected this for yourself?). </w:t>
      </w:r>
    </w:p>
    <w:p w14:paraId="19AAE9CC"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The first three questions will be repeated for each expected SPS and strategy until the participant reports a complete articulation of their expected SPS, associated strategies, and influence on the development of their SPS.</w:t>
      </w:r>
    </w:p>
    <w:p w14:paraId="4CD7F3A7"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r>
      <w:r w:rsidRPr="00D2327E">
        <w:rPr>
          <w:rFonts w:ascii="Times New Roman" w:eastAsia="ＭＳ 明朝" w:hAnsi="Times New Roman" w:cs="Times New Roman"/>
          <w:b/>
        </w:rPr>
        <w:t xml:space="preserve">Feared SPS and strategies. </w:t>
      </w:r>
      <w:r w:rsidRPr="00D2327E">
        <w:rPr>
          <w:rFonts w:ascii="Times New Roman" w:eastAsia="ＭＳ 明朝" w:hAnsi="Times New Roman" w:cs="Times New Roman"/>
        </w:rPr>
        <w:t>The second part of the interview will assess emerging adults’ feared SPS and strategies by asking participants to think of future sexual selves they hope to avoid in their first semester (i.e. what they do not want to do or want to avoid being). I will begin by providing the participant with the following prompt meant to introduce the idea of feared SPS and allow opportunities for clarification and follow up questions:</w:t>
      </w:r>
    </w:p>
    <w:p w14:paraId="13AB1E85"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lastRenderedPageBreak/>
        <w:t>Prompt:</w:t>
      </w:r>
      <w:r w:rsidRPr="00D2327E">
        <w:rPr>
          <w:rFonts w:ascii="Times New Roman" w:eastAsia="ＭＳ 明朝" w:hAnsi="Times New Roman" w:cs="Times New Roman"/>
        </w:rPr>
        <w:t xml:space="preserve"> In addition to expectations and expected goals, we all have images or pictures of what we don’t want to be like regarding our sexuality; what we don’t want to do or want to avoid being. These future selves are referred to as your feared sexual possible selves.”</w:t>
      </w:r>
    </w:p>
    <w:p w14:paraId="26BE876B"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Participants will then be offered the opportunity for clarification or follow-up questions. When it is clear they understand this concept, I will then provide the following prompt:</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 xml:space="preserve">“First, think about ways you would </w:t>
      </w:r>
      <w:r w:rsidRPr="00D2327E">
        <w:rPr>
          <w:rFonts w:ascii="Times New Roman" w:eastAsia="ＭＳ 明朝" w:hAnsi="Times New Roman" w:cs="Times New Roman"/>
          <w:bCs/>
        </w:rPr>
        <w:t>not</w:t>
      </w:r>
      <w:r w:rsidRPr="00D2327E">
        <w:rPr>
          <w:rFonts w:ascii="Times New Roman" w:eastAsia="ＭＳ 明朝" w:hAnsi="Times New Roman" w:cs="Times New Roman"/>
        </w:rPr>
        <w:t xml:space="preserve"> like to be this upcoming semester in the realm of sexuality, or the sexual selves you are concerned about or want to avoid being.”</w:t>
      </w:r>
      <w:r w:rsidRPr="00D2327E">
        <w:rPr>
          <w:rFonts w:ascii="Times New Roman" w:eastAsia="ＭＳ 明朝" w:hAnsi="Times New Roman" w:cs="Times New Roman"/>
          <w:i/>
        </w:rPr>
        <w:t xml:space="preserve"> </w:t>
      </w:r>
      <w:r w:rsidRPr="00D2327E">
        <w:rPr>
          <w:rFonts w:ascii="Times New Roman" w:eastAsia="ＭＳ 明朝" w:hAnsi="Times New Roman" w:cs="Times New Roman"/>
        </w:rPr>
        <w:t>I will then ask the following feared SPS question:</w:t>
      </w:r>
    </w:p>
    <w:p w14:paraId="765DE910"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Question #4:</w:t>
      </w:r>
      <w:r w:rsidRPr="00D2327E">
        <w:rPr>
          <w:rFonts w:ascii="Times New Roman" w:eastAsia="ＭＳ 明朝" w:hAnsi="Times New Roman" w:cs="Times New Roman"/>
        </w:rPr>
        <w:t xml:space="preserve"> Regarding sex, what do you hope to avoid during your first semester in college?  </w:t>
      </w:r>
    </w:p>
    <w:p w14:paraId="0BC2F8D0"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An open dialogue regarding the participant’s feared sexual self will then occur including clarification questions or questions meant to elicit more detail until a detailed, saturated answer has occurred (i.e., participant does not provide any new information regarding the fear and/or is determined by asking the participant if there is anything else they would like to say regarding this fear; Creswell, 2007). Once again, as the participant is listing each of his or her feared SPS, I will be memoing (i.e., taking notes) on what I believe to be the main themes of these selves. Following the discussion of each SPS, I will engage in the previously discussed form of member checking (Creswell, 2007). If the participant disagrees with the theme, I will ask follow-up questions to elicit more information until the participant indicates the correct theme is identified. Once the participant confirms the theme, we will move on to the associated behavioral strategy of the SPS.</w:t>
      </w:r>
    </w:p>
    <w:p w14:paraId="51CFE98D"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lastRenderedPageBreak/>
        <w:t xml:space="preserve">The following question will be used to discuss the individual’s associated behavioral strategy (or lack thereof) to avoid the feared SPS in the upcoming semester: </w:t>
      </w:r>
    </w:p>
    <w:p w14:paraId="303FA396"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Question #5:</w:t>
      </w:r>
      <w:r w:rsidRPr="00D2327E">
        <w:rPr>
          <w:rFonts w:ascii="Times New Roman" w:eastAsia="ＭＳ 明朝" w:hAnsi="Times New Roman" w:cs="Times New Roman"/>
        </w:rPr>
        <w:t xml:space="preserve"> Are you doing something to avoid the feared self that you just described to me? If so, what are you doing to avoid this self? If not, why not?</w:t>
      </w:r>
    </w:p>
    <w:p w14:paraId="14737169"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Last, a follow-up question regarding what led to or influenced them to focus on this future oriented self will be asked. Specifically, the following open-ended question will be used to examine the development of their feared SPS for the upcoming semester:</w:t>
      </w:r>
    </w:p>
    <w:p w14:paraId="2BD27A4D" w14:textId="77777777" w:rsidR="00D2327E" w:rsidRPr="00D2327E" w:rsidRDefault="00D2327E" w:rsidP="00D2327E">
      <w:pPr>
        <w:spacing w:line="480" w:lineRule="auto"/>
        <w:ind w:left="720"/>
        <w:rPr>
          <w:rFonts w:ascii="Times New Roman" w:eastAsia="ＭＳ 明朝" w:hAnsi="Times New Roman" w:cs="Times New Roman"/>
        </w:rPr>
      </w:pPr>
      <w:r w:rsidRPr="00D2327E">
        <w:rPr>
          <w:rFonts w:ascii="Times New Roman" w:eastAsia="ＭＳ 明朝" w:hAnsi="Times New Roman" w:cs="Times New Roman"/>
          <w:b/>
        </w:rPr>
        <w:t>Question #6:</w:t>
      </w:r>
      <w:r w:rsidRPr="00D2327E">
        <w:rPr>
          <w:rFonts w:ascii="Times New Roman" w:eastAsia="ＭＳ 明朝" w:hAnsi="Times New Roman" w:cs="Times New Roman"/>
        </w:rPr>
        <w:t xml:space="preserve"> Why do you think this is a fear you hold for yourself? In other words, what do you think has led or influenced you to have this sexual fear? </w:t>
      </w:r>
    </w:p>
    <w:p w14:paraId="44AA9571"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Follow up questions will address: influences on this goal (e.g., religion, parents, peers) and continuity of this goal (e.g., Have you always expected this for yourself?). These three questions will be repeated for the feared SPS and strategies until the participant indicates complete articulation of their feared SPS, associated strategies, and influences on the development of their feared SPS.</w:t>
      </w:r>
    </w:p>
    <w:p w14:paraId="5F33F61A" w14:textId="77777777" w:rsidR="00D2327E" w:rsidRPr="00D2327E" w:rsidRDefault="00D2327E" w:rsidP="00D2327E">
      <w:pPr>
        <w:spacing w:line="480" w:lineRule="auto"/>
        <w:rPr>
          <w:rFonts w:ascii="Times New Roman" w:eastAsia="ＭＳ 明朝" w:hAnsi="Times New Roman" w:cs="Times New Roman"/>
          <w:b/>
        </w:rPr>
      </w:pPr>
      <w:r w:rsidRPr="00D2327E">
        <w:rPr>
          <w:rFonts w:ascii="Times New Roman" w:eastAsia="ＭＳ 明朝" w:hAnsi="Times New Roman" w:cs="Times New Roman"/>
          <w:b/>
        </w:rPr>
        <w:t>Analyses</w:t>
      </w:r>
    </w:p>
    <w:p w14:paraId="67752C6B" w14:textId="77777777" w:rsidR="00D2327E" w:rsidRPr="00D2327E" w:rsidRDefault="00D2327E" w:rsidP="00D2327E">
      <w:pPr>
        <w:spacing w:line="480" w:lineRule="auto"/>
        <w:rPr>
          <w:rFonts w:ascii="Times New Roman" w:eastAsia="ＭＳ 明朝" w:hAnsi="Times New Roman" w:cs="Times New Roman"/>
        </w:rPr>
      </w:pPr>
      <w:r w:rsidRPr="00D2327E">
        <w:rPr>
          <w:rFonts w:ascii="Times New Roman" w:eastAsia="ＭＳ 明朝" w:hAnsi="Times New Roman" w:cs="Times New Roman"/>
        </w:rPr>
        <w:tab/>
      </w:r>
      <w:r w:rsidRPr="00D2327E">
        <w:rPr>
          <w:rFonts w:ascii="Times New Roman" w:eastAsia="ＭＳ 明朝" w:hAnsi="Times New Roman" w:cs="Times New Roman"/>
          <w:b/>
        </w:rPr>
        <w:t xml:space="preserve">Applied thematic analysis. </w:t>
      </w:r>
      <w:r w:rsidRPr="00D2327E">
        <w:rPr>
          <w:rFonts w:ascii="Times New Roman" w:eastAsia="ＭＳ 明朝" w:hAnsi="Times New Roman" w:cs="Times New Roman"/>
        </w:rPr>
        <w:t xml:space="preserve">Following transcription of the SPS interviews (I currently have funding to hire an outside, qualified transcriptionist), I will use applied thematic analysis (ATA; Guest et al., 2012) to examine participants’ responses in the interview. ATA is a form of exploratory analysis used to identify and examine themes within textual data and is thought to stem from a combination of several qualitative methods (e.g., grounded theory and phenomenology). This analytic approach has been found to be useful in capturing the complexities of participants’ meanings through </w:t>
      </w:r>
      <w:r w:rsidRPr="00D2327E">
        <w:rPr>
          <w:rFonts w:ascii="Times New Roman" w:eastAsia="ＭＳ 明朝" w:hAnsi="Times New Roman" w:cs="Times New Roman"/>
        </w:rPr>
        <w:lastRenderedPageBreak/>
        <w:t xml:space="preserve">implicit and explicit themes within data, can be quantifiable (although is thought to move beyond word or frequency counts), and often uses emergent themes for an applied purpose such as solving practical problems (Guest et al., 2012). Additionally, ATA is exploratory in nature as it is often guided by research questions rather than hypotheses (e.g., as compared to content analysis); however, findings from the analyses can be used to create an </w:t>
      </w:r>
      <w:r w:rsidRPr="00D2327E">
        <w:rPr>
          <w:rFonts w:ascii="Times New Roman" w:eastAsia="ＭＳ 明朝" w:hAnsi="Times New Roman" w:cs="Times New Roman"/>
          <w:i/>
        </w:rPr>
        <w:t>explanatory</w:t>
      </w:r>
      <w:r w:rsidRPr="00D2327E">
        <w:rPr>
          <w:rFonts w:ascii="Times New Roman" w:eastAsia="ＭＳ 明朝" w:hAnsi="Times New Roman" w:cs="Times New Roman"/>
        </w:rPr>
        <w:t xml:space="preserve"> model or as a guide for future research by generating specific hypotheses for future studies. The major facets of this form of analysis thought to differentiate it from other qualitative methodology (see Guest et al., 2012 for full comparison) include the following: (a) themes within the findings are content driven (e.g., What are your sexual expectations?), (b) specific codes/analytic categories are not predetermined prior to exploring the data, thus the codes and themes are derived from the data, (c) the data is often generated through more structured forms of data collection (e.g., semi-structured interviews) and will often utilize purposive sampling (e.g., focus on first year college students), and (d) these analyses may be used for practical or applied research (e.g., creating SPS intervention programs). Due to the nature of this analytic approach and its potential in supplementing future SPS examinations, I believe ATA would be the best analytic approach for this study.</w:t>
      </w:r>
    </w:p>
    <w:p w14:paraId="1535F112"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Analytic steps. </w:t>
      </w:r>
      <w:r w:rsidRPr="00D2327E">
        <w:rPr>
          <w:rFonts w:ascii="Times New Roman" w:eastAsia="ＭＳ 明朝" w:hAnsi="Times New Roman" w:cs="Times New Roman"/>
        </w:rPr>
        <w:t xml:space="preserve">Using ATA as a guide (Guest et al., 2012), interpretation of our in-depth interviews will be approached through the following steps. First, three researchers (i.e., first author, one faculty, and one additional graduate student) will read through the verbatim transcripts to become familiar with the overall subject matter throughout the participant’s response, as this helps to contextualize the responses within </w:t>
      </w:r>
      <w:r w:rsidRPr="00D2327E">
        <w:rPr>
          <w:rFonts w:ascii="Times New Roman" w:eastAsia="ＭＳ 明朝" w:hAnsi="Times New Roman" w:cs="Times New Roman"/>
        </w:rPr>
        <w:lastRenderedPageBreak/>
        <w:t xml:space="preserve">the interview. Second, the three researchers will utilize an iterative process (i.e., reading text in batches and modifying as new information emerges) of examining the participant’s response to identify major features or themes throughout the participant’s interview. Specifically this will be done through identifying repetitive concepts occurring within and/or between transcripts. As we utilized a semi-structured interview form of data collection, emergence of themes may be identified relative to the explicit pre-conceived questions asked during the interview (e.g., what are your fears). This thematic approach can be referred to as text segmentation (Guest et al., 2012). </w:t>
      </w:r>
    </w:p>
    <w:p w14:paraId="516DFE1A"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Within the text segments, the identified question will help guide theme emergence through developing a set of structural codes. These codes are a means to systematically sorting the observed meaning of the participants’ responses into categories or identifications of relationships. Throughout this process, coders will refer back to the member checking that occurred during the interviews (i.e., discussion of correctly identified themes with the participant) to help develop these coding categories. Further, the three coders will meet regularly to discuss the emergence of themes and the creation of coding categories, until agreement is achieved. Coding categories will be created for (a) expected SPS, (b) expected behavioral strategies, (c) feared SPS, (d) feared behavioral strategies, and (e) themes with the construction or development of the SPS. Using the identified coding categories, a coding of the SPS responses will then be conducted to categorize each individual’s responses. Structural codes may also be used for future quantitative analyses including comparing frequencies, contrasting based on demographic factors (e.g., sex), or identifying code co-occurrence (Guest et al., 2012). Overall, these </w:t>
      </w:r>
      <w:r w:rsidRPr="00D2327E">
        <w:rPr>
          <w:rFonts w:ascii="Times New Roman" w:eastAsia="ＭＳ 明朝" w:hAnsi="Times New Roman" w:cs="Times New Roman"/>
        </w:rPr>
        <w:lastRenderedPageBreak/>
        <w:t xml:space="preserve">codes serve to examine commonalities, differences, and relationships within the responses, thus leading to an explanatory model of the findings; however, ultimately, the identified codes will be combined or compared to identify and define the emergent themes described in the results. Third, themes will be compared and contrasted across research questions and other participants’ responses to examine emergent major trends, thus leading to the identification of possible theoretical implications (i.e., application to the previous SPS theory, not development of a new theory). </w:t>
      </w:r>
    </w:p>
    <w:p w14:paraId="03BA1EFD" w14:textId="77777777" w:rsidR="00D2327E" w:rsidRPr="00D2327E"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b/>
        </w:rPr>
        <w:t xml:space="preserve">Reliability. </w:t>
      </w:r>
      <w:r w:rsidRPr="00D2327E">
        <w:rPr>
          <w:rFonts w:ascii="Times New Roman" w:eastAsia="ＭＳ 明朝" w:hAnsi="Times New Roman" w:cs="Times New Roman"/>
        </w:rPr>
        <w:t xml:space="preserve">Throughout the coding process, common qualitative techniques will be used to enhance the credibility and dependability of the findings. Specifically, reliability of data is thought to be a greater concern for this form of qualitative analysis as more interpretation goes into finding codes and themes throughout the data (e.g., as compared to phenomenology; Guest et al., 2012). To account for this limitation, I will utilize structured reliability techniques guided by Guest, MacQueen, and Namey (2012) including: (a) using multiple coders as this facilitates reliability by providing checks on personal biases and variance in interpretation of the codes or themes, (b) examining inter-coder agreement (described in more detail below), (c) memoing of analytic steps and any changes made during the iterative processing of the data, and (d) using direct quotes from the analyses to support the researcher’s interpretations and presentation of results in the manuscript. Inter-coder agreement (ICA) will be examined throughout the coding process using the percent agreement method. This method is used by reviewing how the responses for each question of the semi-structured interview are coded by each researcher (i.e., myself, faculty member, and graduate student) to examine for agreement. Upon </w:t>
      </w:r>
      <w:r w:rsidRPr="00D2327E">
        <w:rPr>
          <w:rFonts w:ascii="Times New Roman" w:eastAsia="ＭＳ 明朝" w:hAnsi="Times New Roman" w:cs="Times New Roman"/>
        </w:rPr>
        <w:lastRenderedPageBreak/>
        <w:t xml:space="preserve">disagreement, explanations of the interpretations and differences between the coders will be discussed until agreement is established. A tally of agreement versus disagreement will be kept and then calculated into percentages (i.e., number of agreements divided by number of coded responses) at the end of each interview to assess for reliability purposes. A minimum reliability of 80 percent is thought to be appropriate for this study (Guest et al., 2012). </w:t>
      </w:r>
    </w:p>
    <w:p w14:paraId="164386D6" w14:textId="77777777" w:rsidR="00BA00F8" w:rsidRDefault="00D2327E" w:rsidP="00D2327E">
      <w:pPr>
        <w:spacing w:line="480" w:lineRule="auto"/>
        <w:ind w:firstLine="720"/>
        <w:rPr>
          <w:rFonts w:ascii="Times New Roman" w:eastAsia="ＭＳ 明朝" w:hAnsi="Times New Roman" w:cs="Times New Roman"/>
        </w:rPr>
      </w:pPr>
      <w:r w:rsidRPr="00D2327E">
        <w:rPr>
          <w:rFonts w:ascii="Times New Roman" w:eastAsia="ＭＳ 明朝" w:hAnsi="Times New Roman" w:cs="Times New Roman"/>
        </w:rPr>
        <w:t xml:space="preserve">Overall, the main themes of this applied thematic analysis will be used to help examine SPS in multiple ways. First, emergent codes of the expectations, fears, and strategies can help to identify salient goals first year students may hold as they transition into college. These salient themes can help highlight areas of sexuality based selves that may be important for incoming students, along with identifying specific strategies (or gaps in strategies) that may be important to encourage among this group of emerging adults. Second, trends in </w:t>
      </w:r>
      <w:r w:rsidRPr="00D2327E">
        <w:rPr>
          <w:rFonts w:ascii="Times New Roman" w:eastAsia="ＭＳ 明朝" w:hAnsi="Times New Roman" w:cs="Times New Roman"/>
          <w:i/>
        </w:rPr>
        <w:t xml:space="preserve">how </w:t>
      </w:r>
      <w:r w:rsidRPr="00D2327E">
        <w:rPr>
          <w:rFonts w:ascii="Times New Roman" w:eastAsia="ＭＳ 明朝" w:hAnsi="Times New Roman" w:cs="Times New Roman"/>
        </w:rPr>
        <w:t xml:space="preserve">and </w:t>
      </w:r>
      <w:r w:rsidRPr="00D2327E">
        <w:rPr>
          <w:rFonts w:ascii="Times New Roman" w:eastAsia="ＭＳ 明朝" w:hAnsi="Times New Roman" w:cs="Times New Roman"/>
          <w:i/>
        </w:rPr>
        <w:t xml:space="preserve">why </w:t>
      </w:r>
      <w:r w:rsidRPr="00D2327E">
        <w:rPr>
          <w:rFonts w:ascii="Times New Roman" w:eastAsia="ＭＳ 明朝" w:hAnsi="Times New Roman" w:cs="Times New Roman"/>
        </w:rPr>
        <w:t>first year students develop the sexual expectations and fears they hold for themselves, along with the strategies they hold, during their first semester in college will be identified. These trends may focus on who or what influenced these selves, gaps in strategies, and/or areas for potential application of SPS interventions. Overall, examining the construction or development of these SPS can hold important implications for sexual education and/or intervention programs that are developmentally focused for emerging adults making the transition to college.</w:t>
      </w:r>
    </w:p>
    <w:p w14:paraId="379878B0" w14:textId="77777777" w:rsidR="00BA00F8" w:rsidRDefault="00BA00F8" w:rsidP="00BA00F8">
      <w:pPr>
        <w:spacing w:line="480" w:lineRule="auto"/>
        <w:ind w:firstLine="720"/>
        <w:jc w:val="center"/>
        <w:rPr>
          <w:rFonts w:ascii="Times New Roman" w:eastAsia="ＭＳ 明朝" w:hAnsi="Times New Roman" w:cs="Times New Roman"/>
          <w:b/>
        </w:rPr>
      </w:pPr>
      <w:r>
        <w:rPr>
          <w:rFonts w:ascii="Times New Roman" w:eastAsia="ＭＳ 明朝" w:hAnsi="Times New Roman" w:cs="Times New Roman"/>
          <w:b/>
        </w:rPr>
        <w:t>Results</w:t>
      </w:r>
    </w:p>
    <w:p w14:paraId="6F5AD392" w14:textId="77777777" w:rsidR="00BA00F8" w:rsidRPr="00BA00F8" w:rsidRDefault="00BA00F8" w:rsidP="00BA00F8">
      <w:pPr>
        <w:spacing w:line="480" w:lineRule="auto"/>
        <w:rPr>
          <w:rFonts w:ascii="Times New Roman" w:eastAsia="ＭＳ 明朝" w:hAnsi="Times New Roman" w:cs="Times New Roman"/>
        </w:rPr>
      </w:pPr>
      <w:r>
        <w:rPr>
          <w:rFonts w:ascii="Times New Roman" w:eastAsia="ＭＳ 明朝" w:hAnsi="Times New Roman" w:cs="Times New Roman"/>
        </w:rPr>
        <w:t>[Insert Results Here]</w:t>
      </w:r>
    </w:p>
    <w:p w14:paraId="0A738DDD" w14:textId="77777777" w:rsidR="00BA00F8" w:rsidRDefault="00BA00F8" w:rsidP="00BA00F8">
      <w:pPr>
        <w:spacing w:line="480" w:lineRule="auto"/>
        <w:ind w:firstLine="720"/>
        <w:jc w:val="center"/>
        <w:rPr>
          <w:rFonts w:ascii="Times New Roman" w:eastAsia="ＭＳ 明朝" w:hAnsi="Times New Roman" w:cs="Times New Roman"/>
          <w:b/>
        </w:rPr>
      </w:pPr>
      <w:r>
        <w:rPr>
          <w:rFonts w:ascii="Times New Roman" w:eastAsia="ＭＳ 明朝" w:hAnsi="Times New Roman" w:cs="Times New Roman"/>
          <w:b/>
        </w:rPr>
        <w:t>Discussion</w:t>
      </w:r>
    </w:p>
    <w:p w14:paraId="0E161AA6" w14:textId="77777777" w:rsidR="00BA00F8" w:rsidRDefault="00BA00F8" w:rsidP="00BA00F8">
      <w:pPr>
        <w:spacing w:line="480" w:lineRule="auto"/>
        <w:rPr>
          <w:rFonts w:ascii="Times New Roman" w:eastAsia="ＭＳ 明朝" w:hAnsi="Times New Roman" w:cs="Times New Roman"/>
        </w:rPr>
      </w:pPr>
      <w:r>
        <w:rPr>
          <w:rFonts w:ascii="Times New Roman" w:eastAsia="ＭＳ 明朝" w:hAnsi="Times New Roman" w:cs="Times New Roman"/>
        </w:rPr>
        <w:lastRenderedPageBreak/>
        <w:t>[Insert Discussion here]</w:t>
      </w:r>
    </w:p>
    <w:p w14:paraId="01091119" w14:textId="77777777" w:rsidR="00BA00F8" w:rsidRDefault="00BA00F8" w:rsidP="00BA00F8">
      <w:pPr>
        <w:spacing w:line="480" w:lineRule="auto"/>
        <w:rPr>
          <w:rFonts w:ascii="Times New Roman" w:eastAsia="ＭＳ 明朝" w:hAnsi="Times New Roman" w:cs="Times New Roman"/>
          <w:b/>
        </w:rPr>
      </w:pPr>
      <w:r>
        <w:rPr>
          <w:rFonts w:ascii="Times New Roman" w:eastAsia="ＭＳ 明朝" w:hAnsi="Times New Roman" w:cs="Times New Roman"/>
          <w:b/>
        </w:rPr>
        <w:t>Limitations</w:t>
      </w:r>
    </w:p>
    <w:p w14:paraId="53E1A7CD" w14:textId="77777777" w:rsidR="00D2327E" w:rsidRDefault="00BA00F8" w:rsidP="00BA00F8">
      <w:pPr>
        <w:spacing w:line="480" w:lineRule="auto"/>
        <w:rPr>
          <w:rFonts w:ascii="Times New Roman" w:hAnsi="Times New Roman" w:cs="Times New Roman"/>
        </w:rPr>
      </w:pPr>
      <w:r>
        <w:rPr>
          <w:rFonts w:ascii="Times New Roman" w:eastAsia="ＭＳ 明朝" w:hAnsi="Times New Roman" w:cs="Times New Roman"/>
          <w:b/>
        </w:rPr>
        <w:t>Implications</w:t>
      </w:r>
      <w:r w:rsidR="00D2327E">
        <w:rPr>
          <w:rFonts w:ascii="Times New Roman" w:hAnsi="Times New Roman" w:cs="Times New Roman"/>
        </w:rPr>
        <w:br w:type="page"/>
      </w:r>
    </w:p>
    <w:p w14:paraId="12EF3466" w14:textId="77777777" w:rsidR="005E2DE2" w:rsidRPr="005E2DE2" w:rsidRDefault="005E2DE2" w:rsidP="005E2DE2">
      <w:pPr>
        <w:pStyle w:val="Heading1"/>
        <w:spacing w:line="480" w:lineRule="auto"/>
        <w:rPr>
          <w:rFonts w:ascii="Times New Roman" w:hAnsi="Times New Roman" w:cs="Times New Roman"/>
          <w:sz w:val="24"/>
        </w:rPr>
      </w:pPr>
      <w:r w:rsidRPr="005E2DE2">
        <w:rPr>
          <w:rFonts w:ascii="Times New Roman" w:hAnsi="Times New Roman" w:cs="Times New Roman"/>
          <w:sz w:val="24"/>
        </w:rPr>
        <w:lastRenderedPageBreak/>
        <w:t>CHAPTER 5:</w:t>
      </w:r>
    </w:p>
    <w:p w14:paraId="7DB9F296" w14:textId="77777777" w:rsidR="005E2DE2" w:rsidRPr="005E2DE2" w:rsidRDefault="005E2DE2" w:rsidP="005E2DE2">
      <w:pPr>
        <w:jc w:val="center"/>
        <w:rPr>
          <w:rFonts w:ascii="Times New Roman" w:hAnsi="Times New Roman" w:cs="Times New Roman"/>
        </w:rPr>
      </w:pPr>
      <w:r w:rsidRPr="005E2DE2">
        <w:rPr>
          <w:rFonts w:ascii="Times New Roman" w:hAnsi="Times New Roman" w:cs="Times New Roman"/>
        </w:rPr>
        <w:t>Conclusion</w:t>
      </w:r>
    </w:p>
    <w:p w14:paraId="619C53E9" w14:textId="77777777" w:rsidR="00D677AA" w:rsidRPr="005E2DE2" w:rsidRDefault="00D677AA" w:rsidP="005E2DE2">
      <w:pPr>
        <w:pStyle w:val="Heading2"/>
        <w:spacing w:line="480" w:lineRule="auto"/>
        <w:rPr>
          <w:rFonts w:ascii="Times New Roman" w:hAnsi="Times New Roman" w:cs="Times New Roman"/>
          <w:sz w:val="24"/>
          <w:szCs w:val="24"/>
        </w:rPr>
      </w:pPr>
    </w:p>
    <w:p w14:paraId="454BEF61" w14:textId="77777777" w:rsidR="00D677AA" w:rsidRPr="005E2DE2" w:rsidRDefault="00D677AA" w:rsidP="005E2DE2">
      <w:pPr>
        <w:spacing w:line="480" w:lineRule="auto"/>
        <w:rPr>
          <w:rFonts w:ascii="Times New Roman" w:hAnsi="Times New Roman" w:cs="Times New Roman"/>
        </w:rPr>
      </w:pPr>
    </w:p>
    <w:p w14:paraId="0D2B3EFF" w14:textId="77777777" w:rsidR="00D677AA" w:rsidRPr="005E2DE2" w:rsidRDefault="00D677AA" w:rsidP="005E2DE2">
      <w:pPr>
        <w:spacing w:line="480" w:lineRule="auto"/>
        <w:rPr>
          <w:rFonts w:ascii="Times New Roman" w:hAnsi="Times New Roman" w:cs="Times New Roman"/>
        </w:rPr>
      </w:pPr>
    </w:p>
    <w:p w14:paraId="4F1C7F8C" w14:textId="77777777" w:rsidR="00D677AA" w:rsidRPr="005E2DE2" w:rsidRDefault="00D677AA" w:rsidP="005E2DE2">
      <w:pPr>
        <w:spacing w:line="480" w:lineRule="auto"/>
        <w:rPr>
          <w:rFonts w:ascii="Times New Roman" w:hAnsi="Times New Roman" w:cs="Times New Roman"/>
        </w:rPr>
      </w:pPr>
    </w:p>
    <w:p w14:paraId="1355FF92" w14:textId="77777777" w:rsidR="00D677AA" w:rsidRPr="005E2DE2" w:rsidRDefault="00D677AA" w:rsidP="005E2DE2">
      <w:pPr>
        <w:spacing w:line="480" w:lineRule="auto"/>
        <w:rPr>
          <w:rFonts w:ascii="Times New Roman" w:hAnsi="Times New Roman" w:cs="Times New Roman"/>
        </w:rPr>
      </w:pPr>
    </w:p>
    <w:p w14:paraId="653A321E" w14:textId="77777777" w:rsidR="00D677AA" w:rsidRPr="005E2DE2" w:rsidRDefault="00D677AA" w:rsidP="005E2DE2">
      <w:pPr>
        <w:spacing w:line="480" w:lineRule="auto"/>
        <w:rPr>
          <w:rFonts w:ascii="Times New Roman" w:hAnsi="Times New Roman" w:cs="Times New Roman"/>
        </w:rPr>
      </w:pPr>
    </w:p>
    <w:p w14:paraId="04A19DF1" w14:textId="77777777" w:rsidR="00D677AA" w:rsidRPr="005E2DE2" w:rsidRDefault="00D677AA" w:rsidP="005E2DE2">
      <w:pPr>
        <w:spacing w:line="480" w:lineRule="auto"/>
        <w:rPr>
          <w:rFonts w:ascii="Times New Roman" w:hAnsi="Times New Roman" w:cs="Times New Roman"/>
        </w:rPr>
      </w:pPr>
    </w:p>
    <w:p w14:paraId="4734CF63" w14:textId="77777777" w:rsidR="00D677AA" w:rsidRPr="005E2DE2" w:rsidRDefault="00D677AA" w:rsidP="005E2DE2">
      <w:pPr>
        <w:spacing w:line="480" w:lineRule="auto"/>
        <w:rPr>
          <w:rFonts w:ascii="Times New Roman" w:hAnsi="Times New Roman" w:cs="Times New Roman"/>
        </w:rPr>
      </w:pPr>
    </w:p>
    <w:p w14:paraId="5004E294" w14:textId="77777777" w:rsidR="00D677AA" w:rsidRPr="005E2DE2" w:rsidRDefault="00D677AA" w:rsidP="005E2DE2">
      <w:pPr>
        <w:spacing w:line="480" w:lineRule="auto"/>
        <w:rPr>
          <w:rFonts w:ascii="Times New Roman" w:hAnsi="Times New Roman" w:cs="Times New Roman"/>
        </w:rPr>
      </w:pPr>
    </w:p>
    <w:p w14:paraId="66752AE5" w14:textId="77777777" w:rsidR="00D677AA" w:rsidRPr="005E2DE2" w:rsidRDefault="00D677AA" w:rsidP="005E2DE2">
      <w:pPr>
        <w:spacing w:line="480" w:lineRule="auto"/>
        <w:rPr>
          <w:rFonts w:ascii="Times New Roman" w:hAnsi="Times New Roman" w:cs="Times New Roman"/>
        </w:rPr>
      </w:pPr>
    </w:p>
    <w:p w14:paraId="37FB78F2" w14:textId="77777777" w:rsidR="00D677AA" w:rsidRPr="005E2DE2" w:rsidRDefault="00D677AA" w:rsidP="005E2DE2">
      <w:pPr>
        <w:spacing w:line="480" w:lineRule="auto"/>
        <w:rPr>
          <w:rFonts w:ascii="Times New Roman" w:hAnsi="Times New Roman" w:cs="Times New Roman"/>
        </w:rPr>
      </w:pPr>
    </w:p>
    <w:p w14:paraId="455BA904" w14:textId="77777777" w:rsidR="00D677AA" w:rsidRPr="005E2DE2" w:rsidRDefault="00D677AA" w:rsidP="005E2DE2">
      <w:pPr>
        <w:spacing w:line="480" w:lineRule="auto"/>
        <w:rPr>
          <w:rFonts w:ascii="Times New Roman" w:hAnsi="Times New Roman" w:cs="Times New Roman"/>
        </w:rPr>
      </w:pPr>
    </w:p>
    <w:p w14:paraId="686FD4C5" w14:textId="77777777" w:rsidR="00D677AA" w:rsidRPr="005E2DE2" w:rsidRDefault="00D677AA" w:rsidP="005E2DE2">
      <w:pPr>
        <w:spacing w:line="480" w:lineRule="auto"/>
        <w:rPr>
          <w:rFonts w:ascii="Times New Roman" w:hAnsi="Times New Roman" w:cs="Times New Roman"/>
        </w:rPr>
      </w:pPr>
    </w:p>
    <w:p w14:paraId="25426D00" w14:textId="77777777" w:rsidR="00D677AA" w:rsidRPr="005E2DE2" w:rsidRDefault="00D677AA" w:rsidP="005E2DE2">
      <w:pPr>
        <w:spacing w:line="480" w:lineRule="auto"/>
        <w:rPr>
          <w:rFonts w:ascii="Times New Roman" w:hAnsi="Times New Roman" w:cs="Times New Roman"/>
        </w:rPr>
      </w:pPr>
    </w:p>
    <w:p w14:paraId="005C4DE7" w14:textId="77777777" w:rsidR="00D677AA" w:rsidRPr="005E2DE2" w:rsidRDefault="00D677AA" w:rsidP="005E2DE2">
      <w:pPr>
        <w:spacing w:line="480" w:lineRule="auto"/>
        <w:rPr>
          <w:rFonts w:ascii="Times New Roman" w:hAnsi="Times New Roman" w:cs="Times New Roman"/>
        </w:rPr>
      </w:pPr>
    </w:p>
    <w:p w14:paraId="70255388" w14:textId="77777777" w:rsidR="00D677AA" w:rsidRPr="005E2DE2" w:rsidRDefault="00D677AA" w:rsidP="005E2DE2">
      <w:pPr>
        <w:spacing w:line="480" w:lineRule="auto"/>
        <w:rPr>
          <w:rFonts w:ascii="Times New Roman" w:hAnsi="Times New Roman" w:cs="Times New Roman"/>
        </w:rPr>
      </w:pPr>
    </w:p>
    <w:p w14:paraId="63028696" w14:textId="77777777" w:rsidR="00D677AA" w:rsidRPr="005E2DE2" w:rsidRDefault="00D677AA" w:rsidP="005E2DE2">
      <w:pPr>
        <w:spacing w:line="480" w:lineRule="auto"/>
        <w:rPr>
          <w:rFonts w:ascii="Times New Roman" w:hAnsi="Times New Roman" w:cs="Times New Roman"/>
        </w:rPr>
      </w:pPr>
    </w:p>
    <w:p w14:paraId="72F20C38" w14:textId="77777777" w:rsidR="00D677AA" w:rsidRPr="005E2DE2" w:rsidRDefault="00D677AA" w:rsidP="005E2DE2">
      <w:pPr>
        <w:spacing w:line="480" w:lineRule="auto"/>
        <w:rPr>
          <w:rFonts w:ascii="Times New Roman" w:hAnsi="Times New Roman" w:cs="Times New Roman"/>
        </w:rPr>
      </w:pPr>
    </w:p>
    <w:p w14:paraId="4ACBB77B" w14:textId="77777777" w:rsidR="00D677AA" w:rsidRPr="005E2DE2" w:rsidRDefault="00D677AA" w:rsidP="005E2DE2">
      <w:pPr>
        <w:spacing w:line="480" w:lineRule="auto"/>
        <w:rPr>
          <w:rFonts w:ascii="Times New Roman" w:hAnsi="Times New Roman" w:cs="Times New Roman"/>
        </w:rPr>
      </w:pPr>
    </w:p>
    <w:p w14:paraId="044ABC55" w14:textId="77777777" w:rsidR="00D677AA" w:rsidRPr="005E2DE2" w:rsidRDefault="00D677AA" w:rsidP="005E2DE2">
      <w:pPr>
        <w:spacing w:line="480" w:lineRule="auto"/>
        <w:rPr>
          <w:rFonts w:ascii="Times New Roman" w:hAnsi="Times New Roman" w:cs="Times New Roman"/>
        </w:rPr>
      </w:pPr>
    </w:p>
    <w:p w14:paraId="4227C9C4" w14:textId="7A41938E" w:rsidR="00D677AA" w:rsidRPr="005E2DE2" w:rsidRDefault="002F5480" w:rsidP="005E2DE2">
      <w:pPr>
        <w:spacing w:line="480" w:lineRule="auto"/>
        <w:rPr>
          <w:rFonts w:ascii="Times New Roman" w:hAnsi="Times New Roman" w:cs="Times New Roman"/>
        </w:rPr>
      </w:pPr>
      <w:r>
        <w:rPr>
          <w:rFonts w:ascii="Times New Roman" w:hAnsi="Times New Roman" w:cs="Times New Roman"/>
        </w:rPr>
        <w:lastRenderedPageBreak/>
        <w:t>[Insert Conclusion Paragraph here]</w:t>
      </w:r>
    </w:p>
    <w:p w14:paraId="0B744996" w14:textId="77777777" w:rsidR="00D677AA" w:rsidRPr="005E2DE2" w:rsidRDefault="00D677AA" w:rsidP="005E2DE2">
      <w:pPr>
        <w:spacing w:line="480" w:lineRule="auto"/>
        <w:rPr>
          <w:rFonts w:ascii="Times New Roman" w:hAnsi="Times New Roman" w:cs="Times New Roman"/>
        </w:rPr>
      </w:pPr>
    </w:p>
    <w:p w14:paraId="0737A9C1" w14:textId="77777777" w:rsidR="00D677AA" w:rsidRPr="005E2DE2" w:rsidRDefault="00D677AA" w:rsidP="005E2DE2">
      <w:pPr>
        <w:spacing w:line="480" w:lineRule="auto"/>
        <w:rPr>
          <w:rFonts w:ascii="Times New Roman" w:hAnsi="Times New Roman" w:cs="Times New Roman"/>
        </w:rPr>
      </w:pPr>
    </w:p>
    <w:p w14:paraId="7D7815AB" w14:textId="77777777" w:rsidR="00D677AA" w:rsidRPr="005E2DE2" w:rsidRDefault="00D677AA" w:rsidP="005E2DE2">
      <w:pPr>
        <w:spacing w:line="480" w:lineRule="auto"/>
        <w:rPr>
          <w:rFonts w:ascii="Times New Roman" w:hAnsi="Times New Roman" w:cs="Times New Roman"/>
        </w:rPr>
      </w:pPr>
    </w:p>
    <w:p w14:paraId="02E4490C" w14:textId="77777777" w:rsidR="00D677AA" w:rsidRPr="005E2DE2" w:rsidRDefault="00D677AA" w:rsidP="005E2DE2">
      <w:pPr>
        <w:spacing w:line="480" w:lineRule="auto"/>
        <w:rPr>
          <w:rFonts w:ascii="Times New Roman" w:hAnsi="Times New Roman" w:cs="Times New Roman"/>
        </w:rPr>
      </w:pPr>
    </w:p>
    <w:p w14:paraId="0AD2F1A8" w14:textId="77777777" w:rsidR="00D677AA" w:rsidRPr="005E2DE2" w:rsidRDefault="00D677AA" w:rsidP="005E2DE2">
      <w:pPr>
        <w:spacing w:line="480" w:lineRule="auto"/>
        <w:rPr>
          <w:rFonts w:ascii="Times New Roman" w:hAnsi="Times New Roman" w:cs="Times New Roman"/>
        </w:rPr>
      </w:pPr>
    </w:p>
    <w:p w14:paraId="598D7886" w14:textId="77777777" w:rsidR="00D677AA" w:rsidRPr="005E2DE2" w:rsidRDefault="00D677AA" w:rsidP="005E2DE2">
      <w:pPr>
        <w:spacing w:line="480" w:lineRule="auto"/>
        <w:rPr>
          <w:rFonts w:ascii="Times New Roman" w:hAnsi="Times New Roman" w:cs="Times New Roman"/>
        </w:rPr>
      </w:pPr>
    </w:p>
    <w:p w14:paraId="235589E2" w14:textId="77777777" w:rsidR="00D677AA" w:rsidRPr="005E2DE2" w:rsidRDefault="00D677AA" w:rsidP="005E2DE2">
      <w:pPr>
        <w:spacing w:line="480" w:lineRule="auto"/>
        <w:rPr>
          <w:rFonts w:ascii="Times New Roman" w:hAnsi="Times New Roman" w:cs="Times New Roman"/>
        </w:rPr>
      </w:pPr>
    </w:p>
    <w:p w14:paraId="23976C29" w14:textId="77777777" w:rsidR="00D677AA" w:rsidRPr="005E2DE2" w:rsidRDefault="00D677AA" w:rsidP="005E2DE2">
      <w:pPr>
        <w:spacing w:line="480" w:lineRule="auto"/>
        <w:rPr>
          <w:rFonts w:ascii="Times New Roman" w:hAnsi="Times New Roman" w:cs="Times New Roman"/>
        </w:rPr>
      </w:pPr>
    </w:p>
    <w:p w14:paraId="031D1832" w14:textId="77777777" w:rsidR="00D677AA" w:rsidRPr="005E2DE2" w:rsidRDefault="00D677AA" w:rsidP="005E2DE2">
      <w:pPr>
        <w:spacing w:line="480" w:lineRule="auto"/>
        <w:rPr>
          <w:rFonts w:ascii="Times New Roman" w:hAnsi="Times New Roman" w:cs="Times New Roman"/>
        </w:rPr>
      </w:pPr>
    </w:p>
    <w:p w14:paraId="0E35EB97" w14:textId="77777777" w:rsidR="00D677AA" w:rsidRPr="005E2DE2" w:rsidRDefault="00D677AA" w:rsidP="005E2DE2">
      <w:pPr>
        <w:spacing w:line="480" w:lineRule="auto"/>
        <w:rPr>
          <w:rFonts w:ascii="Times New Roman" w:hAnsi="Times New Roman" w:cs="Times New Roman"/>
        </w:rPr>
      </w:pPr>
    </w:p>
    <w:p w14:paraId="459BC6E4" w14:textId="77777777" w:rsidR="00D677AA" w:rsidRPr="005E2DE2" w:rsidRDefault="00D677AA" w:rsidP="005E2DE2">
      <w:pPr>
        <w:spacing w:line="480" w:lineRule="auto"/>
        <w:rPr>
          <w:rFonts w:ascii="Times New Roman" w:hAnsi="Times New Roman" w:cs="Times New Roman"/>
        </w:rPr>
      </w:pPr>
    </w:p>
    <w:p w14:paraId="0429EACE" w14:textId="77777777" w:rsidR="00D677AA" w:rsidRPr="005E2DE2" w:rsidRDefault="00D677AA" w:rsidP="005E2DE2">
      <w:pPr>
        <w:spacing w:line="480" w:lineRule="auto"/>
        <w:rPr>
          <w:rFonts w:ascii="Times New Roman" w:hAnsi="Times New Roman" w:cs="Times New Roman"/>
        </w:rPr>
      </w:pPr>
    </w:p>
    <w:p w14:paraId="5721895F" w14:textId="77777777" w:rsidR="00D677AA" w:rsidRPr="005E2DE2" w:rsidRDefault="00D677AA" w:rsidP="005E2DE2">
      <w:pPr>
        <w:spacing w:line="480" w:lineRule="auto"/>
        <w:rPr>
          <w:rFonts w:ascii="Times New Roman" w:hAnsi="Times New Roman" w:cs="Times New Roman"/>
        </w:rPr>
      </w:pPr>
    </w:p>
    <w:p w14:paraId="3C9FE59E" w14:textId="77777777" w:rsidR="00D677AA" w:rsidRPr="005E2DE2" w:rsidRDefault="00D677AA" w:rsidP="005E2DE2">
      <w:pPr>
        <w:spacing w:line="480" w:lineRule="auto"/>
        <w:rPr>
          <w:rFonts w:ascii="Times New Roman" w:hAnsi="Times New Roman" w:cs="Times New Roman"/>
        </w:rPr>
      </w:pPr>
    </w:p>
    <w:p w14:paraId="5D38ABA6" w14:textId="77777777" w:rsidR="00D677AA" w:rsidRPr="005E2DE2" w:rsidRDefault="00D677AA" w:rsidP="005E2DE2">
      <w:pPr>
        <w:spacing w:line="480" w:lineRule="auto"/>
        <w:rPr>
          <w:rFonts w:ascii="Times New Roman" w:hAnsi="Times New Roman" w:cs="Times New Roman"/>
        </w:rPr>
      </w:pPr>
    </w:p>
    <w:p w14:paraId="621DE38F" w14:textId="77777777" w:rsidR="00D677AA" w:rsidRPr="005E2DE2" w:rsidRDefault="00D677AA" w:rsidP="005E2DE2">
      <w:pPr>
        <w:spacing w:line="480" w:lineRule="auto"/>
        <w:rPr>
          <w:rFonts w:ascii="Times New Roman" w:hAnsi="Times New Roman" w:cs="Times New Roman"/>
        </w:rPr>
      </w:pPr>
    </w:p>
    <w:p w14:paraId="2FAFC023" w14:textId="77777777" w:rsidR="00D677AA" w:rsidRPr="005E2DE2" w:rsidRDefault="00D677AA" w:rsidP="005E2DE2">
      <w:pPr>
        <w:spacing w:line="480" w:lineRule="auto"/>
        <w:rPr>
          <w:rFonts w:ascii="Times New Roman" w:hAnsi="Times New Roman" w:cs="Times New Roman"/>
        </w:rPr>
      </w:pPr>
    </w:p>
    <w:p w14:paraId="046ADABB" w14:textId="77777777" w:rsidR="00D677AA" w:rsidRPr="005E2DE2" w:rsidRDefault="00D677AA" w:rsidP="005E2DE2">
      <w:pPr>
        <w:spacing w:line="480" w:lineRule="auto"/>
        <w:rPr>
          <w:rFonts w:ascii="Times New Roman" w:hAnsi="Times New Roman" w:cs="Times New Roman"/>
        </w:rPr>
      </w:pPr>
    </w:p>
    <w:p w14:paraId="1255ED83" w14:textId="77777777" w:rsidR="00D677AA" w:rsidRPr="005E2DE2" w:rsidRDefault="00D677AA" w:rsidP="005E2DE2">
      <w:pPr>
        <w:spacing w:line="480" w:lineRule="auto"/>
        <w:rPr>
          <w:rFonts w:ascii="Times New Roman" w:hAnsi="Times New Roman" w:cs="Times New Roman"/>
        </w:rPr>
      </w:pPr>
    </w:p>
    <w:p w14:paraId="05856933" w14:textId="77777777" w:rsidR="00D677AA" w:rsidRPr="005E2DE2" w:rsidRDefault="00D677AA" w:rsidP="005E2DE2">
      <w:pPr>
        <w:spacing w:line="480" w:lineRule="auto"/>
        <w:rPr>
          <w:rFonts w:ascii="Times New Roman" w:hAnsi="Times New Roman" w:cs="Times New Roman"/>
        </w:rPr>
      </w:pPr>
    </w:p>
    <w:p w14:paraId="6A217C40" w14:textId="77777777" w:rsidR="00D677AA" w:rsidRPr="005E2DE2" w:rsidRDefault="00D677AA" w:rsidP="005E2DE2">
      <w:pPr>
        <w:spacing w:line="480" w:lineRule="auto"/>
        <w:rPr>
          <w:rFonts w:ascii="Times New Roman" w:hAnsi="Times New Roman" w:cs="Times New Roman"/>
        </w:rPr>
      </w:pPr>
    </w:p>
    <w:p w14:paraId="21A8A255" w14:textId="77777777" w:rsidR="00D677AA" w:rsidRPr="005E2DE2" w:rsidRDefault="00D677AA" w:rsidP="005E2DE2">
      <w:pPr>
        <w:pStyle w:val="Heading2"/>
        <w:spacing w:line="480" w:lineRule="auto"/>
        <w:rPr>
          <w:rFonts w:ascii="Times New Roman" w:hAnsi="Times New Roman" w:cs="Times New Roman"/>
          <w:sz w:val="24"/>
          <w:szCs w:val="24"/>
        </w:rPr>
      </w:pPr>
      <w:bookmarkStart w:id="18" w:name="_Toc428279029"/>
      <w:r w:rsidRPr="005E2DE2">
        <w:rPr>
          <w:rFonts w:ascii="Times New Roman" w:hAnsi="Times New Roman" w:cs="Times New Roman"/>
          <w:sz w:val="24"/>
          <w:szCs w:val="24"/>
        </w:rPr>
        <w:lastRenderedPageBreak/>
        <w:t>A</w:t>
      </w:r>
      <w:bookmarkEnd w:id="18"/>
      <w:r w:rsidR="005E2DE2">
        <w:rPr>
          <w:rFonts w:ascii="Times New Roman" w:hAnsi="Times New Roman" w:cs="Times New Roman"/>
          <w:sz w:val="24"/>
          <w:szCs w:val="24"/>
        </w:rPr>
        <w:t>PPENDIX</w:t>
      </w:r>
    </w:p>
    <w:p w14:paraId="5D684CC0" w14:textId="77777777" w:rsidR="004C2071" w:rsidRPr="005E2DE2" w:rsidRDefault="004C2071" w:rsidP="005E2DE2">
      <w:pPr>
        <w:spacing w:line="480" w:lineRule="auto"/>
        <w:rPr>
          <w:rFonts w:ascii="Times New Roman" w:hAnsi="Times New Roman" w:cs="Times New Roman"/>
        </w:rPr>
      </w:pPr>
    </w:p>
    <w:p w14:paraId="40C6B3E2" w14:textId="77777777" w:rsidR="002F5480" w:rsidRDefault="004C2071" w:rsidP="00BA731C">
      <w:pPr>
        <w:pStyle w:val="Heading5"/>
        <w:rPr>
          <w:rFonts w:ascii="Times New Roman" w:hAnsi="Times New Roman" w:cs="Times New Roman"/>
        </w:rPr>
      </w:pPr>
      <w:r w:rsidRPr="005E2DE2">
        <w:rPr>
          <w:rFonts w:ascii="Times New Roman" w:hAnsi="Times New Roman" w:cs="Times New Roman"/>
        </w:rPr>
        <w:br w:type="page"/>
      </w:r>
    </w:p>
    <w:p w14:paraId="064BEBEA" w14:textId="7E9F99B2" w:rsidR="002F5480" w:rsidRDefault="002F5480" w:rsidP="00BA731C">
      <w:pPr>
        <w:pStyle w:val="Heading5"/>
        <w:pBdr>
          <w:bottom w:val="single" w:sz="6" w:space="1" w:color="auto"/>
        </w:pBdr>
        <w:rPr>
          <w:rFonts w:ascii="Times New Roman" w:hAnsi="Times New Roman" w:cs="Times New Roman"/>
          <w:i/>
        </w:rPr>
      </w:pPr>
      <w:r>
        <w:rPr>
          <w:rFonts w:ascii="Times New Roman" w:hAnsi="Times New Roman" w:cs="Times New Roman"/>
          <w:b/>
        </w:rPr>
        <w:lastRenderedPageBreak/>
        <w:t xml:space="preserve">Table 1. </w:t>
      </w:r>
      <w:r>
        <w:rPr>
          <w:rFonts w:ascii="Times New Roman" w:hAnsi="Times New Roman" w:cs="Times New Roman"/>
          <w:i/>
        </w:rPr>
        <w:t>Expected Sexual Possible Selves Questionnaire for Non-college Attending Emerging Adults.</w:t>
      </w:r>
    </w:p>
    <w:p w14:paraId="417A2A95" w14:textId="77777777" w:rsidR="002F5480" w:rsidRPr="002F5480" w:rsidRDefault="002F5480" w:rsidP="002F5480"/>
    <w:p w14:paraId="05555299" w14:textId="4C6FD8A3" w:rsidR="00BA731C" w:rsidRPr="00BA731C" w:rsidRDefault="00BA731C" w:rsidP="002F5480">
      <w:pPr>
        <w:pStyle w:val="Heading5"/>
        <w:jc w:val="center"/>
        <w:rPr>
          <w:rFonts w:ascii="Times New Roman" w:eastAsia="Times New Roman" w:hAnsi="Times New Roman" w:cs="Times New Roman"/>
          <w:b/>
          <w:color w:val="auto"/>
          <w:sz w:val="32"/>
        </w:rPr>
      </w:pPr>
      <w:r w:rsidRPr="00BA731C">
        <w:rPr>
          <w:rFonts w:ascii="Times New Roman" w:eastAsia="Times New Roman" w:hAnsi="Times New Roman" w:cs="Times New Roman"/>
          <w:b/>
          <w:color w:val="auto"/>
          <w:sz w:val="32"/>
        </w:rPr>
        <w:t>Sexual Possible Selves Questionnaire</w:t>
      </w:r>
    </w:p>
    <w:p w14:paraId="354E59D3" w14:textId="77777777" w:rsidR="00BA731C" w:rsidRPr="00BA731C" w:rsidRDefault="00BA731C" w:rsidP="00BA731C">
      <w:pPr>
        <w:rPr>
          <w:rFonts w:ascii="Times New Roman" w:eastAsia="ＭＳ 明朝" w:hAnsi="Times New Roman" w:cs="Times New Roman"/>
          <w:sz w:val="20"/>
        </w:rPr>
      </w:pPr>
    </w:p>
    <w:p w14:paraId="19D8CDDE" w14:textId="77777777" w:rsidR="00BA731C" w:rsidRPr="00BA731C" w:rsidRDefault="00BA731C" w:rsidP="00BA731C">
      <w:pPr>
        <w:rPr>
          <w:rFonts w:ascii="Times New Roman" w:eastAsia="ＭＳ 明朝" w:hAnsi="Times New Roman" w:cs="Times New Roman"/>
          <w:szCs w:val="22"/>
        </w:rPr>
      </w:pPr>
      <w:r w:rsidRPr="00BA731C">
        <w:rPr>
          <w:rFonts w:ascii="Times New Roman" w:eastAsia="ＭＳ 明朝" w:hAnsi="Times New Roman" w:cs="Times New Roman"/>
        </w:rPr>
        <w:t>Who will you be next year? Each of us has some image or picture of what we will be like and what we want to avoid being like in the future. Think about next year -- imagine what you expect to occur regarding your sexuality and sexual practices.  In the lines below, write what you expect your upcoming year will be like when addressing sex</w:t>
      </w:r>
    </w:p>
    <w:p w14:paraId="2D5E8BCD" w14:textId="77777777" w:rsidR="00BA731C" w:rsidRPr="00BA731C" w:rsidRDefault="00BA731C" w:rsidP="00BA731C">
      <w:pPr>
        <w:numPr>
          <w:ilvl w:val="0"/>
          <w:numId w:val="1"/>
        </w:numPr>
        <w:rPr>
          <w:rFonts w:ascii="Times New Roman" w:eastAsia="ＭＳ 明朝" w:hAnsi="Times New Roman" w:cs="Times New Roman"/>
          <w:szCs w:val="22"/>
        </w:rPr>
      </w:pPr>
      <w:r w:rsidRPr="00BA731C">
        <w:rPr>
          <w:rFonts w:ascii="Times New Roman" w:eastAsia="ＭＳ 明朝" w:hAnsi="Times New Roman" w:cs="Times New Roman"/>
          <w:szCs w:val="22"/>
        </w:rPr>
        <w:t>In the lines below, write what you expect the upcoming year will be like when addressing sex.</w:t>
      </w:r>
    </w:p>
    <w:p w14:paraId="1F25FC42" w14:textId="77777777" w:rsidR="00BA731C" w:rsidRPr="00BA731C" w:rsidRDefault="00BA731C" w:rsidP="00BA731C">
      <w:pPr>
        <w:numPr>
          <w:ilvl w:val="0"/>
          <w:numId w:val="1"/>
        </w:numPr>
        <w:rPr>
          <w:rFonts w:ascii="Times New Roman" w:eastAsia="ＭＳ 明朝" w:hAnsi="Times New Roman" w:cs="Times New Roman"/>
          <w:szCs w:val="22"/>
        </w:rPr>
      </w:pPr>
      <w:r w:rsidRPr="00BA731C">
        <w:rPr>
          <w:rFonts w:ascii="Times New Roman" w:eastAsia="ＭＳ 明朝" w:hAnsi="Times New Roman" w:cs="Times New Roman"/>
          <w:szCs w:val="22"/>
        </w:rPr>
        <w:t xml:space="preserve">In the space next to each expectation, mark NO (X) if you are not currently doing something about that expectation and mark YES (X) if you are currently doing something to get to that expectation. </w:t>
      </w:r>
    </w:p>
    <w:p w14:paraId="0F4B4014" w14:textId="77777777" w:rsidR="00BA731C" w:rsidRPr="00BA731C" w:rsidRDefault="00BA731C" w:rsidP="00BA731C">
      <w:pPr>
        <w:numPr>
          <w:ilvl w:val="0"/>
          <w:numId w:val="1"/>
        </w:numPr>
        <w:rPr>
          <w:rFonts w:ascii="Times New Roman" w:eastAsia="ＭＳ 明朝" w:hAnsi="Times New Roman" w:cs="Times New Roman"/>
          <w:b/>
          <w:szCs w:val="22"/>
        </w:rPr>
      </w:pPr>
      <w:r w:rsidRPr="00BA731C">
        <w:rPr>
          <w:rFonts w:ascii="Times New Roman" w:eastAsia="ＭＳ 明朝" w:hAnsi="Times New Roman" w:cs="Times New Roman"/>
          <w:szCs w:val="22"/>
        </w:rPr>
        <w:t>For each expectation that you marked YES, use the space to the right to write what you are doing this year to attain that goal. Use the first space for the first expectation, the second space for the second expectation and so on.</w:t>
      </w:r>
    </w:p>
    <w:p w14:paraId="54E5F969" w14:textId="77777777" w:rsidR="00BA731C" w:rsidRPr="00BA731C" w:rsidRDefault="00BA731C" w:rsidP="00BA731C">
      <w:pPr>
        <w:ind w:left="720"/>
        <w:rPr>
          <w:rFonts w:ascii="Times New Roman" w:eastAsia="ＭＳ 明朝" w:hAnsi="Times New Roman" w:cs="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7"/>
        <w:gridCol w:w="721"/>
        <w:gridCol w:w="720"/>
        <w:gridCol w:w="4068"/>
      </w:tblGrid>
      <w:tr w:rsidR="00BA731C" w:rsidRPr="00BA731C" w14:paraId="08B55471" w14:textId="77777777" w:rsidTr="00BA731C">
        <w:trPr>
          <w:cantSplit/>
        </w:trPr>
        <w:tc>
          <w:tcPr>
            <w:tcW w:w="3347" w:type="dxa"/>
          </w:tcPr>
          <w:p w14:paraId="159E0930" w14:textId="77777777" w:rsidR="00BA731C" w:rsidRPr="00BA731C" w:rsidRDefault="00BA731C" w:rsidP="00BA731C">
            <w:pPr>
              <w:tabs>
                <w:tab w:val="right" w:pos="9810"/>
              </w:tabs>
              <w:jc w:val="center"/>
              <w:rPr>
                <w:rFonts w:ascii="Times New Roman" w:eastAsia="ＭＳ 明朝" w:hAnsi="Times New Roman" w:cs="Times New Roman"/>
                <w:b/>
                <w:sz w:val="22"/>
              </w:rPr>
            </w:pPr>
          </w:p>
          <w:p w14:paraId="6AD33A52"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 xml:space="preserve">Regarding sex, this year I am expecting </w:t>
            </w:r>
          </w:p>
        </w:tc>
        <w:tc>
          <w:tcPr>
            <w:tcW w:w="1441" w:type="dxa"/>
            <w:gridSpan w:val="2"/>
          </w:tcPr>
          <w:p w14:paraId="44714B5B"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Am I am doing something to be that way</w:t>
            </w:r>
          </w:p>
        </w:tc>
        <w:tc>
          <w:tcPr>
            <w:tcW w:w="4068" w:type="dxa"/>
          </w:tcPr>
          <w:p w14:paraId="4964CDBB"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If yes,</w:t>
            </w:r>
          </w:p>
          <w:p w14:paraId="3B355973"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What I am doing now to be that way</w:t>
            </w:r>
          </w:p>
        </w:tc>
      </w:tr>
      <w:tr w:rsidR="00BA731C" w:rsidRPr="00BA731C" w14:paraId="06C254FA" w14:textId="77777777" w:rsidTr="00BA731C">
        <w:tc>
          <w:tcPr>
            <w:tcW w:w="3347" w:type="dxa"/>
          </w:tcPr>
          <w:p w14:paraId="2F75275A" w14:textId="77777777" w:rsidR="00BA731C" w:rsidRPr="00BA731C" w:rsidRDefault="00BA731C" w:rsidP="00BA731C">
            <w:pPr>
              <w:tabs>
                <w:tab w:val="right" w:pos="9810"/>
              </w:tabs>
              <w:rPr>
                <w:rFonts w:ascii="Times New Roman" w:eastAsia="ＭＳ 明朝" w:hAnsi="Times New Roman" w:cs="Times New Roman"/>
              </w:rPr>
            </w:pPr>
          </w:p>
        </w:tc>
        <w:tc>
          <w:tcPr>
            <w:tcW w:w="721" w:type="dxa"/>
          </w:tcPr>
          <w:p w14:paraId="3C73794B" w14:textId="77777777" w:rsidR="00BA731C" w:rsidRPr="00BA731C" w:rsidRDefault="00BA731C" w:rsidP="00BA731C">
            <w:pPr>
              <w:tabs>
                <w:tab w:val="right" w:pos="9810"/>
              </w:tabs>
              <w:jc w:val="center"/>
              <w:rPr>
                <w:rFonts w:ascii="Times New Roman" w:eastAsia="ＭＳ 明朝" w:hAnsi="Times New Roman" w:cs="Times New Roman"/>
              </w:rPr>
            </w:pPr>
            <w:r w:rsidRPr="00BA731C">
              <w:rPr>
                <w:rFonts w:ascii="Times New Roman" w:eastAsia="ＭＳ 明朝" w:hAnsi="Times New Roman" w:cs="Times New Roman"/>
                <w:b/>
                <w:sz w:val="22"/>
              </w:rPr>
              <w:t>NO</w:t>
            </w:r>
          </w:p>
        </w:tc>
        <w:tc>
          <w:tcPr>
            <w:tcW w:w="720" w:type="dxa"/>
          </w:tcPr>
          <w:p w14:paraId="350104AB" w14:textId="77777777" w:rsidR="00BA731C" w:rsidRPr="00BA731C" w:rsidRDefault="00BA731C" w:rsidP="00BA731C">
            <w:pPr>
              <w:tabs>
                <w:tab w:val="right" w:pos="9810"/>
              </w:tabs>
              <w:jc w:val="center"/>
              <w:rPr>
                <w:rFonts w:ascii="Times New Roman" w:eastAsia="ＭＳ 明朝" w:hAnsi="Times New Roman" w:cs="Times New Roman"/>
              </w:rPr>
            </w:pPr>
            <w:r w:rsidRPr="00BA731C">
              <w:rPr>
                <w:rFonts w:ascii="Times New Roman" w:eastAsia="ＭＳ 明朝" w:hAnsi="Times New Roman" w:cs="Times New Roman"/>
                <w:b/>
                <w:sz w:val="22"/>
              </w:rPr>
              <w:t>YES</w:t>
            </w:r>
          </w:p>
        </w:tc>
        <w:tc>
          <w:tcPr>
            <w:tcW w:w="4068" w:type="dxa"/>
          </w:tcPr>
          <w:p w14:paraId="031CE679" w14:textId="77777777" w:rsidR="00BA731C" w:rsidRPr="00BA731C" w:rsidRDefault="00BA731C" w:rsidP="00BA731C">
            <w:pPr>
              <w:tabs>
                <w:tab w:val="right" w:pos="9810"/>
              </w:tabs>
              <w:rPr>
                <w:rFonts w:ascii="Times New Roman" w:eastAsia="ＭＳ 明朝" w:hAnsi="Times New Roman" w:cs="Times New Roman"/>
              </w:rPr>
            </w:pPr>
          </w:p>
        </w:tc>
      </w:tr>
      <w:tr w:rsidR="00BA731C" w:rsidRPr="00BA731C" w14:paraId="38709D8F" w14:textId="77777777" w:rsidTr="00BA731C">
        <w:tc>
          <w:tcPr>
            <w:tcW w:w="3347" w:type="dxa"/>
          </w:tcPr>
          <w:p w14:paraId="6842A3F5"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2"/>
              </w:rPr>
              <w:t xml:space="preserve">(P1)  </w:t>
            </w:r>
            <w:r w:rsidRPr="00BA731C">
              <w:rPr>
                <w:rFonts w:ascii="Times New Roman" w:eastAsia="ＭＳ 明朝" w:hAnsi="Times New Roman" w:cs="Times New Roman"/>
                <w:sz w:val="36"/>
              </w:rPr>
              <w:t>__________________</w:t>
            </w:r>
          </w:p>
          <w:p w14:paraId="5F98D41F" w14:textId="77777777" w:rsidR="00BA731C" w:rsidRPr="00BA731C" w:rsidRDefault="00BA731C" w:rsidP="00BA731C">
            <w:pPr>
              <w:tabs>
                <w:tab w:val="right" w:pos="9810"/>
              </w:tabs>
              <w:rPr>
                <w:rFonts w:ascii="Times New Roman" w:eastAsia="ＭＳ 明朝" w:hAnsi="Times New Roman" w:cs="Times New Roman"/>
                <w:sz w:val="32"/>
              </w:rPr>
            </w:pPr>
          </w:p>
        </w:tc>
        <w:tc>
          <w:tcPr>
            <w:tcW w:w="721" w:type="dxa"/>
          </w:tcPr>
          <w:p w14:paraId="050E89EC" w14:textId="77777777" w:rsidR="00BA731C" w:rsidRPr="00BA731C" w:rsidRDefault="00BA731C" w:rsidP="00BA731C">
            <w:pPr>
              <w:tabs>
                <w:tab w:val="right" w:pos="9810"/>
              </w:tabs>
              <w:jc w:val="center"/>
              <w:rPr>
                <w:rFonts w:ascii="Times New Roman" w:eastAsia="ＭＳ 明朝" w:hAnsi="Times New Roman" w:cs="Times New Roman"/>
              </w:rPr>
            </w:pPr>
          </w:p>
        </w:tc>
        <w:tc>
          <w:tcPr>
            <w:tcW w:w="720" w:type="dxa"/>
          </w:tcPr>
          <w:p w14:paraId="19CDE25A" w14:textId="77777777" w:rsidR="00BA731C" w:rsidRPr="00BA731C" w:rsidRDefault="00BA731C" w:rsidP="00BA731C">
            <w:pPr>
              <w:tabs>
                <w:tab w:val="right" w:pos="9810"/>
              </w:tabs>
              <w:jc w:val="center"/>
              <w:rPr>
                <w:rFonts w:ascii="Times New Roman" w:eastAsia="ＭＳ 明朝" w:hAnsi="Times New Roman" w:cs="Times New Roman"/>
              </w:rPr>
            </w:pPr>
          </w:p>
        </w:tc>
        <w:tc>
          <w:tcPr>
            <w:tcW w:w="4068" w:type="dxa"/>
          </w:tcPr>
          <w:p w14:paraId="0A715258"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(s1)</w:t>
            </w:r>
            <w:r w:rsidRPr="00BA731C">
              <w:rPr>
                <w:rFonts w:ascii="Times New Roman" w:eastAsia="ＭＳ 明朝" w:hAnsi="Times New Roman" w:cs="Times New Roman"/>
                <w:sz w:val="36"/>
              </w:rPr>
              <w:t>______________________</w:t>
            </w:r>
          </w:p>
        </w:tc>
      </w:tr>
      <w:tr w:rsidR="00BA731C" w:rsidRPr="00BA731C" w14:paraId="42CB77A2" w14:textId="77777777" w:rsidTr="00BA731C">
        <w:tc>
          <w:tcPr>
            <w:tcW w:w="3347" w:type="dxa"/>
          </w:tcPr>
          <w:p w14:paraId="53595B81" w14:textId="77777777" w:rsidR="00BA731C" w:rsidRPr="00BA731C" w:rsidRDefault="00BA731C" w:rsidP="00BA731C">
            <w:pPr>
              <w:tabs>
                <w:tab w:val="right" w:pos="9810"/>
              </w:tabs>
              <w:rPr>
                <w:rFonts w:ascii="Times New Roman" w:eastAsia="ＭＳ 明朝" w:hAnsi="Times New Roman" w:cs="Times New Roman"/>
              </w:rPr>
            </w:pPr>
            <w:r w:rsidRPr="00BA731C">
              <w:rPr>
                <w:rFonts w:ascii="Times New Roman" w:eastAsia="ＭＳ 明朝" w:hAnsi="Times New Roman" w:cs="Times New Roman"/>
                <w:sz w:val="22"/>
              </w:rPr>
              <w:t>(P2)</w:t>
            </w:r>
            <w:r w:rsidRPr="00BA731C">
              <w:rPr>
                <w:rFonts w:ascii="Times New Roman" w:eastAsia="ＭＳ 明朝" w:hAnsi="Times New Roman" w:cs="Times New Roman"/>
                <w:sz w:val="32"/>
              </w:rPr>
              <w:t xml:space="preserve">  </w:t>
            </w:r>
            <w:r w:rsidRPr="00BA731C">
              <w:rPr>
                <w:rFonts w:ascii="Times New Roman" w:eastAsia="ＭＳ 明朝" w:hAnsi="Times New Roman" w:cs="Times New Roman"/>
                <w:sz w:val="36"/>
              </w:rPr>
              <w:t>_________________</w:t>
            </w:r>
          </w:p>
          <w:p w14:paraId="26183490" w14:textId="77777777" w:rsidR="00BA731C" w:rsidRPr="00BA731C" w:rsidRDefault="00BA731C" w:rsidP="00BA731C">
            <w:pPr>
              <w:tabs>
                <w:tab w:val="right" w:pos="9810"/>
              </w:tabs>
              <w:rPr>
                <w:rFonts w:ascii="Times New Roman" w:eastAsia="ＭＳ 明朝" w:hAnsi="Times New Roman" w:cs="Times New Roman"/>
                <w:sz w:val="32"/>
              </w:rPr>
            </w:pPr>
          </w:p>
        </w:tc>
        <w:tc>
          <w:tcPr>
            <w:tcW w:w="721" w:type="dxa"/>
          </w:tcPr>
          <w:p w14:paraId="09A543D8" w14:textId="77777777" w:rsidR="00BA731C" w:rsidRPr="00BA731C" w:rsidRDefault="00BA731C" w:rsidP="00BA731C">
            <w:pPr>
              <w:tabs>
                <w:tab w:val="right" w:pos="9810"/>
              </w:tabs>
              <w:jc w:val="center"/>
              <w:rPr>
                <w:rFonts w:ascii="Times New Roman" w:eastAsia="ＭＳ 明朝" w:hAnsi="Times New Roman" w:cs="Times New Roman"/>
              </w:rPr>
            </w:pPr>
          </w:p>
        </w:tc>
        <w:tc>
          <w:tcPr>
            <w:tcW w:w="720" w:type="dxa"/>
          </w:tcPr>
          <w:p w14:paraId="24286C8B" w14:textId="77777777" w:rsidR="00BA731C" w:rsidRPr="00BA731C" w:rsidRDefault="00BA731C" w:rsidP="00BA731C">
            <w:pPr>
              <w:tabs>
                <w:tab w:val="right" w:pos="9810"/>
              </w:tabs>
              <w:jc w:val="center"/>
              <w:rPr>
                <w:rFonts w:ascii="Times New Roman" w:eastAsia="ＭＳ 明朝" w:hAnsi="Times New Roman" w:cs="Times New Roman"/>
              </w:rPr>
            </w:pPr>
          </w:p>
        </w:tc>
        <w:tc>
          <w:tcPr>
            <w:tcW w:w="4068" w:type="dxa"/>
          </w:tcPr>
          <w:p w14:paraId="3DD8D761"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(s2)</w:t>
            </w:r>
            <w:r w:rsidRPr="00BA731C">
              <w:rPr>
                <w:rFonts w:ascii="Times New Roman" w:eastAsia="ＭＳ 明朝" w:hAnsi="Times New Roman" w:cs="Times New Roman"/>
                <w:sz w:val="36"/>
              </w:rPr>
              <w:t>______________________</w:t>
            </w:r>
          </w:p>
        </w:tc>
      </w:tr>
      <w:tr w:rsidR="00BA731C" w:rsidRPr="00BA731C" w14:paraId="7C1ADED8" w14:textId="77777777" w:rsidTr="00BA731C">
        <w:tc>
          <w:tcPr>
            <w:tcW w:w="3347" w:type="dxa"/>
          </w:tcPr>
          <w:p w14:paraId="12B96210"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2"/>
              </w:rPr>
              <w:t>(P3)</w:t>
            </w:r>
            <w:r w:rsidRPr="00BA731C">
              <w:rPr>
                <w:rFonts w:ascii="Times New Roman" w:eastAsia="ＭＳ 明朝" w:hAnsi="Times New Roman" w:cs="Times New Roman"/>
                <w:sz w:val="36"/>
              </w:rPr>
              <w:t xml:space="preserve"> __________________</w:t>
            </w:r>
          </w:p>
          <w:p w14:paraId="6CF3BBFA" w14:textId="77777777" w:rsidR="00BA731C" w:rsidRPr="00BA731C" w:rsidRDefault="00BA731C" w:rsidP="00BA731C">
            <w:pPr>
              <w:tabs>
                <w:tab w:val="right" w:pos="9810"/>
              </w:tabs>
              <w:rPr>
                <w:rFonts w:ascii="Times New Roman" w:eastAsia="ＭＳ 明朝" w:hAnsi="Times New Roman" w:cs="Times New Roman"/>
                <w:sz w:val="32"/>
              </w:rPr>
            </w:pPr>
          </w:p>
        </w:tc>
        <w:tc>
          <w:tcPr>
            <w:tcW w:w="721" w:type="dxa"/>
          </w:tcPr>
          <w:p w14:paraId="5D7F608D" w14:textId="77777777" w:rsidR="00BA731C" w:rsidRPr="00BA731C" w:rsidRDefault="00BA731C" w:rsidP="00BA731C">
            <w:pPr>
              <w:tabs>
                <w:tab w:val="right" w:pos="9810"/>
              </w:tabs>
              <w:jc w:val="center"/>
              <w:rPr>
                <w:rFonts w:ascii="Times New Roman" w:eastAsia="ＭＳ 明朝" w:hAnsi="Times New Roman" w:cs="Times New Roman"/>
              </w:rPr>
            </w:pPr>
          </w:p>
        </w:tc>
        <w:tc>
          <w:tcPr>
            <w:tcW w:w="720" w:type="dxa"/>
          </w:tcPr>
          <w:p w14:paraId="7AA7EF70" w14:textId="77777777" w:rsidR="00BA731C" w:rsidRPr="00BA731C" w:rsidRDefault="00BA731C" w:rsidP="00BA731C">
            <w:pPr>
              <w:tabs>
                <w:tab w:val="right" w:pos="9810"/>
              </w:tabs>
              <w:jc w:val="center"/>
              <w:rPr>
                <w:rFonts w:ascii="Times New Roman" w:eastAsia="ＭＳ 明朝" w:hAnsi="Times New Roman" w:cs="Times New Roman"/>
              </w:rPr>
            </w:pPr>
          </w:p>
        </w:tc>
        <w:tc>
          <w:tcPr>
            <w:tcW w:w="4068" w:type="dxa"/>
          </w:tcPr>
          <w:p w14:paraId="1799A34F"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(s3)</w:t>
            </w:r>
            <w:r w:rsidRPr="00BA731C">
              <w:rPr>
                <w:rFonts w:ascii="Times New Roman" w:eastAsia="ＭＳ 明朝" w:hAnsi="Times New Roman" w:cs="Times New Roman"/>
                <w:sz w:val="36"/>
              </w:rPr>
              <w:t>______________________</w:t>
            </w:r>
          </w:p>
        </w:tc>
      </w:tr>
      <w:tr w:rsidR="00BA731C" w:rsidRPr="00BA731C" w14:paraId="3120618B" w14:textId="77777777" w:rsidTr="00BA731C">
        <w:tc>
          <w:tcPr>
            <w:tcW w:w="3347" w:type="dxa"/>
          </w:tcPr>
          <w:p w14:paraId="2DE3F9CF" w14:textId="77777777" w:rsidR="00BA731C" w:rsidRPr="00BA731C" w:rsidRDefault="00BA731C" w:rsidP="00BA731C">
            <w:pPr>
              <w:tabs>
                <w:tab w:val="right" w:pos="9810"/>
              </w:tabs>
              <w:rPr>
                <w:rFonts w:ascii="Times New Roman" w:eastAsia="ＭＳ 明朝" w:hAnsi="Times New Roman" w:cs="Times New Roman"/>
                <w:sz w:val="40"/>
              </w:rPr>
            </w:pPr>
            <w:r w:rsidRPr="00BA731C">
              <w:rPr>
                <w:rFonts w:ascii="Times New Roman" w:eastAsia="ＭＳ 明朝" w:hAnsi="Times New Roman" w:cs="Times New Roman"/>
                <w:sz w:val="22"/>
              </w:rPr>
              <w:t xml:space="preserve">(P4)  </w:t>
            </w:r>
            <w:r w:rsidRPr="00BA731C">
              <w:rPr>
                <w:rFonts w:ascii="Times New Roman" w:eastAsia="ＭＳ 明朝" w:hAnsi="Times New Roman" w:cs="Times New Roman"/>
                <w:sz w:val="36"/>
              </w:rPr>
              <w:t>__________________</w:t>
            </w:r>
            <w:r w:rsidRPr="00BA731C">
              <w:rPr>
                <w:rFonts w:ascii="Times New Roman" w:eastAsia="ＭＳ 明朝" w:hAnsi="Times New Roman" w:cs="Times New Roman"/>
                <w:sz w:val="40"/>
              </w:rPr>
              <w:t xml:space="preserve"> </w:t>
            </w:r>
          </w:p>
          <w:p w14:paraId="1DF33F10" w14:textId="77777777" w:rsidR="00BA731C" w:rsidRPr="00BA731C" w:rsidRDefault="00BA731C" w:rsidP="00BA731C">
            <w:pPr>
              <w:tabs>
                <w:tab w:val="right" w:pos="9810"/>
              </w:tabs>
              <w:rPr>
                <w:rFonts w:ascii="Times New Roman" w:eastAsia="ＭＳ 明朝" w:hAnsi="Times New Roman" w:cs="Times New Roman"/>
                <w:sz w:val="32"/>
              </w:rPr>
            </w:pPr>
          </w:p>
        </w:tc>
        <w:tc>
          <w:tcPr>
            <w:tcW w:w="721" w:type="dxa"/>
          </w:tcPr>
          <w:p w14:paraId="17C6F985" w14:textId="77777777" w:rsidR="00BA731C" w:rsidRPr="00BA731C" w:rsidRDefault="00BA731C" w:rsidP="00BA731C">
            <w:pPr>
              <w:tabs>
                <w:tab w:val="right" w:pos="9810"/>
              </w:tabs>
              <w:jc w:val="center"/>
              <w:rPr>
                <w:rFonts w:ascii="Times New Roman" w:eastAsia="ＭＳ 明朝" w:hAnsi="Times New Roman" w:cs="Times New Roman"/>
              </w:rPr>
            </w:pPr>
          </w:p>
        </w:tc>
        <w:tc>
          <w:tcPr>
            <w:tcW w:w="720" w:type="dxa"/>
          </w:tcPr>
          <w:p w14:paraId="475F1957" w14:textId="77777777" w:rsidR="00BA731C" w:rsidRPr="00BA731C" w:rsidRDefault="00BA731C" w:rsidP="00BA731C">
            <w:pPr>
              <w:tabs>
                <w:tab w:val="right" w:pos="9810"/>
              </w:tabs>
              <w:jc w:val="center"/>
              <w:rPr>
                <w:rFonts w:ascii="Times New Roman" w:eastAsia="ＭＳ 明朝" w:hAnsi="Times New Roman" w:cs="Times New Roman"/>
              </w:rPr>
            </w:pPr>
          </w:p>
        </w:tc>
        <w:tc>
          <w:tcPr>
            <w:tcW w:w="4068" w:type="dxa"/>
          </w:tcPr>
          <w:p w14:paraId="265BF706"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(s4)</w:t>
            </w:r>
            <w:r w:rsidRPr="00BA731C">
              <w:rPr>
                <w:rFonts w:ascii="Times New Roman" w:eastAsia="ＭＳ 明朝" w:hAnsi="Times New Roman" w:cs="Times New Roman"/>
                <w:sz w:val="36"/>
              </w:rPr>
              <w:t>______________________</w:t>
            </w:r>
          </w:p>
        </w:tc>
      </w:tr>
    </w:tbl>
    <w:p w14:paraId="424AEC76" w14:textId="77777777" w:rsidR="00BA731C" w:rsidRPr="00BA731C" w:rsidRDefault="00BA731C" w:rsidP="00BA731C">
      <w:pPr>
        <w:tabs>
          <w:tab w:val="right" w:pos="9810"/>
        </w:tabs>
        <w:rPr>
          <w:rFonts w:ascii="Times New Roman" w:eastAsia="ＭＳ 明朝" w:hAnsi="Times New Roman" w:cs="Times New Roman"/>
        </w:rPr>
      </w:pPr>
      <w:r w:rsidRPr="00BA731C">
        <w:rPr>
          <w:rFonts w:ascii="Times New Roman" w:eastAsia="ＭＳ 明朝" w:hAnsi="Times New Roman" w:cs="Times New Roman"/>
        </w:rPr>
        <w:tab/>
      </w:r>
    </w:p>
    <w:p w14:paraId="4F5E31F9" w14:textId="77777777" w:rsidR="00BA731C" w:rsidRPr="00BA731C" w:rsidRDefault="00BA731C" w:rsidP="00BA731C">
      <w:pPr>
        <w:rPr>
          <w:rFonts w:ascii="Times New Roman" w:eastAsia="ＭＳ 明朝" w:hAnsi="Times New Roman" w:cs="Times New Roman"/>
        </w:rPr>
      </w:pPr>
    </w:p>
    <w:p w14:paraId="33F76C74" w14:textId="76AA4ED8" w:rsidR="002F5480" w:rsidRDefault="002F5480" w:rsidP="002F5480">
      <w:pPr>
        <w:pStyle w:val="Heading5"/>
        <w:pBdr>
          <w:bottom w:val="single" w:sz="6" w:space="1" w:color="auto"/>
        </w:pBdr>
        <w:rPr>
          <w:rFonts w:ascii="Times New Roman" w:hAnsi="Times New Roman" w:cs="Times New Roman"/>
          <w:i/>
        </w:rPr>
      </w:pPr>
      <w:r>
        <w:rPr>
          <w:rFonts w:ascii="Times New Roman" w:hAnsi="Times New Roman" w:cs="Times New Roman"/>
          <w:b/>
        </w:rPr>
        <w:t xml:space="preserve">Table 2. </w:t>
      </w:r>
      <w:r>
        <w:rPr>
          <w:rFonts w:ascii="Times New Roman" w:hAnsi="Times New Roman" w:cs="Times New Roman"/>
          <w:i/>
        </w:rPr>
        <w:t>Feared Sexual Possible Selves Questionnaire for Non-college Attending Emerging Adults.</w:t>
      </w:r>
    </w:p>
    <w:p w14:paraId="4A9AE95D" w14:textId="77777777" w:rsidR="002F5480" w:rsidRDefault="002F5480" w:rsidP="00BA731C">
      <w:pPr>
        <w:rPr>
          <w:rFonts w:ascii="Times New Roman" w:eastAsia="ＭＳ 明朝" w:hAnsi="Times New Roman" w:cs="Times New Roman"/>
          <w:sz w:val="22"/>
          <w:szCs w:val="22"/>
        </w:rPr>
      </w:pPr>
    </w:p>
    <w:p w14:paraId="6BB005C1" w14:textId="3A3CD3EC" w:rsidR="00BA731C" w:rsidRPr="00BA731C" w:rsidRDefault="00BA731C" w:rsidP="00BA731C">
      <w:pPr>
        <w:rPr>
          <w:rFonts w:ascii="Times New Roman" w:eastAsia="ＭＳ 明朝" w:hAnsi="Times New Roman" w:cs="Times New Roman"/>
          <w:i/>
          <w:szCs w:val="22"/>
        </w:rPr>
      </w:pPr>
      <w:r w:rsidRPr="00BA731C">
        <w:rPr>
          <w:rFonts w:ascii="Times New Roman" w:eastAsia="ＭＳ 明朝" w:hAnsi="Times New Roman" w:cs="Times New Roman"/>
        </w:rPr>
        <w:t xml:space="preserve">In addition to expectations and expected goals, we all have images or pictures of what we don’t want to be like regarding our sexuality; what we don’t want to do or want to avoid being.  First, think a minute about ways you would </w:t>
      </w:r>
      <w:r w:rsidRPr="00BA731C">
        <w:rPr>
          <w:rFonts w:ascii="Times New Roman" w:eastAsia="ＭＳ 明朝" w:hAnsi="Times New Roman" w:cs="Times New Roman"/>
          <w:bCs/>
        </w:rPr>
        <w:t>not</w:t>
      </w:r>
      <w:r w:rsidRPr="00BA731C">
        <w:rPr>
          <w:rFonts w:ascii="Times New Roman" w:eastAsia="ＭＳ 明朝" w:hAnsi="Times New Roman" w:cs="Times New Roman"/>
        </w:rPr>
        <w:t xml:space="preserve"> like to be this upcoming year -- things you are concerned about or want to avoid being like. Write those concerns or sexual selves to-be-avoided in the lines below.</w:t>
      </w:r>
    </w:p>
    <w:p w14:paraId="5AD9B752" w14:textId="77777777" w:rsidR="00BA731C" w:rsidRPr="00BA731C" w:rsidRDefault="00BA731C" w:rsidP="00BA731C">
      <w:pPr>
        <w:numPr>
          <w:ilvl w:val="0"/>
          <w:numId w:val="1"/>
        </w:numPr>
        <w:rPr>
          <w:rFonts w:ascii="Times New Roman" w:eastAsia="ＭＳ 明朝" w:hAnsi="Times New Roman" w:cs="Times New Roman"/>
          <w:szCs w:val="22"/>
        </w:rPr>
      </w:pPr>
      <w:r w:rsidRPr="00BA731C">
        <w:rPr>
          <w:rFonts w:ascii="Times New Roman" w:eastAsia="ＭＳ 明朝" w:hAnsi="Times New Roman" w:cs="Times New Roman"/>
          <w:szCs w:val="22"/>
        </w:rPr>
        <w:t>Write those concerns or sexual selves to-be-avoided in the lines below.</w:t>
      </w:r>
    </w:p>
    <w:p w14:paraId="6D5AA884" w14:textId="77777777" w:rsidR="00BA731C" w:rsidRPr="00BA731C" w:rsidRDefault="00BA731C" w:rsidP="00BA731C">
      <w:pPr>
        <w:numPr>
          <w:ilvl w:val="0"/>
          <w:numId w:val="1"/>
        </w:numPr>
        <w:rPr>
          <w:rFonts w:ascii="Times New Roman" w:eastAsia="ＭＳ 明朝" w:hAnsi="Times New Roman" w:cs="Times New Roman"/>
          <w:szCs w:val="22"/>
        </w:rPr>
      </w:pPr>
      <w:r w:rsidRPr="00BA731C">
        <w:rPr>
          <w:rFonts w:ascii="Times New Roman" w:eastAsia="ＭＳ 明朝" w:hAnsi="Times New Roman" w:cs="Times New Roman"/>
          <w:szCs w:val="22"/>
        </w:rPr>
        <w:t xml:space="preserve">In the space next to each concern or to-be-avoided self, mark NO (X) if you </w:t>
      </w:r>
      <w:r w:rsidRPr="00BA731C">
        <w:rPr>
          <w:rFonts w:ascii="Times New Roman" w:eastAsia="ＭＳ 明朝" w:hAnsi="Times New Roman" w:cs="Times New Roman"/>
          <w:b/>
          <w:szCs w:val="22"/>
        </w:rPr>
        <w:t>are not</w:t>
      </w:r>
      <w:r w:rsidRPr="00BA731C">
        <w:rPr>
          <w:rFonts w:ascii="Times New Roman" w:eastAsia="ＭＳ 明朝" w:hAnsi="Times New Roman" w:cs="Times New Roman"/>
          <w:szCs w:val="22"/>
        </w:rPr>
        <w:t xml:space="preserve"> currently working on avoiding that concern or to-be-avoided self and mark YES (X) if you </w:t>
      </w:r>
      <w:r w:rsidRPr="00BA731C">
        <w:rPr>
          <w:rFonts w:ascii="Times New Roman" w:eastAsia="ＭＳ 明朝" w:hAnsi="Times New Roman" w:cs="Times New Roman"/>
          <w:b/>
          <w:szCs w:val="22"/>
        </w:rPr>
        <w:t>are</w:t>
      </w:r>
      <w:r w:rsidRPr="00BA731C">
        <w:rPr>
          <w:rFonts w:ascii="Times New Roman" w:eastAsia="ＭＳ 明朝" w:hAnsi="Times New Roman" w:cs="Times New Roman"/>
          <w:szCs w:val="22"/>
        </w:rPr>
        <w:t xml:space="preserve"> currently doing something </w:t>
      </w:r>
      <w:r w:rsidRPr="00BA731C">
        <w:rPr>
          <w:rFonts w:ascii="Times New Roman" w:eastAsia="ＭＳ 明朝" w:hAnsi="Times New Roman" w:cs="Times New Roman"/>
          <w:szCs w:val="22"/>
          <w:u w:val="single"/>
        </w:rPr>
        <w:t>so this will not happen</w:t>
      </w:r>
      <w:r w:rsidRPr="00BA731C">
        <w:rPr>
          <w:rFonts w:ascii="Times New Roman" w:eastAsia="ＭＳ 明朝" w:hAnsi="Times New Roman" w:cs="Times New Roman"/>
          <w:szCs w:val="22"/>
        </w:rPr>
        <w:t xml:space="preserve"> this year. </w:t>
      </w:r>
    </w:p>
    <w:p w14:paraId="49FFC717" w14:textId="77777777" w:rsidR="00BA731C" w:rsidRPr="00BA731C" w:rsidRDefault="00BA731C" w:rsidP="00BA731C">
      <w:pPr>
        <w:numPr>
          <w:ilvl w:val="0"/>
          <w:numId w:val="1"/>
        </w:numPr>
        <w:rPr>
          <w:rFonts w:ascii="Times New Roman" w:eastAsia="ＭＳ 明朝" w:hAnsi="Times New Roman" w:cs="Times New Roman"/>
          <w:sz w:val="22"/>
          <w:szCs w:val="22"/>
        </w:rPr>
      </w:pPr>
      <w:r w:rsidRPr="00BA731C">
        <w:rPr>
          <w:rFonts w:ascii="Times New Roman" w:eastAsia="ＭＳ 明朝" w:hAnsi="Times New Roman" w:cs="Times New Roman"/>
          <w:szCs w:val="22"/>
        </w:rPr>
        <w:t xml:space="preserve">For each sexual concern or to-be-avoided sexual self that you marked YES, use the space at the end of each line to write </w:t>
      </w:r>
      <w:r w:rsidRPr="00BA731C">
        <w:rPr>
          <w:rFonts w:ascii="Times New Roman" w:eastAsia="ＭＳ 明朝" w:hAnsi="Times New Roman" w:cs="Times New Roman"/>
          <w:szCs w:val="22"/>
          <w:u w:val="single"/>
        </w:rPr>
        <w:t>what you are doing this year to reduce the chances that this will describe you during your upcoming year</w:t>
      </w:r>
      <w:r w:rsidRPr="00BA731C">
        <w:rPr>
          <w:rFonts w:ascii="Times New Roman" w:eastAsia="ＭＳ 明朝" w:hAnsi="Times New Roman" w:cs="Times New Roman"/>
          <w:szCs w:val="22"/>
        </w:rPr>
        <w:t xml:space="preserve">. Use the first space for the first concern, the second space for the second concern and so on. </w:t>
      </w:r>
    </w:p>
    <w:p w14:paraId="74859000" w14:textId="77777777" w:rsidR="00BA731C" w:rsidRPr="00BA731C" w:rsidRDefault="00BA731C" w:rsidP="00BA731C">
      <w:pPr>
        <w:ind w:left="720"/>
        <w:rPr>
          <w:rFonts w:ascii="Times New Roman" w:eastAsia="ＭＳ 明朝" w:hAnsi="Times New Roman" w:cs="Times New Roman"/>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7"/>
        <w:gridCol w:w="811"/>
        <w:gridCol w:w="810"/>
        <w:gridCol w:w="4140"/>
      </w:tblGrid>
      <w:tr w:rsidR="00BA731C" w:rsidRPr="00BA731C" w14:paraId="622B0C09" w14:textId="77777777" w:rsidTr="00BA731C">
        <w:trPr>
          <w:cantSplit/>
        </w:trPr>
        <w:tc>
          <w:tcPr>
            <w:tcW w:w="3347" w:type="dxa"/>
          </w:tcPr>
          <w:p w14:paraId="42F23740" w14:textId="77777777" w:rsidR="00BA731C" w:rsidRPr="00BA731C" w:rsidRDefault="00BA731C" w:rsidP="00BA731C">
            <w:pPr>
              <w:tabs>
                <w:tab w:val="right" w:pos="9810"/>
              </w:tabs>
              <w:jc w:val="center"/>
              <w:rPr>
                <w:rFonts w:ascii="Times New Roman" w:eastAsia="ＭＳ 明朝" w:hAnsi="Times New Roman" w:cs="Times New Roman"/>
                <w:b/>
                <w:sz w:val="22"/>
              </w:rPr>
            </w:pPr>
          </w:p>
          <w:p w14:paraId="613E77C7"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Regarding sex, this year I hope to avoid</w:t>
            </w:r>
          </w:p>
        </w:tc>
        <w:tc>
          <w:tcPr>
            <w:tcW w:w="1621" w:type="dxa"/>
            <w:gridSpan w:val="2"/>
          </w:tcPr>
          <w:p w14:paraId="3485EBDA"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Am I doing something to avoid this</w:t>
            </w:r>
          </w:p>
        </w:tc>
        <w:tc>
          <w:tcPr>
            <w:tcW w:w="4140" w:type="dxa"/>
          </w:tcPr>
          <w:p w14:paraId="10B5ECE1"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If yes,</w:t>
            </w:r>
          </w:p>
          <w:p w14:paraId="2E4D2FAF" w14:textId="77777777" w:rsidR="00BA731C" w:rsidRPr="00BA731C" w:rsidRDefault="00BA731C" w:rsidP="00BA731C">
            <w:pPr>
              <w:tabs>
                <w:tab w:val="right" w:pos="9810"/>
              </w:tabs>
              <w:jc w:val="center"/>
              <w:rPr>
                <w:rFonts w:ascii="Times New Roman" w:eastAsia="ＭＳ 明朝" w:hAnsi="Times New Roman" w:cs="Times New Roman"/>
                <w:b/>
                <w:sz w:val="22"/>
              </w:rPr>
            </w:pPr>
            <w:r w:rsidRPr="00BA731C">
              <w:rPr>
                <w:rFonts w:ascii="Times New Roman" w:eastAsia="ＭＳ 明朝" w:hAnsi="Times New Roman" w:cs="Times New Roman"/>
                <w:b/>
                <w:sz w:val="22"/>
              </w:rPr>
              <w:t>What I am doing now to avoid being that way</w:t>
            </w:r>
          </w:p>
        </w:tc>
      </w:tr>
      <w:tr w:rsidR="00BA731C" w:rsidRPr="00BA731C" w14:paraId="68F45E11" w14:textId="77777777" w:rsidTr="00BA731C">
        <w:tc>
          <w:tcPr>
            <w:tcW w:w="3347" w:type="dxa"/>
          </w:tcPr>
          <w:p w14:paraId="2879AFB4" w14:textId="77777777" w:rsidR="00BA731C" w:rsidRPr="00BA731C" w:rsidRDefault="00BA731C" w:rsidP="00BA731C">
            <w:pPr>
              <w:tabs>
                <w:tab w:val="right" w:pos="9810"/>
              </w:tabs>
              <w:rPr>
                <w:rFonts w:ascii="Times New Roman" w:eastAsia="ＭＳ 明朝" w:hAnsi="Times New Roman" w:cs="Times New Roman"/>
              </w:rPr>
            </w:pPr>
          </w:p>
        </w:tc>
        <w:tc>
          <w:tcPr>
            <w:tcW w:w="811" w:type="dxa"/>
          </w:tcPr>
          <w:p w14:paraId="5F565E96" w14:textId="77777777" w:rsidR="00BA731C" w:rsidRPr="00BA731C" w:rsidRDefault="00BA731C" w:rsidP="00BA731C">
            <w:pPr>
              <w:tabs>
                <w:tab w:val="right" w:pos="9810"/>
              </w:tabs>
              <w:jc w:val="center"/>
              <w:rPr>
                <w:rFonts w:ascii="Times New Roman" w:eastAsia="ＭＳ 明朝" w:hAnsi="Times New Roman" w:cs="Times New Roman"/>
              </w:rPr>
            </w:pPr>
            <w:r w:rsidRPr="00BA731C">
              <w:rPr>
                <w:rFonts w:ascii="Times New Roman" w:eastAsia="ＭＳ 明朝" w:hAnsi="Times New Roman" w:cs="Times New Roman"/>
                <w:b/>
                <w:sz w:val="22"/>
              </w:rPr>
              <w:t>NO</w:t>
            </w:r>
          </w:p>
        </w:tc>
        <w:tc>
          <w:tcPr>
            <w:tcW w:w="810" w:type="dxa"/>
          </w:tcPr>
          <w:p w14:paraId="0F77844D" w14:textId="77777777" w:rsidR="00BA731C" w:rsidRPr="00BA731C" w:rsidRDefault="00BA731C" w:rsidP="00BA731C">
            <w:pPr>
              <w:tabs>
                <w:tab w:val="right" w:pos="9810"/>
              </w:tabs>
              <w:jc w:val="center"/>
              <w:rPr>
                <w:rFonts w:ascii="Times New Roman" w:eastAsia="ＭＳ 明朝" w:hAnsi="Times New Roman" w:cs="Times New Roman"/>
              </w:rPr>
            </w:pPr>
            <w:r w:rsidRPr="00BA731C">
              <w:rPr>
                <w:rFonts w:ascii="Times New Roman" w:eastAsia="ＭＳ 明朝" w:hAnsi="Times New Roman" w:cs="Times New Roman"/>
                <w:b/>
                <w:sz w:val="22"/>
              </w:rPr>
              <w:t>YES</w:t>
            </w:r>
          </w:p>
        </w:tc>
        <w:tc>
          <w:tcPr>
            <w:tcW w:w="4140" w:type="dxa"/>
          </w:tcPr>
          <w:p w14:paraId="771B2F59" w14:textId="77777777" w:rsidR="00BA731C" w:rsidRPr="00BA731C" w:rsidRDefault="00BA731C" w:rsidP="00BA731C">
            <w:pPr>
              <w:tabs>
                <w:tab w:val="right" w:pos="9810"/>
              </w:tabs>
              <w:rPr>
                <w:rFonts w:ascii="Times New Roman" w:eastAsia="ＭＳ 明朝" w:hAnsi="Times New Roman" w:cs="Times New Roman"/>
              </w:rPr>
            </w:pPr>
          </w:p>
        </w:tc>
      </w:tr>
      <w:tr w:rsidR="00BA731C" w:rsidRPr="00BA731C" w14:paraId="4174513D" w14:textId="77777777" w:rsidTr="00BA731C">
        <w:tc>
          <w:tcPr>
            <w:tcW w:w="3347" w:type="dxa"/>
          </w:tcPr>
          <w:p w14:paraId="01C9B262"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2"/>
              </w:rPr>
              <w:t xml:space="preserve">(P5)  </w:t>
            </w:r>
            <w:r w:rsidRPr="00BA731C">
              <w:rPr>
                <w:rFonts w:ascii="Times New Roman" w:eastAsia="ＭＳ 明朝" w:hAnsi="Times New Roman" w:cs="Times New Roman"/>
              </w:rPr>
              <w:t xml:space="preserve"> </w:t>
            </w:r>
            <w:r w:rsidRPr="00BA731C">
              <w:rPr>
                <w:rFonts w:ascii="Times New Roman" w:eastAsia="ＭＳ 明朝" w:hAnsi="Times New Roman" w:cs="Times New Roman"/>
                <w:sz w:val="36"/>
              </w:rPr>
              <w:t>__________________</w:t>
            </w:r>
          </w:p>
          <w:p w14:paraId="31CD04E9" w14:textId="77777777" w:rsidR="00BA731C" w:rsidRPr="00BA731C" w:rsidRDefault="00BA731C" w:rsidP="00BA731C">
            <w:pPr>
              <w:tabs>
                <w:tab w:val="right" w:pos="9810"/>
              </w:tabs>
              <w:rPr>
                <w:rFonts w:ascii="Times New Roman" w:eastAsia="ＭＳ 明朝" w:hAnsi="Times New Roman" w:cs="Times New Roman"/>
                <w:sz w:val="32"/>
              </w:rPr>
            </w:pPr>
          </w:p>
        </w:tc>
        <w:tc>
          <w:tcPr>
            <w:tcW w:w="811" w:type="dxa"/>
          </w:tcPr>
          <w:p w14:paraId="2142380A" w14:textId="77777777" w:rsidR="00BA731C" w:rsidRPr="00BA731C" w:rsidRDefault="00BA731C" w:rsidP="00BA731C">
            <w:pPr>
              <w:tabs>
                <w:tab w:val="right" w:pos="9810"/>
              </w:tabs>
              <w:jc w:val="center"/>
              <w:rPr>
                <w:rFonts w:ascii="Times New Roman" w:eastAsia="ＭＳ 明朝" w:hAnsi="Times New Roman" w:cs="Times New Roman"/>
              </w:rPr>
            </w:pPr>
          </w:p>
        </w:tc>
        <w:tc>
          <w:tcPr>
            <w:tcW w:w="810" w:type="dxa"/>
          </w:tcPr>
          <w:p w14:paraId="046C9680" w14:textId="77777777" w:rsidR="00BA731C" w:rsidRPr="00BA731C" w:rsidRDefault="00BA731C" w:rsidP="00BA731C">
            <w:pPr>
              <w:tabs>
                <w:tab w:val="right" w:pos="9810"/>
              </w:tabs>
              <w:jc w:val="center"/>
              <w:rPr>
                <w:rFonts w:ascii="Times New Roman" w:eastAsia="ＭＳ 明朝" w:hAnsi="Times New Roman" w:cs="Times New Roman"/>
              </w:rPr>
            </w:pPr>
          </w:p>
        </w:tc>
        <w:tc>
          <w:tcPr>
            <w:tcW w:w="4140" w:type="dxa"/>
          </w:tcPr>
          <w:p w14:paraId="54D66F2F"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(s5)</w:t>
            </w:r>
            <w:r w:rsidRPr="00BA731C">
              <w:rPr>
                <w:rFonts w:ascii="Times New Roman" w:eastAsia="ＭＳ 明朝" w:hAnsi="Times New Roman" w:cs="Times New Roman"/>
                <w:sz w:val="36"/>
              </w:rPr>
              <w:t>______________________</w:t>
            </w:r>
          </w:p>
        </w:tc>
      </w:tr>
      <w:tr w:rsidR="00BA731C" w:rsidRPr="00BA731C" w14:paraId="0392524F" w14:textId="77777777" w:rsidTr="00BA731C">
        <w:tc>
          <w:tcPr>
            <w:tcW w:w="3347" w:type="dxa"/>
          </w:tcPr>
          <w:p w14:paraId="265D71F8" w14:textId="77777777" w:rsidR="00BA731C" w:rsidRPr="00BA731C" w:rsidRDefault="00BA731C" w:rsidP="00BA731C">
            <w:pPr>
              <w:tabs>
                <w:tab w:val="right" w:pos="9810"/>
              </w:tabs>
              <w:rPr>
                <w:rFonts w:ascii="Times New Roman" w:eastAsia="ＭＳ 明朝" w:hAnsi="Times New Roman" w:cs="Times New Roman"/>
                <w:sz w:val="28"/>
              </w:rPr>
            </w:pPr>
            <w:r w:rsidRPr="00BA731C">
              <w:rPr>
                <w:rFonts w:ascii="Times New Roman" w:eastAsia="ＭＳ 明朝" w:hAnsi="Times New Roman" w:cs="Times New Roman"/>
                <w:sz w:val="22"/>
              </w:rPr>
              <w:t xml:space="preserve">(P6)   </w:t>
            </w:r>
            <w:r w:rsidRPr="00BA731C">
              <w:rPr>
                <w:rFonts w:ascii="Times New Roman" w:eastAsia="ＭＳ 明朝" w:hAnsi="Times New Roman" w:cs="Times New Roman"/>
                <w:sz w:val="32"/>
              </w:rPr>
              <w:t>__________________</w:t>
            </w:r>
          </w:p>
          <w:p w14:paraId="69EA04A4" w14:textId="77777777" w:rsidR="00BA731C" w:rsidRPr="00BA731C" w:rsidRDefault="00BA731C" w:rsidP="00BA731C">
            <w:pPr>
              <w:tabs>
                <w:tab w:val="right" w:pos="9810"/>
              </w:tabs>
              <w:rPr>
                <w:rFonts w:ascii="Times New Roman" w:eastAsia="ＭＳ 明朝" w:hAnsi="Times New Roman" w:cs="Times New Roman"/>
                <w:sz w:val="32"/>
              </w:rPr>
            </w:pPr>
          </w:p>
        </w:tc>
        <w:tc>
          <w:tcPr>
            <w:tcW w:w="811" w:type="dxa"/>
          </w:tcPr>
          <w:p w14:paraId="51C107B4" w14:textId="77777777" w:rsidR="00BA731C" w:rsidRPr="00BA731C" w:rsidRDefault="00BA731C" w:rsidP="00BA731C">
            <w:pPr>
              <w:tabs>
                <w:tab w:val="right" w:pos="9810"/>
              </w:tabs>
              <w:jc w:val="center"/>
              <w:rPr>
                <w:rFonts w:ascii="Times New Roman" w:eastAsia="ＭＳ 明朝" w:hAnsi="Times New Roman" w:cs="Times New Roman"/>
              </w:rPr>
            </w:pPr>
          </w:p>
        </w:tc>
        <w:tc>
          <w:tcPr>
            <w:tcW w:w="810" w:type="dxa"/>
          </w:tcPr>
          <w:p w14:paraId="75517574" w14:textId="77777777" w:rsidR="00BA731C" w:rsidRPr="00BA731C" w:rsidRDefault="00BA731C" w:rsidP="00BA731C">
            <w:pPr>
              <w:tabs>
                <w:tab w:val="right" w:pos="9810"/>
              </w:tabs>
              <w:jc w:val="center"/>
              <w:rPr>
                <w:rFonts w:ascii="Times New Roman" w:eastAsia="ＭＳ 明朝" w:hAnsi="Times New Roman" w:cs="Times New Roman"/>
              </w:rPr>
            </w:pPr>
          </w:p>
        </w:tc>
        <w:tc>
          <w:tcPr>
            <w:tcW w:w="4140" w:type="dxa"/>
          </w:tcPr>
          <w:p w14:paraId="5113E704"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(s6)</w:t>
            </w:r>
            <w:r w:rsidRPr="00BA731C">
              <w:rPr>
                <w:rFonts w:ascii="Times New Roman" w:eastAsia="ＭＳ 明朝" w:hAnsi="Times New Roman" w:cs="Times New Roman"/>
                <w:sz w:val="36"/>
              </w:rPr>
              <w:t>______________________</w:t>
            </w:r>
          </w:p>
        </w:tc>
      </w:tr>
      <w:tr w:rsidR="00BA731C" w:rsidRPr="00BA731C" w14:paraId="45BCF4BA" w14:textId="77777777" w:rsidTr="00BA731C">
        <w:tc>
          <w:tcPr>
            <w:tcW w:w="3347" w:type="dxa"/>
          </w:tcPr>
          <w:p w14:paraId="1F6C499D" w14:textId="77777777" w:rsidR="00BA731C" w:rsidRPr="00BA731C" w:rsidRDefault="00BA731C" w:rsidP="00BA731C">
            <w:pPr>
              <w:tabs>
                <w:tab w:val="right" w:pos="9810"/>
              </w:tabs>
              <w:rPr>
                <w:rFonts w:ascii="Times New Roman" w:eastAsia="ＭＳ 明朝" w:hAnsi="Times New Roman" w:cs="Times New Roman"/>
                <w:sz w:val="32"/>
              </w:rPr>
            </w:pPr>
            <w:r w:rsidRPr="00BA731C">
              <w:rPr>
                <w:rFonts w:ascii="Times New Roman" w:eastAsia="ＭＳ 明朝" w:hAnsi="Times New Roman" w:cs="Times New Roman"/>
                <w:sz w:val="22"/>
              </w:rPr>
              <w:t xml:space="preserve">(P7)   </w:t>
            </w:r>
            <w:r w:rsidRPr="00BA731C">
              <w:rPr>
                <w:rFonts w:ascii="Times New Roman" w:eastAsia="ＭＳ 明朝" w:hAnsi="Times New Roman" w:cs="Times New Roman"/>
                <w:sz w:val="36"/>
              </w:rPr>
              <w:t>__________________</w:t>
            </w:r>
          </w:p>
          <w:p w14:paraId="1850C642" w14:textId="77777777" w:rsidR="00BA731C" w:rsidRPr="00BA731C" w:rsidRDefault="00BA731C" w:rsidP="00BA731C">
            <w:pPr>
              <w:tabs>
                <w:tab w:val="right" w:pos="9810"/>
              </w:tabs>
              <w:rPr>
                <w:rFonts w:ascii="Times New Roman" w:eastAsia="ＭＳ 明朝" w:hAnsi="Times New Roman" w:cs="Times New Roman"/>
                <w:sz w:val="32"/>
              </w:rPr>
            </w:pPr>
          </w:p>
        </w:tc>
        <w:tc>
          <w:tcPr>
            <w:tcW w:w="811" w:type="dxa"/>
          </w:tcPr>
          <w:p w14:paraId="6DD28A9F" w14:textId="77777777" w:rsidR="00BA731C" w:rsidRPr="00BA731C" w:rsidRDefault="00BA731C" w:rsidP="00BA731C">
            <w:pPr>
              <w:tabs>
                <w:tab w:val="right" w:pos="9810"/>
              </w:tabs>
              <w:jc w:val="center"/>
              <w:rPr>
                <w:rFonts w:ascii="Times New Roman" w:eastAsia="ＭＳ 明朝" w:hAnsi="Times New Roman" w:cs="Times New Roman"/>
              </w:rPr>
            </w:pPr>
          </w:p>
        </w:tc>
        <w:tc>
          <w:tcPr>
            <w:tcW w:w="810" w:type="dxa"/>
          </w:tcPr>
          <w:p w14:paraId="411CDBE4" w14:textId="77777777" w:rsidR="00BA731C" w:rsidRPr="00BA731C" w:rsidRDefault="00BA731C" w:rsidP="00BA731C">
            <w:pPr>
              <w:tabs>
                <w:tab w:val="right" w:pos="9810"/>
              </w:tabs>
              <w:jc w:val="center"/>
              <w:rPr>
                <w:rFonts w:ascii="Times New Roman" w:eastAsia="ＭＳ 明朝" w:hAnsi="Times New Roman" w:cs="Times New Roman"/>
              </w:rPr>
            </w:pPr>
          </w:p>
        </w:tc>
        <w:tc>
          <w:tcPr>
            <w:tcW w:w="4140" w:type="dxa"/>
          </w:tcPr>
          <w:p w14:paraId="0B2C837C"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(s7)</w:t>
            </w:r>
            <w:r w:rsidRPr="00BA731C">
              <w:rPr>
                <w:rFonts w:ascii="Times New Roman" w:eastAsia="ＭＳ 明朝" w:hAnsi="Times New Roman" w:cs="Times New Roman"/>
                <w:sz w:val="36"/>
              </w:rPr>
              <w:t>______________________</w:t>
            </w:r>
          </w:p>
        </w:tc>
      </w:tr>
      <w:tr w:rsidR="00BA731C" w:rsidRPr="00BA731C" w14:paraId="6970280A" w14:textId="77777777" w:rsidTr="00BA731C">
        <w:tc>
          <w:tcPr>
            <w:tcW w:w="3347" w:type="dxa"/>
          </w:tcPr>
          <w:p w14:paraId="7D0564C0"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2"/>
              </w:rPr>
              <w:t xml:space="preserve">(P8)  </w:t>
            </w:r>
            <w:r w:rsidRPr="00BA731C">
              <w:rPr>
                <w:rFonts w:ascii="Times New Roman" w:eastAsia="ＭＳ 明朝" w:hAnsi="Times New Roman" w:cs="Times New Roman"/>
                <w:sz w:val="36"/>
              </w:rPr>
              <w:t>__________________</w:t>
            </w:r>
          </w:p>
          <w:p w14:paraId="52F70A24" w14:textId="77777777" w:rsidR="00BA731C" w:rsidRPr="00BA731C" w:rsidRDefault="00BA731C" w:rsidP="00BA731C">
            <w:pPr>
              <w:tabs>
                <w:tab w:val="right" w:pos="9810"/>
              </w:tabs>
              <w:rPr>
                <w:rFonts w:ascii="Times New Roman" w:eastAsia="ＭＳ 明朝" w:hAnsi="Times New Roman" w:cs="Times New Roman"/>
                <w:sz w:val="32"/>
              </w:rPr>
            </w:pPr>
          </w:p>
        </w:tc>
        <w:tc>
          <w:tcPr>
            <w:tcW w:w="811" w:type="dxa"/>
          </w:tcPr>
          <w:p w14:paraId="6A4CF299" w14:textId="77777777" w:rsidR="00BA731C" w:rsidRPr="00BA731C" w:rsidRDefault="00BA731C" w:rsidP="00BA731C">
            <w:pPr>
              <w:tabs>
                <w:tab w:val="right" w:pos="9810"/>
              </w:tabs>
              <w:jc w:val="center"/>
              <w:rPr>
                <w:rFonts w:ascii="Times New Roman" w:eastAsia="ＭＳ 明朝" w:hAnsi="Times New Roman" w:cs="Times New Roman"/>
              </w:rPr>
            </w:pPr>
          </w:p>
        </w:tc>
        <w:tc>
          <w:tcPr>
            <w:tcW w:w="810" w:type="dxa"/>
          </w:tcPr>
          <w:p w14:paraId="2503CA86" w14:textId="77777777" w:rsidR="00BA731C" w:rsidRPr="00BA731C" w:rsidRDefault="00BA731C" w:rsidP="00BA731C">
            <w:pPr>
              <w:tabs>
                <w:tab w:val="right" w:pos="9810"/>
              </w:tabs>
              <w:jc w:val="center"/>
              <w:rPr>
                <w:rFonts w:ascii="Times New Roman" w:eastAsia="ＭＳ 明朝" w:hAnsi="Times New Roman" w:cs="Times New Roman"/>
              </w:rPr>
            </w:pPr>
          </w:p>
        </w:tc>
        <w:tc>
          <w:tcPr>
            <w:tcW w:w="4140" w:type="dxa"/>
          </w:tcPr>
          <w:p w14:paraId="1D7D4296" w14:textId="77777777" w:rsidR="00BA731C" w:rsidRPr="00BA731C" w:rsidRDefault="00BA731C" w:rsidP="00BA731C">
            <w:pPr>
              <w:tabs>
                <w:tab w:val="right" w:pos="9810"/>
              </w:tabs>
              <w:rPr>
                <w:rFonts w:ascii="Times New Roman" w:eastAsia="ＭＳ 明朝" w:hAnsi="Times New Roman" w:cs="Times New Roman"/>
                <w:sz w:val="36"/>
              </w:rPr>
            </w:pPr>
            <w:r w:rsidRPr="00BA731C">
              <w:rPr>
                <w:rFonts w:ascii="Times New Roman" w:eastAsia="ＭＳ 明朝" w:hAnsi="Times New Roman" w:cs="Times New Roman"/>
                <w:sz w:val="20"/>
              </w:rPr>
              <w:t>(s8)</w:t>
            </w:r>
            <w:r w:rsidRPr="00BA731C">
              <w:rPr>
                <w:rFonts w:ascii="Times New Roman" w:eastAsia="ＭＳ 明朝" w:hAnsi="Times New Roman" w:cs="Times New Roman"/>
                <w:sz w:val="36"/>
              </w:rPr>
              <w:t>______________________</w:t>
            </w:r>
          </w:p>
        </w:tc>
      </w:tr>
    </w:tbl>
    <w:p w14:paraId="0EBD06A4" w14:textId="77777777" w:rsidR="00BA731C" w:rsidRPr="00BA731C" w:rsidRDefault="00BA731C" w:rsidP="00BA731C">
      <w:pPr>
        <w:rPr>
          <w:rFonts w:ascii="Times New Roman" w:eastAsia="ＭＳ 明朝" w:hAnsi="Times New Roman" w:cs="Times New Roman"/>
        </w:rPr>
      </w:pPr>
    </w:p>
    <w:p w14:paraId="04B4707D"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p>
    <w:p w14:paraId="194C13A6" w14:textId="4BD82ACA" w:rsidR="00BA731C" w:rsidRPr="00BA731C" w:rsidRDefault="002F5480" w:rsidP="00BA731C">
      <w:pPr>
        <w:spacing w:line="480" w:lineRule="auto"/>
        <w:rPr>
          <w:rFonts w:ascii="Times New Roman" w:eastAsia="ＭＳ 明朝" w:hAnsi="Times New Roman" w:cs="Times New Roman"/>
          <w:b/>
        </w:rPr>
      </w:pPr>
      <w:r>
        <w:rPr>
          <w:rFonts w:ascii="Times New Roman" w:eastAsia="ＭＳ 明朝" w:hAnsi="Times New Roman" w:cs="Times New Roman"/>
          <w:b/>
        </w:rPr>
        <w:lastRenderedPageBreak/>
        <w:t>[Insert other Tables Here]</w:t>
      </w:r>
    </w:p>
    <w:p w14:paraId="169A8F8A" w14:textId="77777777" w:rsidR="00BA731C" w:rsidRDefault="00BA731C" w:rsidP="005E2DE2">
      <w:pPr>
        <w:pStyle w:val="Heading1"/>
        <w:spacing w:line="480" w:lineRule="auto"/>
        <w:rPr>
          <w:rFonts w:ascii="Times New Roman" w:hAnsi="Times New Roman" w:cs="Times New Roman"/>
          <w:sz w:val="24"/>
        </w:rPr>
      </w:pPr>
      <w:r>
        <w:rPr>
          <w:rFonts w:ascii="Times New Roman" w:hAnsi="Times New Roman" w:cs="Times New Roman"/>
          <w:sz w:val="24"/>
        </w:rPr>
        <w:br w:type="page"/>
      </w:r>
    </w:p>
    <w:p w14:paraId="42815881" w14:textId="77777777" w:rsidR="00236E6D" w:rsidRPr="005E2DE2" w:rsidRDefault="0022500B" w:rsidP="005E2DE2">
      <w:pPr>
        <w:pStyle w:val="Heading1"/>
        <w:spacing w:line="480" w:lineRule="auto"/>
        <w:rPr>
          <w:rFonts w:ascii="Times New Roman" w:hAnsi="Times New Roman" w:cs="Times New Roman"/>
          <w:sz w:val="24"/>
        </w:rPr>
      </w:pPr>
      <w:r>
        <w:rPr>
          <w:rFonts w:ascii="Times New Roman" w:hAnsi="Times New Roman" w:cs="Times New Roman"/>
          <w:sz w:val="24"/>
        </w:rPr>
        <w:lastRenderedPageBreak/>
        <w:t>rEFERENCES</w:t>
      </w:r>
    </w:p>
    <w:p w14:paraId="772D2F9E" w14:textId="77777777" w:rsidR="00236E6D" w:rsidRPr="005E2DE2" w:rsidRDefault="00236E6D" w:rsidP="005E2DE2">
      <w:pPr>
        <w:spacing w:line="480" w:lineRule="auto"/>
        <w:rPr>
          <w:rFonts w:ascii="Times New Roman" w:hAnsi="Times New Roman" w:cs="Times New Roman"/>
        </w:rPr>
      </w:pPr>
    </w:p>
    <w:p w14:paraId="1B88A9AD" w14:textId="77777777" w:rsidR="00BA731C" w:rsidRDefault="00BA731C" w:rsidP="00BA731C">
      <w:pPr>
        <w:spacing w:line="480" w:lineRule="auto"/>
        <w:ind w:left="720" w:hanging="720"/>
        <w:contextualSpacing/>
        <w:rPr>
          <w:rFonts w:ascii="Times New Roman" w:eastAsia="ＭＳ 明朝" w:hAnsi="Times New Roman" w:cs="Times New Roman"/>
        </w:rPr>
      </w:pPr>
      <w:r>
        <w:rPr>
          <w:rFonts w:ascii="Times New Roman" w:eastAsia="ＭＳ 明朝" w:hAnsi="Times New Roman" w:cs="Times New Roman"/>
        </w:rPr>
        <w:br w:type="page"/>
      </w:r>
    </w:p>
    <w:p w14:paraId="64E20D44"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lastRenderedPageBreak/>
        <w:t xml:space="preserve">Arnett, J. J. (1997). Young people’s conceptions of the transition to adulthood. </w:t>
      </w:r>
      <w:r w:rsidRPr="00BA731C">
        <w:rPr>
          <w:rFonts w:ascii="Times New Roman" w:eastAsia="ＭＳ 明朝" w:hAnsi="Times New Roman" w:cs="Times New Roman"/>
          <w:i/>
        </w:rPr>
        <w:t xml:space="preserve">Youth &amp; Society, 29, </w:t>
      </w:r>
      <w:r w:rsidRPr="00BA731C">
        <w:rPr>
          <w:rFonts w:ascii="Times New Roman" w:eastAsia="ＭＳ 明朝" w:hAnsi="Times New Roman" w:cs="Times New Roman"/>
        </w:rPr>
        <w:t>3-23. doi: 10.1177/0044118X97029001001</w:t>
      </w:r>
    </w:p>
    <w:p w14:paraId="4F23C51D"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Arnett, J. J. (2004). </w:t>
      </w:r>
      <w:r w:rsidRPr="00BA731C">
        <w:rPr>
          <w:rFonts w:ascii="Times New Roman" w:eastAsia="ＭＳ 明朝" w:hAnsi="Times New Roman" w:cs="Times New Roman"/>
          <w:i/>
        </w:rPr>
        <w:t xml:space="preserve">Emerging adulthood: The winding road from the late teens through the twenties. </w:t>
      </w:r>
      <w:r w:rsidRPr="00BA731C">
        <w:rPr>
          <w:rFonts w:ascii="Times New Roman" w:eastAsia="ＭＳ 明朝" w:hAnsi="Times New Roman" w:cs="Times New Roman"/>
        </w:rPr>
        <w:t>New York, NY: Oxford University Press.</w:t>
      </w:r>
    </w:p>
    <w:p w14:paraId="2A4DDA74"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Arnett, J. J. (2015). </w:t>
      </w:r>
      <w:r w:rsidRPr="00BA731C">
        <w:rPr>
          <w:rFonts w:ascii="Times New Roman" w:eastAsia="ＭＳ 明朝" w:hAnsi="Times New Roman" w:cs="Times New Roman"/>
          <w:i/>
          <w:iCs/>
        </w:rPr>
        <w:t>Emerging adulthood: The winding road from the late teens through the twenties</w:t>
      </w:r>
      <w:r w:rsidRPr="00BA731C">
        <w:rPr>
          <w:rFonts w:ascii="Times New Roman" w:eastAsia="ＭＳ 明朝" w:hAnsi="Times New Roman" w:cs="Times New Roman"/>
          <w:iCs/>
        </w:rPr>
        <w:t xml:space="preserve"> (2</w:t>
      </w:r>
      <w:r w:rsidRPr="00BA731C">
        <w:rPr>
          <w:rFonts w:ascii="Times New Roman" w:eastAsia="ＭＳ 明朝" w:hAnsi="Times New Roman" w:cs="Times New Roman"/>
          <w:iCs/>
          <w:vertAlign w:val="superscript"/>
        </w:rPr>
        <w:t>nd</w:t>
      </w:r>
      <w:r w:rsidRPr="00BA731C">
        <w:rPr>
          <w:rFonts w:ascii="Times New Roman" w:eastAsia="ＭＳ 明朝" w:hAnsi="Times New Roman" w:cs="Times New Roman"/>
          <w:iCs/>
        </w:rPr>
        <w:t xml:space="preserve"> ed.)</w:t>
      </w:r>
      <w:r w:rsidRPr="00BA731C">
        <w:rPr>
          <w:rFonts w:ascii="Times New Roman" w:eastAsia="ＭＳ 明朝" w:hAnsi="Times New Roman" w:cs="Times New Roman"/>
        </w:rPr>
        <w:t>. New York, NY: Oxford University Press.</w:t>
      </w:r>
    </w:p>
    <w:p w14:paraId="07C263B8"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Bailey, J., Fleming, C., Henson, J., Catalano, R., &amp; Haggerty, K. (2008). Sexual risk behavior 6 months post-high school: Associations with college attendance, living with a parent, and prior risk behavior. </w:t>
      </w:r>
      <w:r w:rsidRPr="00BA731C">
        <w:rPr>
          <w:rFonts w:ascii="Times New Roman" w:eastAsia="ＭＳ 明朝" w:hAnsi="Times New Roman" w:cs="Times New Roman"/>
          <w:i/>
        </w:rPr>
        <w:t xml:space="preserve">Journal of Adolescent Health, 42, </w:t>
      </w:r>
      <w:r w:rsidRPr="00BA731C">
        <w:rPr>
          <w:rFonts w:ascii="Times New Roman" w:eastAsia="ＭＳ 明朝" w:hAnsi="Times New Roman" w:cs="Times New Roman"/>
        </w:rPr>
        <w:t>573-579. doi: 10.1016/jadohealth.2007.11.138</w:t>
      </w:r>
    </w:p>
    <w:p w14:paraId="47783993"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Barriger, M., &amp; Velez-Blasini, C. J. (2013). Descriptive and injunctive social norm overestimation in hooking up and their role as predictors of hook-up activity in a college student sample. </w:t>
      </w:r>
      <w:r w:rsidRPr="00BA731C">
        <w:rPr>
          <w:rFonts w:ascii="Times New Roman" w:eastAsia="ＭＳ 明朝" w:hAnsi="Times New Roman" w:cs="Times New Roman"/>
          <w:i/>
        </w:rPr>
        <w:t xml:space="preserve">Journal of Sex Research, 50, </w:t>
      </w:r>
      <w:r w:rsidRPr="00BA731C">
        <w:rPr>
          <w:rFonts w:ascii="Times New Roman" w:eastAsia="ＭＳ 明朝" w:hAnsi="Times New Roman" w:cs="Times New Roman"/>
        </w:rPr>
        <w:t>84-94. doi: 10.1080/00224499.2011.607928</w:t>
      </w:r>
    </w:p>
    <w:p w14:paraId="6A458AED"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Bogle, K. A. (2007). The shift from dating to hooking up in college: What scholars have missed. </w:t>
      </w:r>
      <w:r w:rsidRPr="00BA731C">
        <w:rPr>
          <w:rFonts w:ascii="Times New Roman" w:eastAsia="ＭＳ 明朝" w:hAnsi="Times New Roman" w:cs="Times New Roman"/>
          <w:i/>
        </w:rPr>
        <w:t xml:space="preserve">Sociology Compass, 1, </w:t>
      </w:r>
      <w:r w:rsidRPr="00BA731C">
        <w:rPr>
          <w:rFonts w:ascii="Times New Roman" w:eastAsia="ＭＳ 明朝" w:hAnsi="Times New Roman" w:cs="Times New Roman"/>
        </w:rPr>
        <w:t>775-788. doi: 10.1111/j.1751-9020.2007.00031</w:t>
      </w:r>
    </w:p>
    <w:p w14:paraId="08EF8DBA"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Bogle, K. A. (2008). </w:t>
      </w:r>
      <w:r w:rsidRPr="00BA731C">
        <w:rPr>
          <w:rFonts w:ascii="Times New Roman" w:eastAsia="ＭＳ 明朝" w:hAnsi="Times New Roman" w:cs="Times New Roman"/>
          <w:i/>
        </w:rPr>
        <w:t>Hooking up: Sex, dating, and relationships on campus</w:t>
      </w:r>
      <w:r w:rsidRPr="00BA731C">
        <w:rPr>
          <w:rFonts w:ascii="Times New Roman" w:eastAsia="ＭＳ 明朝" w:hAnsi="Times New Roman" w:cs="Times New Roman"/>
        </w:rPr>
        <w:t>. New York, NY: New York University Press.</w:t>
      </w:r>
    </w:p>
    <w:p w14:paraId="691CD410"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Bynner, J. (2005). Rethinking the youth phase of the life-course: The case for emerging adulthood? </w:t>
      </w:r>
      <w:r w:rsidRPr="00BA731C">
        <w:rPr>
          <w:rFonts w:ascii="Times New Roman" w:eastAsia="ＭＳ 明朝" w:hAnsi="Times New Roman" w:cs="Times New Roman"/>
          <w:i/>
        </w:rPr>
        <w:t xml:space="preserve">Journal of Youth Studies, 8, </w:t>
      </w:r>
      <w:r w:rsidRPr="00BA731C">
        <w:rPr>
          <w:rFonts w:ascii="Times New Roman" w:eastAsia="ＭＳ 明朝" w:hAnsi="Times New Roman" w:cs="Times New Roman"/>
        </w:rPr>
        <w:t>367-384.</w:t>
      </w:r>
    </w:p>
    <w:p w14:paraId="12004C32"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lastRenderedPageBreak/>
        <w:t xml:space="preserve">Claxton, S., &amp; van Dulmen, M. (2013). Casual sexual relationships and experiences in emerging adulthood. </w:t>
      </w:r>
      <w:r w:rsidRPr="00BA731C">
        <w:rPr>
          <w:rFonts w:ascii="Times New Roman" w:eastAsia="ＭＳ 明朝" w:hAnsi="Times New Roman" w:cs="Times New Roman"/>
          <w:i/>
        </w:rPr>
        <w:t xml:space="preserve">Emerging Adulthood, 1, </w:t>
      </w:r>
      <w:r w:rsidRPr="00BA731C">
        <w:rPr>
          <w:rFonts w:ascii="Times New Roman" w:eastAsia="ＭＳ 明朝" w:hAnsi="Times New Roman" w:cs="Times New Roman"/>
        </w:rPr>
        <w:t>138-150. doi: 10.1177/2167696813487181</w:t>
      </w:r>
    </w:p>
    <w:p w14:paraId="3077E099"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Cote, J. E. (2014). The dangerous myth of emerging adulthood: An evidence-based critique of a flawed developmental theory. </w:t>
      </w:r>
      <w:r w:rsidRPr="00BA731C">
        <w:rPr>
          <w:rFonts w:ascii="Times New Roman" w:eastAsia="ＭＳ 明朝" w:hAnsi="Times New Roman" w:cs="Times New Roman"/>
          <w:i/>
        </w:rPr>
        <w:t xml:space="preserve">Applied Developmental Science, 18, </w:t>
      </w:r>
      <w:r w:rsidRPr="00BA731C">
        <w:rPr>
          <w:rFonts w:ascii="Times New Roman" w:eastAsia="ＭＳ 明朝" w:hAnsi="Times New Roman" w:cs="Times New Roman"/>
        </w:rPr>
        <w:t>177-188. doi: 10.1080/10888691.2014.954451</w:t>
      </w:r>
    </w:p>
    <w:p w14:paraId="01F01D89"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Cote, J. E., &amp; Bynner, J. (2008). Changes in the transition to adulthood in the UK and Canada: The role of structure and agency in emerging adulthood. </w:t>
      </w:r>
      <w:r w:rsidRPr="00BA731C">
        <w:rPr>
          <w:rFonts w:ascii="Times New Roman" w:eastAsia="ＭＳ 明朝" w:hAnsi="Times New Roman" w:cs="Times New Roman"/>
          <w:i/>
        </w:rPr>
        <w:t xml:space="preserve">Journal of Youth Studies, 11, </w:t>
      </w:r>
      <w:r w:rsidRPr="00BA731C">
        <w:rPr>
          <w:rFonts w:ascii="Times New Roman" w:eastAsia="ＭＳ 明朝" w:hAnsi="Times New Roman" w:cs="Times New Roman"/>
        </w:rPr>
        <w:t xml:space="preserve">251-268. doi: 10.1080/13676260801946464 </w:t>
      </w:r>
    </w:p>
    <w:p w14:paraId="73A9BCF9"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Creswell, J. W. (2007). </w:t>
      </w:r>
      <w:r w:rsidRPr="00BA731C">
        <w:rPr>
          <w:rFonts w:ascii="Times New Roman" w:eastAsia="ＭＳ 明朝" w:hAnsi="Times New Roman" w:cs="Times New Roman"/>
          <w:i/>
        </w:rPr>
        <w:t>Qualitative inquiry and research design: Choosing among five traditions</w:t>
      </w:r>
      <w:r w:rsidRPr="00BA731C">
        <w:rPr>
          <w:rFonts w:ascii="Times New Roman" w:eastAsia="ＭＳ 明朝" w:hAnsi="Times New Roman" w:cs="Times New Roman"/>
        </w:rPr>
        <w:t xml:space="preserve"> (2</w:t>
      </w:r>
      <w:r w:rsidRPr="00BA731C">
        <w:rPr>
          <w:rFonts w:ascii="Times New Roman" w:eastAsia="ＭＳ 明朝" w:hAnsi="Times New Roman" w:cs="Times New Roman"/>
          <w:vertAlign w:val="superscript"/>
        </w:rPr>
        <w:t>nd</w:t>
      </w:r>
      <w:r w:rsidRPr="00BA731C">
        <w:rPr>
          <w:rFonts w:ascii="Times New Roman" w:eastAsia="ＭＳ 明朝" w:hAnsi="Times New Roman" w:cs="Times New Roman"/>
        </w:rPr>
        <w:t xml:space="preserve"> ed.)</w:t>
      </w:r>
      <w:r w:rsidRPr="00BA731C">
        <w:rPr>
          <w:rFonts w:ascii="Times New Roman" w:eastAsia="ＭＳ 明朝" w:hAnsi="Times New Roman" w:cs="Times New Roman"/>
          <w:i/>
        </w:rPr>
        <w:t>.</w:t>
      </w:r>
      <w:r w:rsidRPr="00BA731C">
        <w:rPr>
          <w:rFonts w:ascii="Times New Roman" w:eastAsia="ＭＳ 明朝" w:hAnsi="Times New Roman" w:cs="Times New Roman"/>
        </w:rPr>
        <w:t xml:space="preserve"> Thousand Oaks, CA: Sage.</w:t>
      </w:r>
    </w:p>
    <w:p w14:paraId="51C3A31B"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Davies, J., Zhu, H., &amp; Brantley, B. (2007). Sex appeals that appeal: Negative sexual self-schema as a moderator of the priming effects of sexual ads on accessibility. </w:t>
      </w:r>
      <w:r w:rsidRPr="00BA731C">
        <w:rPr>
          <w:rFonts w:ascii="Times New Roman" w:eastAsia="ＭＳ 明朝" w:hAnsi="Times New Roman" w:cs="Times New Roman"/>
          <w:i/>
        </w:rPr>
        <w:t xml:space="preserve">Journal of Current Issues &amp; Research in Advertising, 29, </w:t>
      </w:r>
      <w:r w:rsidRPr="00BA731C">
        <w:rPr>
          <w:rFonts w:ascii="Times New Roman" w:eastAsia="ＭＳ 明朝" w:hAnsi="Times New Roman" w:cs="Times New Roman"/>
        </w:rPr>
        <w:t>79-89. doi: 10.1018/10641734.2007.10505218</w:t>
      </w:r>
    </w:p>
    <w:p w14:paraId="59551CF2"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Eisenberg, M., Lechner, K., Frerich, E., Lust, K., &amp; Garcia, C. (2012). Characterizing sexual health resources on college campuses. </w:t>
      </w:r>
      <w:r w:rsidRPr="00BA731C">
        <w:rPr>
          <w:rFonts w:ascii="Times New Roman" w:eastAsia="ＭＳ 明朝" w:hAnsi="Times New Roman" w:cs="Times New Roman"/>
          <w:i/>
        </w:rPr>
        <w:t xml:space="preserve">Journal of Community Health, 37, </w:t>
      </w:r>
      <w:r w:rsidRPr="00BA731C">
        <w:rPr>
          <w:rFonts w:ascii="Times New Roman" w:eastAsia="ＭＳ 明朝" w:hAnsi="Times New Roman" w:cs="Times New Roman"/>
        </w:rPr>
        <w:t>940-948.</w:t>
      </w:r>
    </w:p>
    <w:p w14:paraId="31445D76"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Fielder, R. &amp; Carey, M. (2010). Predictors and consequences of sexual “hookups” among college students: A short-term prospective study. </w:t>
      </w:r>
      <w:r w:rsidRPr="00BA731C">
        <w:rPr>
          <w:rFonts w:ascii="Times New Roman" w:eastAsia="ＭＳ 明朝" w:hAnsi="Times New Roman" w:cs="Times New Roman"/>
          <w:i/>
        </w:rPr>
        <w:t xml:space="preserve">Archives of Sexual Behavior, 39, </w:t>
      </w:r>
      <w:r w:rsidRPr="00BA731C">
        <w:rPr>
          <w:rFonts w:ascii="Times New Roman" w:eastAsia="ＭＳ 明朝" w:hAnsi="Times New Roman" w:cs="Times New Roman"/>
        </w:rPr>
        <w:t>1105-1119. doi: 10.1007/s10508-008-9448-4</w:t>
      </w:r>
    </w:p>
    <w:p w14:paraId="26C240C6"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lastRenderedPageBreak/>
        <w:t xml:space="preserve">Fielder, R., Walsh, J., Carey, K., &amp; Carey, M. (2013). Predictors of sexual hookups: A theory-based, prospective study of first-year college women. </w:t>
      </w:r>
      <w:r w:rsidRPr="00BA731C">
        <w:rPr>
          <w:rFonts w:ascii="Times New Roman" w:eastAsia="ＭＳ 明朝" w:hAnsi="Times New Roman" w:cs="Times New Roman"/>
          <w:i/>
        </w:rPr>
        <w:t xml:space="preserve">Archives of Sexual Behavior, 42, </w:t>
      </w:r>
      <w:r w:rsidRPr="00BA731C">
        <w:rPr>
          <w:rFonts w:ascii="Times New Roman" w:eastAsia="ＭＳ 明朝" w:hAnsi="Times New Roman" w:cs="Times New Roman"/>
        </w:rPr>
        <w:t>1-29</w:t>
      </w:r>
      <w:r w:rsidRPr="00BA731C">
        <w:rPr>
          <w:rFonts w:ascii="Times New Roman" w:eastAsia="ＭＳ 明朝" w:hAnsi="Times New Roman" w:cs="Times New Roman"/>
          <w:i/>
        </w:rPr>
        <w:t xml:space="preserve">. </w:t>
      </w:r>
      <w:r w:rsidRPr="00BA731C">
        <w:rPr>
          <w:rFonts w:ascii="Times New Roman" w:eastAsia="ＭＳ 明朝" w:hAnsi="Times New Roman" w:cs="Times New Roman"/>
        </w:rPr>
        <w:t>doi: 10.1007/s10508-013-0106-0</w:t>
      </w:r>
    </w:p>
    <w:p w14:paraId="053BBBA8"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Goldstein, J., &amp; Kenney, C. (2001). Marriage delayed or marriage forgone? New cohort forecasts of first marriage for US women. </w:t>
      </w:r>
      <w:r w:rsidRPr="00BA731C">
        <w:rPr>
          <w:rFonts w:ascii="Times New Roman" w:eastAsia="ＭＳ 明朝" w:hAnsi="Times New Roman" w:cs="Times New Roman"/>
          <w:i/>
        </w:rPr>
        <w:t xml:space="preserve">American Sociological Review, 1, </w:t>
      </w:r>
      <w:r w:rsidRPr="00BA731C">
        <w:rPr>
          <w:rFonts w:ascii="Times New Roman" w:eastAsia="ＭＳ 明朝" w:hAnsi="Times New Roman" w:cs="Times New Roman"/>
        </w:rPr>
        <w:t xml:space="preserve">506-519. doi: </w:t>
      </w:r>
    </w:p>
    <w:p w14:paraId="5F9AD9B2"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Grello, C. M., Welsh, D. P., &amp; Harper, M. S. (2006). No strings attached: The nature of casual sex in college students. </w:t>
      </w:r>
      <w:r w:rsidRPr="00BA731C">
        <w:rPr>
          <w:rFonts w:ascii="Times New Roman" w:eastAsia="ＭＳ 明朝" w:hAnsi="Times New Roman" w:cs="Times New Roman"/>
          <w:i/>
        </w:rPr>
        <w:t xml:space="preserve">Journal of Sex Research, 43, </w:t>
      </w:r>
      <w:r w:rsidRPr="00BA731C">
        <w:rPr>
          <w:rFonts w:ascii="Times New Roman" w:eastAsia="ＭＳ 明朝" w:hAnsi="Times New Roman" w:cs="Times New Roman"/>
        </w:rPr>
        <w:t>255-267. doi: 10.1080/00224490609552324.</w:t>
      </w:r>
    </w:p>
    <w:p w14:paraId="529E6E4F"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Harrell Jr., F. (2015). Binary logistic regression. In F. E. Harrell, Jr. (2</w:t>
      </w:r>
      <w:r w:rsidRPr="00BA731C">
        <w:rPr>
          <w:rFonts w:ascii="Times New Roman" w:eastAsia="ＭＳ 明朝" w:hAnsi="Times New Roman" w:cs="Times New Roman"/>
          <w:vertAlign w:val="superscript"/>
        </w:rPr>
        <w:t>nd</w:t>
      </w:r>
      <w:r w:rsidRPr="00BA731C">
        <w:rPr>
          <w:rFonts w:ascii="Times New Roman" w:eastAsia="ＭＳ 明朝" w:hAnsi="Times New Roman" w:cs="Times New Roman"/>
        </w:rPr>
        <w:t xml:space="preserve"> Ed.), </w:t>
      </w:r>
      <w:r w:rsidRPr="00BA731C">
        <w:rPr>
          <w:rFonts w:ascii="Times New Roman" w:eastAsia="ＭＳ 明朝" w:hAnsi="Times New Roman" w:cs="Times New Roman"/>
          <w:i/>
        </w:rPr>
        <w:t xml:space="preserve">Regression Modeling Strategies, </w:t>
      </w:r>
      <w:r w:rsidRPr="00BA731C">
        <w:rPr>
          <w:rFonts w:ascii="Times New Roman" w:eastAsia="ＭＳ 明朝" w:hAnsi="Times New Roman" w:cs="Times New Roman"/>
        </w:rPr>
        <w:t>(pp. 219-274). New York: NY: Springer International Publishing.</w:t>
      </w:r>
    </w:p>
    <w:p w14:paraId="22FAB514"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Heldman, C., &amp; Wade, L. (2010). Hook-up culture: Setting a new research agenda. </w:t>
      </w:r>
      <w:r w:rsidRPr="00BA731C">
        <w:rPr>
          <w:rFonts w:ascii="Times New Roman" w:eastAsia="ＭＳ 明朝" w:hAnsi="Times New Roman" w:cs="Times New Roman"/>
          <w:i/>
        </w:rPr>
        <w:t xml:space="preserve">Sexuality Research and Social Policy, 7, </w:t>
      </w:r>
      <w:r w:rsidRPr="00BA731C">
        <w:rPr>
          <w:rFonts w:ascii="Times New Roman" w:eastAsia="ＭＳ 明朝" w:hAnsi="Times New Roman" w:cs="Times New Roman"/>
        </w:rPr>
        <w:t>323-333.</w:t>
      </w:r>
    </w:p>
    <w:p w14:paraId="070174B8"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Hendry, L. B., &amp; Kloep, M. (2007). Conceptualizing emerging adulthood: Inspecting the emperor’s new clothes?. </w:t>
      </w:r>
      <w:r w:rsidRPr="00BA731C">
        <w:rPr>
          <w:rFonts w:ascii="Times New Roman" w:eastAsia="ＭＳ 明朝" w:hAnsi="Times New Roman" w:cs="Times New Roman"/>
          <w:i/>
          <w:iCs/>
        </w:rPr>
        <w:t>Child Development Perspectives</w:t>
      </w:r>
      <w:r w:rsidRPr="00BA731C">
        <w:rPr>
          <w:rFonts w:ascii="Times New Roman" w:eastAsia="ＭＳ 明朝" w:hAnsi="Times New Roman" w:cs="Times New Roman"/>
        </w:rPr>
        <w:t>, </w:t>
      </w:r>
      <w:r w:rsidRPr="00BA731C">
        <w:rPr>
          <w:rFonts w:ascii="Times New Roman" w:eastAsia="ＭＳ 明朝" w:hAnsi="Times New Roman" w:cs="Times New Roman"/>
          <w:i/>
          <w:iCs/>
        </w:rPr>
        <w:t>1</w:t>
      </w:r>
      <w:r w:rsidRPr="00BA731C">
        <w:rPr>
          <w:rFonts w:ascii="Times New Roman" w:eastAsia="ＭＳ 明朝" w:hAnsi="Times New Roman" w:cs="Times New Roman"/>
        </w:rPr>
        <w:t xml:space="preserve">, 74-79. doi: 10.1111/j.1750-8606.2007.00017.x </w:t>
      </w:r>
    </w:p>
    <w:p w14:paraId="5DE77003"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Hendry, L. B., &amp; Kloep, M. (2010). How universal is emerging adulthood? An empirical example. </w:t>
      </w:r>
      <w:r w:rsidRPr="00BA731C">
        <w:rPr>
          <w:rFonts w:ascii="Times New Roman" w:eastAsia="ＭＳ 明朝" w:hAnsi="Times New Roman" w:cs="Times New Roman"/>
          <w:i/>
          <w:iCs/>
        </w:rPr>
        <w:t>Journal of Youth Studies</w:t>
      </w:r>
      <w:r w:rsidRPr="00BA731C">
        <w:rPr>
          <w:rFonts w:ascii="Times New Roman" w:eastAsia="ＭＳ 明朝" w:hAnsi="Times New Roman" w:cs="Times New Roman"/>
        </w:rPr>
        <w:t>, </w:t>
      </w:r>
      <w:r w:rsidRPr="00BA731C">
        <w:rPr>
          <w:rFonts w:ascii="Times New Roman" w:eastAsia="ＭＳ 明朝" w:hAnsi="Times New Roman" w:cs="Times New Roman"/>
          <w:i/>
          <w:iCs/>
        </w:rPr>
        <w:t>13</w:t>
      </w:r>
      <w:r w:rsidRPr="00BA731C">
        <w:rPr>
          <w:rFonts w:ascii="Times New Roman" w:eastAsia="ＭＳ 明朝" w:hAnsi="Times New Roman" w:cs="Times New Roman"/>
        </w:rPr>
        <w:t>, 169-179. doi: 10.1080/13676260903295067</w:t>
      </w:r>
    </w:p>
    <w:p w14:paraId="12C113A3"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Hendry, L. B., &amp; Kloep, M. (2011). Lifestyles in emerging adulthood: Who needs stages anyway. In J. J. Arnett, M. Kloep, L. B. Hendry, &amp; J. L. Tanner (Ed.), </w:t>
      </w:r>
      <w:r w:rsidRPr="00BA731C">
        <w:rPr>
          <w:rFonts w:ascii="Times New Roman" w:eastAsia="ＭＳ 明朝" w:hAnsi="Times New Roman" w:cs="Times New Roman"/>
          <w:i/>
          <w:iCs/>
        </w:rPr>
        <w:t xml:space="preserve">Debating </w:t>
      </w:r>
      <w:r w:rsidRPr="00BA731C">
        <w:rPr>
          <w:rFonts w:ascii="Times New Roman" w:eastAsia="ＭＳ 明朝" w:hAnsi="Times New Roman" w:cs="Times New Roman"/>
          <w:i/>
          <w:iCs/>
        </w:rPr>
        <w:lastRenderedPageBreak/>
        <w:t>emerging adulthood: Stage or process</w:t>
      </w:r>
      <w:r w:rsidRPr="00BA731C">
        <w:rPr>
          <w:rFonts w:ascii="Times New Roman" w:eastAsia="ＭＳ 明朝" w:hAnsi="Times New Roman" w:cs="Times New Roman"/>
        </w:rPr>
        <w:t xml:space="preserve">, (pp. 77-106). New York, NY: </w:t>
      </w:r>
      <w:r w:rsidRPr="00BA731C">
        <w:rPr>
          <w:rFonts w:ascii="Times New Roman" w:eastAsia="ＭＳ 明朝" w:hAnsi="Times New Roman" w:cs="Times New Roman"/>
          <w:bCs/>
        </w:rPr>
        <w:t>Oxford University Press.</w:t>
      </w:r>
    </w:p>
    <w:p w14:paraId="141B00F3"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Ipeirotis, P. (2010). Demographics of mechanical turk. </w:t>
      </w:r>
      <w:r w:rsidRPr="00BA731C">
        <w:rPr>
          <w:rFonts w:ascii="Times New Roman" w:eastAsia="ＭＳ 明朝" w:hAnsi="Times New Roman" w:cs="Times New Roman"/>
          <w:i/>
        </w:rPr>
        <w:t>Center for Digital Economy Research Working Papers, 10</w:t>
      </w:r>
      <w:r w:rsidRPr="00BA731C">
        <w:rPr>
          <w:rFonts w:ascii="Times New Roman" w:eastAsia="ＭＳ 明朝" w:hAnsi="Times New Roman" w:cs="Times New Roman"/>
        </w:rPr>
        <w:t>. Retrieved from http://hdl.handle.net/2451/29585.</w:t>
      </w:r>
    </w:p>
    <w:p w14:paraId="6B002E9C"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Kloep, M., &amp; Hendry, L. (2011). A systematic approach to the transitions to adulthood. </w:t>
      </w:r>
      <w:r w:rsidRPr="00BA731C">
        <w:rPr>
          <w:rFonts w:ascii="Times New Roman" w:eastAsia="ＭＳ 明朝" w:hAnsi="Times New Roman" w:cs="Times New Roman"/>
          <w:i/>
        </w:rPr>
        <w:t xml:space="preserve">Debating Emerging Adulthood: Stage or Process, </w:t>
      </w:r>
      <w:r w:rsidRPr="00BA731C">
        <w:rPr>
          <w:rFonts w:ascii="Times New Roman" w:eastAsia="ＭＳ 明朝" w:hAnsi="Times New Roman" w:cs="Times New Roman"/>
        </w:rPr>
        <w:t>53-76.</w:t>
      </w:r>
    </w:p>
    <w:p w14:paraId="010909B1" w14:textId="77777777" w:rsidR="00BA731C" w:rsidRPr="00BA731C" w:rsidRDefault="00BA731C" w:rsidP="00BA731C">
      <w:pPr>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Krippendorff, K. (2013). </w:t>
      </w:r>
      <w:r w:rsidRPr="00BA731C">
        <w:rPr>
          <w:rFonts w:ascii="Times New Roman" w:eastAsia="ＭＳ 明朝" w:hAnsi="Times New Roman" w:cs="Times New Roman"/>
          <w:i/>
        </w:rPr>
        <w:t>Content analysis: An introduction to its methodology</w:t>
      </w:r>
      <w:r w:rsidRPr="00BA731C">
        <w:rPr>
          <w:rFonts w:ascii="Times New Roman" w:eastAsia="ＭＳ 明朝" w:hAnsi="Times New Roman" w:cs="Times New Roman"/>
        </w:rPr>
        <w:t xml:space="preserve"> (3</w:t>
      </w:r>
      <w:r w:rsidRPr="00BA731C">
        <w:rPr>
          <w:rFonts w:ascii="Times New Roman" w:eastAsia="ＭＳ 明朝" w:hAnsi="Times New Roman" w:cs="Times New Roman"/>
          <w:vertAlign w:val="superscript"/>
        </w:rPr>
        <w:t>rd</w:t>
      </w:r>
      <w:r w:rsidRPr="00BA731C">
        <w:rPr>
          <w:rFonts w:ascii="Times New Roman" w:eastAsia="ＭＳ 明朝" w:hAnsi="Times New Roman" w:cs="Times New Roman"/>
        </w:rPr>
        <w:t xml:space="preserve"> ed.). Thousand Oaks, CA: Sage.</w:t>
      </w:r>
    </w:p>
    <w:p w14:paraId="52C577E2"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Lam, C., &amp; Lefkowitz, E. S. (2013). Risky sexual behaviors in emerging adults: Longitudinal changes and within-person variations. </w:t>
      </w:r>
      <w:r w:rsidRPr="00BA731C">
        <w:rPr>
          <w:rFonts w:ascii="Times New Roman" w:eastAsia="ＭＳ 明朝" w:hAnsi="Times New Roman" w:cs="Times New Roman"/>
          <w:i/>
          <w:iCs/>
        </w:rPr>
        <w:t>Archives of Sexual Behavior</w:t>
      </w:r>
      <w:r w:rsidRPr="00BA731C">
        <w:rPr>
          <w:rFonts w:ascii="Times New Roman" w:eastAsia="ＭＳ 明朝" w:hAnsi="Times New Roman" w:cs="Times New Roman"/>
        </w:rPr>
        <w:t>, </w:t>
      </w:r>
      <w:r w:rsidRPr="00BA731C">
        <w:rPr>
          <w:rFonts w:ascii="Times New Roman" w:eastAsia="ＭＳ 明朝" w:hAnsi="Times New Roman" w:cs="Times New Roman"/>
          <w:i/>
          <w:iCs/>
        </w:rPr>
        <w:t>42</w:t>
      </w:r>
      <w:r w:rsidRPr="00BA731C">
        <w:rPr>
          <w:rFonts w:ascii="Times New Roman" w:eastAsia="ＭＳ 明朝" w:hAnsi="Times New Roman" w:cs="Times New Roman"/>
        </w:rPr>
        <w:t>, 523-532. doi: 10.1007/s10508-012-9959-x</w:t>
      </w:r>
    </w:p>
    <w:p w14:paraId="7C94F5DC"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Lambert, T., Kahn, A., &amp; Apple, K. (2003). Pluralistic ignorance and hooking up. </w:t>
      </w:r>
      <w:r w:rsidRPr="00BA731C">
        <w:rPr>
          <w:rFonts w:ascii="Times New Roman" w:eastAsia="ＭＳ 明朝" w:hAnsi="Times New Roman" w:cs="Times New Roman"/>
          <w:i/>
        </w:rPr>
        <w:t xml:space="preserve">The Journal of Sex Research, 40, </w:t>
      </w:r>
      <w:r w:rsidRPr="00BA731C">
        <w:rPr>
          <w:rFonts w:ascii="Times New Roman" w:eastAsia="ＭＳ 明朝" w:hAnsi="Times New Roman" w:cs="Times New Roman"/>
        </w:rPr>
        <w:t>129-133. doi: 10.1080/00224490309552174</w:t>
      </w:r>
    </w:p>
    <w:p w14:paraId="79A8FFA4"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Markus, H., &amp; Nurius, P. (1986). Possible selves. </w:t>
      </w:r>
      <w:r w:rsidRPr="00BA731C">
        <w:rPr>
          <w:rFonts w:ascii="Times New Roman" w:eastAsia="ＭＳ 明朝" w:hAnsi="Times New Roman" w:cs="Times New Roman"/>
          <w:i/>
        </w:rPr>
        <w:t xml:space="preserve">American Psychologist, 41, </w:t>
      </w:r>
      <w:r w:rsidRPr="00BA731C">
        <w:rPr>
          <w:rFonts w:ascii="Times New Roman" w:eastAsia="ＭＳ 明朝" w:hAnsi="Times New Roman" w:cs="Times New Roman"/>
        </w:rPr>
        <w:t>954-969. doi: 10.1037/0003-066X.41.9.954</w:t>
      </w:r>
    </w:p>
    <w:p w14:paraId="63642732"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Nelson, L., &amp; Barry, C. (2005). Distinguishing features of emerging adulthood the role of self-classification as an adult. </w:t>
      </w:r>
      <w:r w:rsidRPr="00BA731C">
        <w:rPr>
          <w:rFonts w:ascii="Times New Roman" w:eastAsia="ＭＳ 明朝" w:hAnsi="Times New Roman" w:cs="Times New Roman"/>
          <w:i/>
        </w:rPr>
        <w:t xml:space="preserve">Journal of Adolescent Research, 20, </w:t>
      </w:r>
      <w:r w:rsidRPr="00BA731C">
        <w:rPr>
          <w:rFonts w:ascii="Times New Roman" w:eastAsia="ＭＳ 明朝" w:hAnsi="Times New Roman" w:cs="Times New Roman"/>
        </w:rPr>
        <w:t>242-262.</w:t>
      </w:r>
    </w:p>
    <w:p w14:paraId="1440834E"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Oyserman, D., Bybee, D., Terry, K., &amp; Hart-Johnson, T. (2004). Possible selves as roadmaps. </w:t>
      </w:r>
      <w:r w:rsidRPr="00BA731C">
        <w:rPr>
          <w:rFonts w:ascii="Times New Roman" w:eastAsia="ＭＳ 明朝" w:hAnsi="Times New Roman" w:cs="Times New Roman"/>
          <w:i/>
        </w:rPr>
        <w:t xml:space="preserve">Journal of Research in Personality, 38, </w:t>
      </w:r>
      <w:r w:rsidRPr="00BA731C">
        <w:rPr>
          <w:rFonts w:ascii="Times New Roman" w:eastAsia="ＭＳ 明朝" w:hAnsi="Times New Roman" w:cs="Times New Roman"/>
        </w:rPr>
        <w:t>130-149. doi: 10.1016/S0092-6566(03)00057-6</w:t>
      </w:r>
    </w:p>
    <w:p w14:paraId="09FA0E85"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lastRenderedPageBreak/>
        <w:t xml:space="preserve">Oyserman, D., &amp; James, L. (2009). Possible selves: From content to process.  In K. Markman, W. Klein, &amp; J. Suhr (Eds.), </w:t>
      </w:r>
      <w:r w:rsidRPr="00BA731C">
        <w:rPr>
          <w:rFonts w:ascii="Times New Roman" w:eastAsia="ＭＳ 明朝" w:hAnsi="Times New Roman" w:cs="Times New Roman"/>
          <w:i/>
        </w:rPr>
        <w:t xml:space="preserve">Handbook of imagination and mental stimulation </w:t>
      </w:r>
      <w:r w:rsidRPr="00BA731C">
        <w:rPr>
          <w:rFonts w:ascii="Times New Roman" w:eastAsia="ＭＳ 明朝" w:hAnsi="Times New Roman" w:cs="Times New Roman"/>
        </w:rPr>
        <w:t>(pp. 373-394). New York, NY: Psychology Press.</w:t>
      </w:r>
      <w:r w:rsidRPr="00BA731C">
        <w:rPr>
          <w:rFonts w:ascii="Times New Roman" w:eastAsia="ＭＳ 明朝" w:hAnsi="Times New Roman" w:cs="Times New Roman"/>
        </w:rPr>
        <w:tab/>
      </w:r>
    </w:p>
    <w:p w14:paraId="590BCD38"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Reifman, A., Arnett, J. J., &amp; Colwell, M. J. (2007). Emerging adulthood: Theory, assessment, and application. </w:t>
      </w:r>
      <w:r w:rsidRPr="00BA731C">
        <w:rPr>
          <w:rFonts w:ascii="Times New Roman" w:eastAsia="ＭＳ 明朝" w:hAnsi="Times New Roman" w:cs="Times New Roman"/>
          <w:i/>
        </w:rPr>
        <w:t xml:space="preserve">Journal of Youth Development, 2, </w:t>
      </w:r>
      <w:r w:rsidRPr="00BA731C">
        <w:rPr>
          <w:rFonts w:ascii="Times New Roman" w:eastAsia="ＭＳ 明朝" w:hAnsi="Times New Roman" w:cs="Times New Roman"/>
        </w:rPr>
        <w:t>1-12.</w:t>
      </w:r>
    </w:p>
    <w:p w14:paraId="34CCD36F" w14:textId="77777777" w:rsidR="00BA731C" w:rsidRPr="00BA731C" w:rsidRDefault="00BA731C" w:rsidP="00BA731C">
      <w:pPr>
        <w:spacing w:line="480" w:lineRule="auto"/>
        <w:ind w:left="720" w:hanging="720"/>
        <w:contextualSpacing/>
        <w:rPr>
          <w:rFonts w:ascii="Times New Roman" w:eastAsia="ＭＳ 明朝" w:hAnsi="Times New Roman" w:cs="Times New Roman"/>
        </w:rPr>
      </w:pPr>
      <w:r w:rsidRPr="00BA731C">
        <w:rPr>
          <w:rFonts w:ascii="Times New Roman" w:eastAsia="ＭＳ 明朝" w:hAnsi="Times New Roman" w:cs="Times New Roman"/>
        </w:rPr>
        <w:t xml:space="preserve">Stinson, R. (2010). Hooking up in young adulthood: A review of factors influencing the sexual behavior of college students.  </w:t>
      </w:r>
      <w:r w:rsidRPr="00BA731C">
        <w:rPr>
          <w:rFonts w:ascii="Times New Roman" w:eastAsia="ＭＳ 明朝" w:hAnsi="Times New Roman" w:cs="Times New Roman"/>
          <w:i/>
        </w:rPr>
        <w:t xml:space="preserve">Journal of College Student Psychotherapy, 24, </w:t>
      </w:r>
      <w:r w:rsidRPr="00BA731C">
        <w:rPr>
          <w:rFonts w:ascii="Times New Roman" w:eastAsia="ＭＳ 明朝" w:hAnsi="Times New Roman" w:cs="Times New Roman"/>
        </w:rPr>
        <w:t>98-115. doi: 10.1080/87568220903558596</w:t>
      </w:r>
    </w:p>
    <w:p w14:paraId="30D806FE"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Strauss, A., &amp; Corbin, J. (1998). </w:t>
      </w:r>
      <w:r w:rsidRPr="00BA731C">
        <w:rPr>
          <w:rFonts w:ascii="Times New Roman" w:eastAsia="ＭＳ 明朝" w:hAnsi="Times New Roman" w:cs="Times New Roman"/>
          <w:i/>
        </w:rPr>
        <w:t xml:space="preserve">Basics of qualitative research: Procedures and techniques for developing grounded theory </w:t>
      </w:r>
      <w:r w:rsidRPr="00BA731C">
        <w:rPr>
          <w:rFonts w:ascii="Times New Roman" w:eastAsia="ＭＳ 明朝" w:hAnsi="Times New Roman" w:cs="Times New Roman"/>
        </w:rPr>
        <w:t>(1</w:t>
      </w:r>
      <w:r w:rsidRPr="00BA731C">
        <w:rPr>
          <w:rFonts w:ascii="Times New Roman" w:eastAsia="ＭＳ 明朝" w:hAnsi="Times New Roman" w:cs="Times New Roman"/>
          <w:vertAlign w:val="superscript"/>
        </w:rPr>
        <w:t>st</w:t>
      </w:r>
      <w:r w:rsidRPr="00BA731C">
        <w:rPr>
          <w:rFonts w:ascii="Times New Roman" w:eastAsia="ＭＳ 明朝" w:hAnsi="Times New Roman" w:cs="Times New Roman"/>
        </w:rPr>
        <w:t xml:space="preserve"> ed.). Thousand Oaks, CA: Sage.</w:t>
      </w:r>
    </w:p>
    <w:p w14:paraId="6A91048E"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 xml:space="preserve">Twenge, J., Sherman, R., &amp; Wells, B. (2015). Changes in american adults’ sexual behavior and attitudes, 1972-2012. </w:t>
      </w:r>
      <w:r w:rsidRPr="00BA731C">
        <w:rPr>
          <w:rFonts w:ascii="Times New Roman" w:eastAsia="ＭＳ 明朝" w:hAnsi="Times New Roman" w:cs="Times New Roman"/>
          <w:i/>
        </w:rPr>
        <w:t xml:space="preserve">Archives of Sexual Behavior, 44, </w:t>
      </w:r>
      <w:r w:rsidRPr="00BA731C">
        <w:rPr>
          <w:rFonts w:ascii="Times New Roman" w:eastAsia="ＭＳ 明朝" w:hAnsi="Times New Roman" w:cs="Times New Roman"/>
        </w:rPr>
        <w:t>2273-2285. doi: 10.1007/s10508-015-0540-2</w:t>
      </w:r>
    </w:p>
    <w:p w14:paraId="5868A3F6" w14:textId="77777777" w:rsidR="00BA731C" w:rsidRPr="00BA731C" w:rsidRDefault="00BA731C" w:rsidP="00BA731C">
      <w:pPr>
        <w:tabs>
          <w:tab w:val="left" w:pos="6015"/>
        </w:tabs>
        <w:spacing w:line="480" w:lineRule="auto"/>
        <w:ind w:left="720" w:hanging="720"/>
        <w:rPr>
          <w:rFonts w:ascii="Times New Roman" w:eastAsia="ＭＳ 明朝" w:hAnsi="Times New Roman" w:cs="Times New Roman"/>
        </w:rPr>
      </w:pPr>
      <w:r w:rsidRPr="00BA731C">
        <w:rPr>
          <w:rFonts w:ascii="Times New Roman" w:eastAsia="ＭＳ 明朝" w:hAnsi="Times New Roman" w:cs="Times New Roman"/>
        </w:rPr>
        <w:t>Zaluski, S. D. (2012). Emerging adulthood: A mixed method comparative analysis across vocational settings. (Unpublished doctoral dissertation). University of Saskatchewan, Saskatoon, Canada.</w:t>
      </w:r>
    </w:p>
    <w:p w14:paraId="4166EF2E" w14:textId="77777777" w:rsidR="00825933" w:rsidRPr="005E2DE2" w:rsidRDefault="00236E6D" w:rsidP="005E2DE2">
      <w:pPr>
        <w:pStyle w:val="Heading1"/>
        <w:spacing w:line="480" w:lineRule="auto"/>
        <w:rPr>
          <w:rFonts w:ascii="Times New Roman" w:hAnsi="Times New Roman" w:cs="Times New Roman"/>
          <w:sz w:val="24"/>
        </w:rPr>
      </w:pPr>
      <w:r w:rsidRPr="005E2DE2">
        <w:rPr>
          <w:rFonts w:ascii="Times New Roman" w:hAnsi="Times New Roman" w:cs="Times New Roman"/>
          <w:sz w:val="24"/>
        </w:rPr>
        <w:br w:type="page"/>
      </w:r>
    </w:p>
    <w:p w14:paraId="24F2973F" w14:textId="77777777" w:rsidR="00236E6D" w:rsidRPr="005E2DE2" w:rsidRDefault="00526151" w:rsidP="005E2DE2">
      <w:pPr>
        <w:pStyle w:val="Heading1"/>
        <w:spacing w:line="480" w:lineRule="auto"/>
        <w:rPr>
          <w:rFonts w:ascii="Times New Roman" w:hAnsi="Times New Roman" w:cs="Times New Roman"/>
          <w:sz w:val="24"/>
        </w:rPr>
      </w:pPr>
      <w:bookmarkStart w:id="19" w:name="_Toc289175845"/>
      <w:bookmarkStart w:id="20" w:name="_Toc428279032"/>
      <w:r w:rsidRPr="005E2DE2">
        <w:rPr>
          <w:rFonts w:ascii="Times New Roman" w:hAnsi="Times New Roman" w:cs="Times New Roman"/>
          <w:sz w:val="24"/>
        </w:rPr>
        <w:lastRenderedPageBreak/>
        <w:t>VITA</w:t>
      </w:r>
      <w:bookmarkEnd w:id="19"/>
      <w:bookmarkEnd w:id="20"/>
    </w:p>
    <w:p w14:paraId="09A11612" w14:textId="77777777" w:rsidR="003D63DF" w:rsidRPr="005E2DE2" w:rsidRDefault="003D63DF" w:rsidP="005E2DE2">
      <w:pPr>
        <w:spacing w:line="480" w:lineRule="auto"/>
        <w:rPr>
          <w:rFonts w:ascii="Times New Roman" w:hAnsi="Times New Roman" w:cs="Times New Roman"/>
        </w:rPr>
      </w:pPr>
    </w:p>
    <w:p w14:paraId="03D85D46" w14:textId="3FF22912" w:rsidR="003D63DF" w:rsidRPr="005E2DE2" w:rsidRDefault="002F5480" w:rsidP="005E2DE2">
      <w:pPr>
        <w:spacing w:line="480" w:lineRule="auto"/>
        <w:rPr>
          <w:rFonts w:ascii="Times New Roman" w:hAnsi="Times New Roman" w:cs="Times New Roman"/>
        </w:rPr>
      </w:pPr>
      <w:r>
        <w:rPr>
          <w:rFonts w:ascii="Times New Roman" w:hAnsi="Times New Roman" w:cs="Times New Roman"/>
        </w:rPr>
        <w:t xml:space="preserve">Kristin Michelle Anders earned her Bachelor’s degree in Psychology at the University of Tennessee-Knoxville in 2011 and her Master’s degree in Child and Family Studies at the University of Tennessee in 2014. </w:t>
      </w:r>
      <w:r w:rsidR="00C56F86">
        <w:rPr>
          <w:rFonts w:ascii="Times New Roman" w:hAnsi="Times New Roman" w:cs="Times New Roman"/>
        </w:rPr>
        <w:t xml:space="preserve">Upon approval of this dissertation, </w:t>
      </w:r>
      <w:r>
        <w:rPr>
          <w:rFonts w:ascii="Times New Roman" w:hAnsi="Times New Roman" w:cs="Times New Roman"/>
        </w:rPr>
        <w:t xml:space="preserve">Kristin will receive her Doctorate of Philosophy in Child and Family Studies </w:t>
      </w:r>
      <w:r w:rsidR="00C56F86">
        <w:rPr>
          <w:rFonts w:ascii="Times New Roman" w:hAnsi="Times New Roman" w:cs="Times New Roman"/>
        </w:rPr>
        <w:t>at the University of Tennessee in May 2017. Kristin’s research focuses on sexual identity development, risk engagement, and effective education programs during adolescence and emerging adulthood.</w:t>
      </w:r>
      <w:bookmarkStart w:id="21" w:name="_GoBack"/>
      <w:bookmarkEnd w:id="21"/>
    </w:p>
    <w:sectPr w:rsidR="003D63DF" w:rsidRPr="005E2D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4FD88" w14:textId="77777777" w:rsidR="002F5480" w:rsidRDefault="002F5480" w:rsidP="005E54E2">
      <w:r>
        <w:separator/>
      </w:r>
    </w:p>
    <w:p w14:paraId="01DF0F32" w14:textId="77777777" w:rsidR="002F5480" w:rsidRDefault="002F5480" w:rsidP="005E54E2"/>
    <w:p w14:paraId="65569AE6" w14:textId="77777777" w:rsidR="002F5480" w:rsidRDefault="002F5480" w:rsidP="005E54E2"/>
    <w:p w14:paraId="46814A11" w14:textId="77777777" w:rsidR="002F5480" w:rsidRDefault="002F5480" w:rsidP="005E54E2"/>
  </w:endnote>
  <w:endnote w:type="continuationSeparator" w:id="0">
    <w:p w14:paraId="3B5C50BE" w14:textId="77777777" w:rsidR="002F5480" w:rsidRDefault="002F5480" w:rsidP="005E54E2">
      <w:r>
        <w:continuationSeparator/>
      </w:r>
    </w:p>
    <w:p w14:paraId="5F92530D" w14:textId="77777777" w:rsidR="002F5480" w:rsidRDefault="002F5480" w:rsidP="005E54E2"/>
    <w:p w14:paraId="0B890540" w14:textId="77777777" w:rsidR="002F5480" w:rsidRDefault="002F5480" w:rsidP="005E54E2"/>
    <w:p w14:paraId="229B0E77" w14:textId="77777777" w:rsidR="002F5480" w:rsidRDefault="002F5480"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MS Gothic">
    <w:altName w:val="ＭＳ ゴシック"/>
    <w:charset w:val="80"/>
    <w:family w:val="modern"/>
    <w:pitch w:val="fixed"/>
    <w:sig w:usb0="E00002FF" w:usb1="6AC7FDFB" w:usb2="00000012" w:usb3="00000000" w:csb0="000200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EC1E4" w14:textId="77777777" w:rsidR="002F5480" w:rsidRDefault="002F548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A4C7B" w14:textId="77777777" w:rsidR="002F5480" w:rsidRDefault="002F5480">
    <w:pPr>
      <w:pStyle w:val="Footer"/>
      <w:jc w:val="right"/>
    </w:pPr>
    <w:r>
      <w:fldChar w:fldCharType="begin"/>
    </w:r>
    <w:r>
      <w:instrText xml:space="preserve"> PAGE   \* MERGEFORMAT </w:instrText>
    </w:r>
    <w:r>
      <w:fldChar w:fldCharType="separate"/>
    </w:r>
    <w:r w:rsidR="00C56F86">
      <w:rPr>
        <w:noProof/>
      </w:rPr>
      <w:t>94</w:t>
    </w:r>
    <w:r>
      <w:rPr>
        <w:noProof/>
      </w:rPr>
      <w:fldChar w:fldCharType="end"/>
    </w:r>
  </w:p>
  <w:p w14:paraId="5864ED4A" w14:textId="77777777" w:rsidR="002F5480" w:rsidRDefault="002F5480" w:rsidP="005E54E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73845" w14:textId="77777777" w:rsidR="002F5480" w:rsidRDefault="002F54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F0AC4" w14:textId="77777777" w:rsidR="002F5480" w:rsidRDefault="002F5480" w:rsidP="005E54E2">
      <w:r>
        <w:separator/>
      </w:r>
    </w:p>
    <w:p w14:paraId="0ACCCDDC" w14:textId="77777777" w:rsidR="002F5480" w:rsidRDefault="002F5480" w:rsidP="005E54E2"/>
    <w:p w14:paraId="6E021D6D" w14:textId="77777777" w:rsidR="002F5480" w:rsidRDefault="002F5480" w:rsidP="005E54E2"/>
    <w:p w14:paraId="622FDAC1" w14:textId="77777777" w:rsidR="002F5480" w:rsidRDefault="002F5480" w:rsidP="005E54E2"/>
  </w:footnote>
  <w:footnote w:type="continuationSeparator" w:id="0">
    <w:p w14:paraId="3E035E9B" w14:textId="77777777" w:rsidR="002F5480" w:rsidRDefault="002F5480" w:rsidP="005E54E2">
      <w:r>
        <w:continuationSeparator/>
      </w:r>
    </w:p>
    <w:p w14:paraId="22513C8C" w14:textId="77777777" w:rsidR="002F5480" w:rsidRDefault="002F5480" w:rsidP="005E54E2"/>
    <w:p w14:paraId="218C9157" w14:textId="77777777" w:rsidR="002F5480" w:rsidRDefault="002F5480" w:rsidP="005E54E2"/>
    <w:p w14:paraId="28B07F36" w14:textId="77777777" w:rsidR="002F5480" w:rsidRDefault="002F5480" w:rsidP="005E54E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C6D45" w14:textId="77777777" w:rsidR="002F5480" w:rsidRDefault="002F548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8DF3C" w14:textId="77777777" w:rsidR="002F5480" w:rsidRDefault="002F548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B4D4B" w14:textId="77777777" w:rsidR="002F5480" w:rsidRDefault="002F548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D4FF7"/>
    <w:multiLevelType w:val="hybridMultilevel"/>
    <w:tmpl w:val="6BB808BC"/>
    <w:lvl w:ilvl="0" w:tplc="0409000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A4"/>
    <w:rsid w:val="000033A9"/>
    <w:rsid w:val="00003F6A"/>
    <w:rsid w:val="00014A3E"/>
    <w:rsid w:val="000156E9"/>
    <w:rsid w:val="000166A9"/>
    <w:rsid w:val="0003672C"/>
    <w:rsid w:val="00057004"/>
    <w:rsid w:val="00071FB8"/>
    <w:rsid w:val="00076A95"/>
    <w:rsid w:val="000B5C42"/>
    <w:rsid w:val="000D0B9C"/>
    <w:rsid w:val="0010217F"/>
    <w:rsid w:val="00160114"/>
    <w:rsid w:val="001854FB"/>
    <w:rsid w:val="00193642"/>
    <w:rsid w:val="001B1034"/>
    <w:rsid w:val="001C39F6"/>
    <w:rsid w:val="001C66FE"/>
    <w:rsid w:val="001D4908"/>
    <w:rsid w:val="001D6904"/>
    <w:rsid w:val="001F43C1"/>
    <w:rsid w:val="001F522F"/>
    <w:rsid w:val="00215C1D"/>
    <w:rsid w:val="0022210F"/>
    <w:rsid w:val="0022500B"/>
    <w:rsid w:val="00236E6D"/>
    <w:rsid w:val="002429E5"/>
    <w:rsid w:val="00246AF3"/>
    <w:rsid w:val="00261B12"/>
    <w:rsid w:val="00280CEF"/>
    <w:rsid w:val="0028757A"/>
    <w:rsid w:val="002A12F0"/>
    <w:rsid w:val="002A3264"/>
    <w:rsid w:val="002E0C33"/>
    <w:rsid w:val="002E2492"/>
    <w:rsid w:val="002E5F14"/>
    <w:rsid w:val="002F5480"/>
    <w:rsid w:val="002F6C76"/>
    <w:rsid w:val="00304BD0"/>
    <w:rsid w:val="003050D2"/>
    <w:rsid w:val="00307D77"/>
    <w:rsid w:val="00313E9E"/>
    <w:rsid w:val="003150D5"/>
    <w:rsid w:val="003206F1"/>
    <w:rsid w:val="00320F78"/>
    <w:rsid w:val="00334400"/>
    <w:rsid w:val="003348A6"/>
    <w:rsid w:val="0035768F"/>
    <w:rsid w:val="00360B3C"/>
    <w:rsid w:val="0036251E"/>
    <w:rsid w:val="00362834"/>
    <w:rsid w:val="0038177C"/>
    <w:rsid w:val="003836EB"/>
    <w:rsid w:val="00387024"/>
    <w:rsid w:val="00387656"/>
    <w:rsid w:val="003A56F8"/>
    <w:rsid w:val="003C070F"/>
    <w:rsid w:val="003C1575"/>
    <w:rsid w:val="003C7FC5"/>
    <w:rsid w:val="003D07F7"/>
    <w:rsid w:val="003D5275"/>
    <w:rsid w:val="003D63DF"/>
    <w:rsid w:val="003D737F"/>
    <w:rsid w:val="003F7474"/>
    <w:rsid w:val="00404616"/>
    <w:rsid w:val="00406F6E"/>
    <w:rsid w:val="00407B6A"/>
    <w:rsid w:val="00414400"/>
    <w:rsid w:val="00421CD4"/>
    <w:rsid w:val="00422932"/>
    <w:rsid w:val="00423EA7"/>
    <w:rsid w:val="00427833"/>
    <w:rsid w:val="004335E8"/>
    <w:rsid w:val="0044196E"/>
    <w:rsid w:val="00474210"/>
    <w:rsid w:val="00480B96"/>
    <w:rsid w:val="0048303E"/>
    <w:rsid w:val="0049004B"/>
    <w:rsid w:val="004920F6"/>
    <w:rsid w:val="00497636"/>
    <w:rsid w:val="004A67E8"/>
    <w:rsid w:val="004C2071"/>
    <w:rsid w:val="004C3D65"/>
    <w:rsid w:val="004D6472"/>
    <w:rsid w:val="005049EE"/>
    <w:rsid w:val="00526151"/>
    <w:rsid w:val="00526CAD"/>
    <w:rsid w:val="00583A04"/>
    <w:rsid w:val="00597AD2"/>
    <w:rsid w:val="00597D3F"/>
    <w:rsid w:val="005B79E9"/>
    <w:rsid w:val="005E2DE2"/>
    <w:rsid w:val="005E4912"/>
    <w:rsid w:val="005E54E2"/>
    <w:rsid w:val="005E6F1F"/>
    <w:rsid w:val="005F44D1"/>
    <w:rsid w:val="00611B90"/>
    <w:rsid w:val="00621129"/>
    <w:rsid w:val="00633916"/>
    <w:rsid w:val="00641D2B"/>
    <w:rsid w:val="00652687"/>
    <w:rsid w:val="00662D3E"/>
    <w:rsid w:val="00665C7E"/>
    <w:rsid w:val="00672DDD"/>
    <w:rsid w:val="00676C91"/>
    <w:rsid w:val="00690B77"/>
    <w:rsid w:val="006C4000"/>
    <w:rsid w:val="006C621F"/>
    <w:rsid w:val="006C651A"/>
    <w:rsid w:val="006D5EE8"/>
    <w:rsid w:val="006E56E8"/>
    <w:rsid w:val="006E5B01"/>
    <w:rsid w:val="006F5AA4"/>
    <w:rsid w:val="00711200"/>
    <w:rsid w:val="0072397F"/>
    <w:rsid w:val="00727250"/>
    <w:rsid w:val="00731922"/>
    <w:rsid w:val="00731ACB"/>
    <w:rsid w:val="007368AD"/>
    <w:rsid w:val="0074133D"/>
    <w:rsid w:val="00745DF6"/>
    <w:rsid w:val="0075196D"/>
    <w:rsid w:val="0075558C"/>
    <w:rsid w:val="00761EFA"/>
    <w:rsid w:val="00764873"/>
    <w:rsid w:val="007778DD"/>
    <w:rsid w:val="00781055"/>
    <w:rsid w:val="00787617"/>
    <w:rsid w:val="00796693"/>
    <w:rsid w:val="007A0F41"/>
    <w:rsid w:val="007C7591"/>
    <w:rsid w:val="007D1C7E"/>
    <w:rsid w:val="007D5CD5"/>
    <w:rsid w:val="007F6AE9"/>
    <w:rsid w:val="00825933"/>
    <w:rsid w:val="00826D54"/>
    <w:rsid w:val="00834CBF"/>
    <w:rsid w:val="00836F89"/>
    <w:rsid w:val="00846459"/>
    <w:rsid w:val="0085757D"/>
    <w:rsid w:val="00863435"/>
    <w:rsid w:val="00864954"/>
    <w:rsid w:val="00872827"/>
    <w:rsid w:val="0087349A"/>
    <w:rsid w:val="0087532D"/>
    <w:rsid w:val="008865B6"/>
    <w:rsid w:val="008949E3"/>
    <w:rsid w:val="00895DF4"/>
    <w:rsid w:val="008A7971"/>
    <w:rsid w:val="008B0A19"/>
    <w:rsid w:val="008B1A4D"/>
    <w:rsid w:val="008D0A54"/>
    <w:rsid w:val="008D589C"/>
    <w:rsid w:val="008E7085"/>
    <w:rsid w:val="008F60C3"/>
    <w:rsid w:val="00904969"/>
    <w:rsid w:val="009254D6"/>
    <w:rsid w:val="0092669B"/>
    <w:rsid w:val="0093163E"/>
    <w:rsid w:val="00936436"/>
    <w:rsid w:val="00954F1C"/>
    <w:rsid w:val="00966BAC"/>
    <w:rsid w:val="00975E37"/>
    <w:rsid w:val="009A0E74"/>
    <w:rsid w:val="009A1F4F"/>
    <w:rsid w:val="009A2ABE"/>
    <w:rsid w:val="009A6A2F"/>
    <w:rsid w:val="009C755C"/>
    <w:rsid w:val="009C780F"/>
    <w:rsid w:val="009D794C"/>
    <w:rsid w:val="009E62A4"/>
    <w:rsid w:val="00A25353"/>
    <w:rsid w:val="00A34F5F"/>
    <w:rsid w:val="00A46A68"/>
    <w:rsid w:val="00A50EE9"/>
    <w:rsid w:val="00A50F5A"/>
    <w:rsid w:val="00A746DE"/>
    <w:rsid w:val="00A847CB"/>
    <w:rsid w:val="00A86F48"/>
    <w:rsid w:val="00AA3E0C"/>
    <w:rsid w:val="00AB6429"/>
    <w:rsid w:val="00AD0A33"/>
    <w:rsid w:val="00AD31BE"/>
    <w:rsid w:val="00AE0982"/>
    <w:rsid w:val="00AF19D4"/>
    <w:rsid w:val="00B07524"/>
    <w:rsid w:val="00B113E7"/>
    <w:rsid w:val="00B35B7C"/>
    <w:rsid w:val="00B36790"/>
    <w:rsid w:val="00B53C15"/>
    <w:rsid w:val="00B7746D"/>
    <w:rsid w:val="00B90095"/>
    <w:rsid w:val="00BA00F8"/>
    <w:rsid w:val="00BA731C"/>
    <w:rsid w:val="00BD2603"/>
    <w:rsid w:val="00BD3522"/>
    <w:rsid w:val="00BD43E6"/>
    <w:rsid w:val="00BE1769"/>
    <w:rsid w:val="00C0799A"/>
    <w:rsid w:val="00C11D0D"/>
    <w:rsid w:val="00C26544"/>
    <w:rsid w:val="00C30D60"/>
    <w:rsid w:val="00C509C3"/>
    <w:rsid w:val="00C50A17"/>
    <w:rsid w:val="00C56F86"/>
    <w:rsid w:val="00C70EAE"/>
    <w:rsid w:val="00C83B65"/>
    <w:rsid w:val="00CD18BC"/>
    <w:rsid w:val="00CD50B5"/>
    <w:rsid w:val="00CD73A9"/>
    <w:rsid w:val="00CE3A3E"/>
    <w:rsid w:val="00CE4D4B"/>
    <w:rsid w:val="00D06F12"/>
    <w:rsid w:val="00D21EF3"/>
    <w:rsid w:val="00D2327E"/>
    <w:rsid w:val="00D41205"/>
    <w:rsid w:val="00D46790"/>
    <w:rsid w:val="00D6504C"/>
    <w:rsid w:val="00D677AA"/>
    <w:rsid w:val="00D73F4D"/>
    <w:rsid w:val="00D82E57"/>
    <w:rsid w:val="00D91C27"/>
    <w:rsid w:val="00DC50EC"/>
    <w:rsid w:val="00DC5925"/>
    <w:rsid w:val="00DC60FA"/>
    <w:rsid w:val="00DD00DE"/>
    <w:rsid w:val="00DE23AF"/>
    <w:rsid w:val="00DF3B9A"/>
    <w:rsid w:val="00E07CC9"/>
    <w:rsid w:val="00E17598"/>
    <w:rsid w:val="00E41BDE"/>
    <w:rsid w:val="00E459DC"/>
    <w:rsid w:val="00E579B9"/>
    <w:rsid w:val="00E633BE"/>
    <w:rsid w:val="00EA464C"/>
    <w:rsid w:val="00EA5199"/>
    <w:rsid w:val="00ED7A05"/>
    <w:rsid w:val="00EE334C"/>
    <w:rsid w:val="00F02153"/>
    <w:rsid w:val="00F058DF"/>
    <w:rsid w:val="00F063AE"/>
    <w:rsid w:val="00F14228"/>
    <w:rsid w:val="00F15675"/>
    <w:rsid w:val="00F21250"/>
    <w:rsid w:val="00F2398D"/>
    <w:rsid w:val="00F26C23"/>
    <w:rsid w:val="00F634A3"/>
    <w:rsid w:val="00F703B2"/>
    <w:rsid w:val="00F70716"/>
    <w:rsid w:val="00F710F9"/>
    <w:rsid w:val="00F71ADC"/>
    <w:rsid w:val="00F7620F"/>
    <w:rsid w:val="00F87F40"/>
    <w:rsid w:val="00FA0AE4"/>
    <w:rsid w:val="00FA75A5"/>
    <w:rsid w:val="00FB4DBA"/>
    <w:rsid w:val="00FB667E"/>
    <w:rsid w:val="00FC5A1B"/>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55A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5">
    <w:name w:val="heading 5"/>
    <w:basedOn w:val="Normal"/>
    <w:next w:val="Normal"/>
    <w:link w:val="Heading5Char"/>
    <w:semiHidden/>
    <w:unhideWhenUsed/>
    <w:qFormat/>
    <w:rsid w:val="00BA73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BA731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5">
    <w:name w:val="heading 5"/>
    <w:basedOn w:val="Normal"/>
    <w:next w:val="Normal"/>
    <w:link w:val="Heading5Char"/>
    <w:semiHidden/>
    <w:unhideWhenUsed/>
    <w:qFormat/>
    <w:rsid w:val="00BA731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BA731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gradschool.utk.edu/ddategraduation.shtml"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ye\AppData\Local\Temp\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60B6A-FCBC-9140-B0B0-F3C6153F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\Users\kdye\AppData\Local\Temp\multipart-te.dotx</Template>
  <TotalTime>0</TotalTime>
  <Pages>103</Pages>
  <Words>21267</Words>
  <Characters>121222</Characters>
  <Application>Microsoft Macintosh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142205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2017-02-16T20:44:00Z</dcterms:created>
  <dcterms:modified xsi:type="dcterms:W3CDTF">2017-02-24T18:29:00Z</dcterms:modified>
</cp:coreProperties>
</file>