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8B26D1" w14:textId="671BF8C1" w:rsidR="003620D0" w:rsidRDefault="004E4855" w:rsidP="00130964">
      <w:pPr>
        <w:spacing w:line="276" w:lineRule="auto"/>
        <w:ind w:firstLine="0"/>
        <w:jc w:val="center"/>
        <w:rPr>
          <w:b/>
          <w:sz w:val="28"/>
        </w:rPr>
      </w:pPr>
      <w:r w:rsidRPr="00AF705D">
        <w:rPr>
          <w:b/>
          <w:sz w:val="28"/>
        </w:rPr>
        <w:t xml:space="preserve">Simulating High Flux Isotope </w:t>
      </w:r>
      <w:r w:rsidR="00130964">
        <w:rPr>
          <w:b/>
          <w:sz w:val="28"/>
        </w:rPr>
        <w:t>Reactor Core Thermal-Hydraulics</w:t>
      </w:r>
      <w:r w:rsidR="00130964">
        <w:rPr>
          <w:b/>
          <w:sz w:val="28"/>
        </w:rPr>
        <w:br/>
      </w:r>
      <w:r w:rsidRPr="00AF705D">
        <w:rPr>
          <w:b/>
          <w:sz w:val="28"/>
        </w:rPr>
        <w:t>via Interdimensional Model Coupling</w:t>
      </w:r>
    </w:p>
    <w:p w14:paraId="045D0C20" w14:textId="77777777" w:rsidR="003620D0" w:rsidRDefault="003620D0" w:rsidP="003620D0">
      <w:pPr>
        <w:spacing w:line="276" w:lineRule="auto"/>
        <w:ind w:firstLine="0"/>
        <w:jc w:val="center"/>
        <w:rPr>
          <w:b/>
          <w:sz w:val="28"/>
        </w:rPr>
      </w:pPr>
    </w:p>
    <w:p w14:paraId="00A6E632" w14:textId="77777777" w:rsidR="003620D0" w:rsidRDefault="003620D0" w:rsidP="003620D0">
      <w:pPr>
        <w:spacing w:line="276" w:lineRule="auto"/>
        <w:ind w:firstLine="0"/>
        <w:jc w:val="center"/>
        <w:rPr>
          <w:b/>
          <w:sz w:val="28"/>
        </w:rPr>
      </w:pPr>
    </w:p>
    <w:p w14:paraId="1DD9B2FB" w14:textId="77777777" w:rsidR="003620D0" w:rsidRDefault="003620D0" w:rsidP="003620D0">
      <w:pPr>
        <w:spacing w:line="276" w:lineRule="auto"/>
        <w:ind w:firstLine="0"/>
        <w:jc w:val="center"/>
        <w:rPr>
          <w:b/>
          <w:sz w:val="28"/>
        </w:rPr>
      </w:pPr>
    </w:p>
    <w:p w14:paraId="202CC526" w14:textId="77777777" w:rsidR="003620D0" w:rsidRDefault="003620D0" w:rsidP="003620D0">
      <w:pPr>
        <w:spacing w:line="276" w:lineRule="auto"/>
        <w:ind w:firstLine="0"/>
        <w:jc w:val="center"/>
        <w:rPr>
          <w:sz w:val="24"/>
        </w:rPr>
      </w:pPr>
    </w:p>
    <w:p w14:paraId="709413B9" w14:textId="77777777" w:rsidR="003620D0" w:rsidRDefault="003620D0" w:rsidP="003620D0">
      <w:pPr>
        <w:spacing w:line="276" w:lineRule="auto"/>
        <w:ind w:firstLine="0"/>
        <w:jc w:val="center"/>
        <w:rPr>
          <w:sz w:val="24"/>
        </w:rPr>
      </w:pPr>
    </w:p>
    <w:p w14:paraId="7BC5A700" w14:textId="77777777" w:rsidR="003620D0" w:rsidRDefault="003620D0" w:rsidP="003620D0">
      <w:pPr>
        <w:spacing w:line="276" w:lineRule="auto"/>
        <w:ind w:firstLine="0"/>
        <w:jc w:val="center"/>
        <w:rPr>
          <w:sz w:val="24"/>
        </w:rPr>
      </w:pPr>
    </w:p>
    <w:p w14:paraId="68A4A282" w14:textId="77777777" w:rsidR="003620D0" w:rsidRDefault="003620D0" w:rsidP="003620D0">
      <w:pPr>
        <w:spacing w:line="276" w:lineRule="auto"/>
        <w:ind w:firstLine="0"/>
        <w:jc w:val="center"/>
        <w:rPr>
          <w:sz w:val="24"/>
        </w:rPr>
      </w:pPr>
    </w:p>
    <w:p w14:paraId="0EFB4AA4" w14:textId="77777777" w:rsidR="003620D0" w:rsidRDefault="003620D0" w:rsidP="003620D0">
      <w:pPr>
        <w:spacing w:line="276" w:lineRule="auto"/>
        <w:ind w:firstLine="0"/>
        <w:jc w:val="center"/>
        <w:rPr>
          <w:sz w:val="24"/>
        </w:rPr>
      </w:pPr>
    </w:p>
    <w:p w14:paraId="596B4141" w14:textId="77777777" w:rsidR="003620D0" w:rsidRDefault="003620D0" w:rsidP="003620D0">
      <w:pPr>
        <w:spacing w:line="276" w:lineRule="auto"/>
        <w:ind w:firstLine="0"/>
        <w:jc w:val="center"/>
        <w:rPr>
          <w:sz w:val="24"/>
        </w:rPr>
      </w:pPr>
    </w:p>
    <w:p w14:paraId="7CA6C575" w14:textId="2922CFD7" w:rsidR="003620D0" w:rsidRDefault="00BF0F9D" w:rsidP="00C01B3B">
      <w:pPr>
        <w:spacing w:line="276" w:lineRule="auto"/>
        <w:ind w:firstLine="0"/>
        <w:jc w:val="center"/>
        <w:rPr>
          <w:sz w:val="24"/>
        </w:rPr>
      </w:pPr>
      <w:r>
        <w:rPr>
          <w:sz w:val="24"/>
        </w:rPr>
        <w:t>A Thesis</w:t>
      </w:r>
      <w:r w:rsidR="00C01B3B">
        <w:rPr>
          <w:sz w:val="24"/>
        </w:rPr>
        <w:br/>
      </w:r>
      <w:r w:rsidR="00E40352">
        <w:rPr>
          <w:sz w:val="24"/>
        </w:rPr>
        <w:t>P</w:t>
      </w:r>
      <w:r w:rsidR="003620D0">
        <w:rPr>
          <w:sz w:val="24"/>
        </w:rPr>
        <w:t>res</w:t>
      </w:r>
      <w:r w:rsidR="00C01B3B">
        <w:rPr>
          <w:sz w:val="24"/>
        </w:rPr>
        <w:t>ented for the</w:t>
      </w:r>
      <w:r w:rsidR="00C01B3B">
        <w:rPr>
          <w:sz w:val="24"/>
        </w:rPr>
        <w:br/>
        <w:t xml:space="preserve">Master of Science </w:t>
      </w:r>
      <w:r w:rsidR="003620D0">
        <w:rPr>
          <w:sz w:val="24"/>
        </w:rPr>
        <w:t>Degree</w:t>
      </w:r>
      <w:r w:rsidR="003620D0">
        <w:rPr>
          <w:sz w:val="24"/>
        </w:rPr>
        <w:br/>
        <w:t>The University of Tennessee, Knoxville</w:t>
      </w:r>
    </w:p>
    <w:p w14:paraId="7533191F" w14:textId="77777777" w:rsidR="003620D0" w:rsidRDefault="003620D0" w:rsidP="003620D0">
      <w:pPr>
        <w:spacing w:line="276" w:lineRule="auto"/>
        <w:ind w:firstLine="0"/>
        <w:jc w:val="center"/>
        <w:rPr>
          <w:sz w:val="24"/>
        </w:rPr>
      </w:pPr>
    </w:p>
    <w:p w14:paraId="4457AC9A" w14:textId="77777777" w:rsidR="003620D0" w:rsidRDefault="003620D0" w:rsidP="003620D0">
      <w:pPr>
        <w:spacing w:line="276" w:lineRule="auto"/>
        <w:ind w:firstLine="0"/>
        <w:jc w:val="center"/>
        <w:rPr>
          <w:sz w:val="24"/>
        </w:rPr>
      </w:pPr>
    </w:p>
    <w:p w14:paraId="728570D3" w14:textId="77777777" w:rsidR="003620D0" w:rsidRDefault="003620D0" w:rsidP="003620D0">
      <w:pPr>
        <w:spacing w:line="276" w:lineRule="auto"/>
        <w:ind w:firstLine="0"/>
        <w:jc w:val="center"/>
        <w:rPr>
          <w:sz w:val="24"/>
        </w:rPr>
      </w:pPr>
    </w:p>
    <w:p w14:paraId="0446498A" w14:textId="77777777" w:rsidR="003620D0" w:rsidRDefault="003620D0" w:rsidP="003620D0">
      <w:pPr>
        <w:spacing w:line="276" w:lineRule="auto"/>
        <w:ind w:firstLine="0"/>
        <w:jc w:val="center"/>
        <w:rPr>
          <w:sz w:val="24"/>
        </w:rPr>
      </w:pPr>
    </w:p>
    <w:p w14:paraId="177FE26A" w14:textId="77777777" w:rsidR="003620D0" w:rsidRDefault="003620D0" w:rsidP="003620D0">
      <w:pPr>
        <w:spacing w:line="276" w:lineRule="auto"/>
        <w:ind w:firstLine="0"/>
        <w:jc w:val="center"/>
        <w:rPr>
          <w:sz w:val="24"/>
        </w:rPr>
      </w:pPr>
    </w:p>
    <w:p w14:paraId="201DC797" w14:textId="77777777" w:rsidR="003620D0" w:rsidRDefault="003620D0" w:rsidP="003620D0">
      <w:pPr>
        <w:spacing w:line="276" w:lineRule="auto"/>
        <w:ind w:firstLine="0"/>
        <w:jc w:val="center"/>
        <w:rPr>
          <w:sz w:val="24"/>
        </w:rPr>
      </w:pPr>
    </w:p>
    <w:p w14:paraId="317E9F7B" w14:textId="77777777" w:rsidR="003620D0" w:rsidRDefault="003620D0" w:rsidP="003620D0">
      <w:pPr>
        <w:spacing w:line="276" w:lineRule="auto"/>
        <w:ind w:firstLine="0"/>
        <w:jc w:val="center"/>
        <w:rPr>
          <w:sz w:val="24"/>
        </w:rPr>
      </w:pPr>
    </w:p>
    <w:p w14:paraId="61B9114A" w14:textId="77777777" w:rsidR="003620D0" w:rsidRDefault="003620D0" w:rsidP="003620D0">
      <w:pPr>
        <w:spacing w:line="276" w:lineRule="auto"/>
        <w:ind w:firstLine="0"/>
        <w:jc w:val="center"/>
        <w:rPr>
          <w:sz w:val="24"/>
        </w:rPr>
      </w:pPr>
    </w:p>
    <w:p w14:paraId="0E69B07E" w14:textId="77777777" w:rsidR="003620D0" w:rsidRDefault="003620D0" w:rsidP="003620D0">
      <w:pPr>
        <w:spacing w:line="276" w:lineRule="auto"/>
        <w:ind w:firstLine="0"/>
        <w:rPr>
          <w:sz w:val="24"/>
        </w:rPr>
      </w:pPr>
    </w:p>
    <w:p w14:paraId="33D443A2" w14:textId="389EAE55" w:rsidR="005E1315" w:rsidRDefault="009335A8" w:rsidP="005E1315">
      <w:pPr>
        <w:spacing w:line="276" w:lineRule="auto"/>
        <w:ind w:firstLine="0"/>
        <w:jc w:val="center"/>
        <w:rPr>
          <w:b/>
        </w:rPr>
      </w:pPr>
      <w:r>
        <w:rPr>
          <w:sz w:val="24"/>
        </w:rPr>
        <w:t>Adam Ross</w:t>
      </w:r>
      <w:r w:rsidR="003620D0">
        <w:rPr>
          <w:sz w:val="24"/>
        </w:rPr>
        <w:t xml:space="preserve"> Travis</w:t>
      </w:r>
      <w:r w:rsidR="003620D0">
        <w:rPr>
          <w:sz w:val="24"/>
        </w:rPr>
        <w:br/>
      </w:r>
      <w:r w:rsidR="00E40352">
        <w:rPr>
          <w:sz w:val="24"/>
        </w:rPr>
        <w:t>May</w:t>
      </w:r>
      <w:r w:rsidR="003620D0">
        <w:rPr>
          <w:sz w:val="24"/>
        </w:rPr>
        <w:t xml:space="preserve"> 2014</w:t>
      </w:r>
      <w:r w:rsidR="003620D0" w:rsidRPr="003620D0">
        <w:rPr>
          <w:b/>
        </w:rPr>
        <w:br w:type="page"/>
      </w:r>
    </w:p>
    <w:p w14:paraId="5D05442C" w14:textId="77777777" w:rsidR="005E1315" w:rsidRDefault="005E1315">
      <w:pPr>
        <w:spacing w:line="276" w:lineRule="auto"/>
        <w:ind w:firstLine="0"/>
        <w:jc w:val="left"/>
        <w:rPr>
          <w:b/>
        </w:rPr>
      </w:pPr>
    </w:p>
    <w:p w14:paraId="2E153077" w14:textId="77777777" w:rsidR="005E1315" w:rsidRDefault="005E1315">
      <w:pPr>
        <w:spacing w:line="276" w:lineRule="auto"/>
        <w:ind w:firstLine="0"/>
        <w:jc w:val="left"/>
        <w:rPr>
          <w:b/>
        </w:rPr>
      </w:pPr>
    </w:p>
    <w:p w14:paraId="7DF10EF5" w14:textId="77777777" w:rsidR="005E1315" w:rsidRDefault="005E1315">
      <w:pPr>
        <w:spacing w:line="276" w:lineRule="auto"/>
        <w:ind w:firstLine="0"/>
        <w:jc w:val="left"/>
        <w:rPr>
          <w:b/>
        </w:rPr>
      </w:pPr>
    </w:p>
    <w:p w14:paraId="23D7C305" w14:textId="77777777" w:rsidR="005E1315" w:rsidRDefault="005E1315">
      <w:pPr>
        <w:spacing w:line="276" w:lineRule="auto"/>
        <w:ind w:firstLine="0"/>
        <w:jc w:val="left"/>
        <w:rPr>
          <w:b/>
        </w:rPr>
      </w:pPr>
    </w:p>
    <w:p w14:paraId="27614D97" w14:textId="77777777" w:rsidR="005E1315" w:rsidRDefault="005E1315">
      <w:pPr>
        <w:spacing w:line="276" w:lineRule="auto"/>
        <w:ind w:firstLine="0"/>
        <w:jc w:val="left"/>
        <w:rPr>
          <w:b/>
        </w:rPr>
      </w:pPr>
    </w:p>
    <w:p w14:paraId="5AEA6B3A" w14:textId="77777777" w:rsidR="005E1315" w:rsidRDefault="005E1315">
      <w:pPr>
        <w:spacing w:line="276" w:lineRule="auto"/>
        <w:ind w:firstLine="0"/>
        <w:jc w:val="left"/>
        <w:rPr>
          <w:b/>
        </w:rPr>
      </w:pPr>
    </w:p>
    <w:p w14:paraId="6E2073F2" w14:textId="77777777" w:rsidR="005E1315" w:rsidRDefault="005E1315">
      <w:pPr>
        <w:spacing w:line="276" w:lineRule="auto"/>
        <w:ind w:firstLine="0"/>
        <w:jc w:val="left"/>
        <w:rPr>
          <w:b/>
        </w:rPr>
      </w:pPr>
    </w:p>
    <w:p w14:paraId="6E0D0FFC" w14:textId="77777777" w:rsidR="005E1315" w:rsidRDefault="005E1315">
      <w:pPr>
        <w:spacing w:line="276" w:lineRule="auto"/>
        <w:ind w:firstLine="0"/>
        <w:jc w:val="left"/>
        <w:rPr>
          <w:b/>
        </w:rPr>
      </w:pPr>
    </w:p>
    <w:p w14:paraId="062B272B" w14:textId="77777777" w:rsidR="005E1315" w:rsidRDefault="005E1315">
      <w:pPr>
        <w:spacing w:line="276" w:lineRule="auto"/>
        <w:ind w:firstLine="0"/>
        <w:jc w:val="left"/>
        <w:rPr>
          <w:b/>
        </w:rPr>
      </w:pPr>
    </w:p>
    <w:p w14:paraId="408A5066" w14:textId="77777777" w:rsidR="005E1315" w:rsidRDefault="005E1315">
      <w:pPr>
        <w:spacing w:line="276" w:lineRule="auto"/>
        <w:ind w:firstLine="0"/>
        <w:jc w:val="left"/>
        <w:rPr>
          <w:b/>
        </w:rPr>
      </w:pPr>
    </w:p>
    <w:p w14:paraId="153B203D" w14:textId="77777777" w:rsidR="005E1315" w:rsidRDefault="005E1315">
      <w:pPr>
        <w:spacing w:line="276" w:lineRule="auto"/>
        <w:ind w:firstLine="0"/>
        <w:jc w:val="left"/>
        <w:rPr>
          <w:b/>
        </w:rPr>
      </w:pPr>
    </w:p>
    <w:p w14:paraId="18508D11" w14:textId="77777777" w:rsidR="005E1315" w:rsidRDefault="005E1315">
      <w:pPr>
        <w:spacing w:line="276" w:lineRule="auto"/>
        <w:ind w:firstLine="0"/>
        <w:jc w:val="left"/>
        <w:rPr>
          <w:b/>
        </w:rPr>
      </w:pPr>
    </w:p>
    <w:p w14:paraId="654094E6" w14:textId="419EBA78" w:rsidR="005E1315" w:rsidRDefault="009335A8" w:rsidP="00BF0F9D">
      <w:pPr>
        <w:spacing w:after="0" w:line="276" w:lineRule="auto"/>
        <w:ind w:firstLine="0"/>
        <w:jc w:val="center"/>
      </w:pPr>
      <w:r>
        <w:t>Copyright © 2014 by Adam Ross</w:t>
      </w:r>
      <w:r w:rsidR="005E1315">
        <w:t xml:space="preserve"> Travis</w:t>
      </w:r>
    </w:p>
    <w:p w14:paraId="44444D2A" w14:textId="3F89D2F2" w:rsidR="005E1315" w:rsidRPr="005E1315" w:rsidRDefault="005E1315" w:rsidP="005E1315">
      <w:pPr>
        <w:spacing w:line="276" w:lineRule="auto"/>
        <w:ind w:firstLine="0"/>
        <w:jc w:val="center"/>
      </w:pPr>
      <w:r>
        <w:t>All rights reserved.</w:t>
      </w:r>
    </w:p>
    <w:p w14:paraId="799D1F95" w14:textId="77777777" w:rsidR="005E1315" w:rsidRDefault="005E1315">
      <w:pPr>
        <w:spacing w:line="276" w:lineRule="auto"/>
        <w:ind w:firstLine="0"/>
        <w:jc w:val="left"/>
        <w:rPr>
          <w:b/>
        </w:rPr>
      </w:pPr>
    </w:p>
    <w:p w14:paraId="1BD183C7" w14:textId="77777777" w:rsidR="005E1315" w:rsidRDefault="005E1315">
      <w:pPr>
        <w:spacing w:line="276" w:lineRule="auto"/>
        <w:ind w:firstLine="0"/>
        <w:jc w:val="left"/>
        <w:rPr>
          <w:b/>
        </w:rPr>
      </w:pPr>
    </w:p>
    <w:p w14:paraId="4FB92B74" w14:textId="77777777" w:rsidR="005E1315" w:rsidRDefault="005E1315">
      <w:pPr>
        <w:spacing w:line="276" w:lineRule="auto"/>
        <w:ind w:firstLine="0"/>
        <w:jc w:val="left"/>
        <w:rPr>
          <w:b/>
        </w:rPr>
      </w:pPr>
    </w:p>
    <w:p w14:paraId="0DC4E9E5" w14:textId="77777777" w:rsidR="005E1315" w:rsidRDefault="005E1315">
      <w:pPr>
        <w:spacing w:line="276" w:lineRule="auto"/>
        <w:ind w:firstLine="0"/>
        <w:jc w:val="left"/>
        <w:rPr>
          <w:b/>
        </w:rPr>
      </w:pPr>
    </w:p>
    <w:p w14:paraId="564DA71E" w14:textId="77777777" w:rsidR="005E1315" w:rsidRDefault="005E1315">
      <w:pPr>
        <w:spacing w:line="276" w:lineRule="auto"/>
        <w:ind w:firstLine="0"/>
        <w:jc w:val="left"/>
        <w:rPr>
          <w:b/>
        </w:rPr>
      </w:pPr>
    </w:p>
    <w:p w14:paraId="7C111B30" w14:textId="77777777" w:rsidR="005E1315" w:rsidRDefault="005E1315">
      <w:pPr>
        <w:spacing w:line="276" w:lineRule="auto"/>
        <w:ind w:firstLine="0"/>
        <w:jc w:val="left"/>
        <w:rPr>
          <w:b/>
        </w:rPr>
      </w:pPr>
    </w:p>
    <w:p w14:paraId="374CF2DB" w14:textId="77777777" w:rsidR="005E1315" w:rsidRDefault="005E1315">
      <w:pPr>
        <w:spacing w:line="276" w:lineRule="auto"/>
        <w:ind w:firstLine="0"/>
        <w:jc w:val="left"/>
        <w:rPr>
          <w:b/>
        </w:rPr>
      </w:pPr>
    </w:p>
    <w:p w14:paraId="1E0D7D20" w14:textId="77777777" w:rsidR="005E1315" w:rsidRDefault="005E1315">
      <w:pPr>
        <w:spacing w:line="276" w:lineRule="auto"/>
        <w:ind w:firstLine="0"/>
        <w:jc w:val="left"/>
        <w:rPr>
          <w:b/>
        </w:rPr>
      </w:pPr>
    </w:p>
    <w:p w14:paraId="0685E5A2" w14:textId="77777777" w:rsidR="005E1315" w:rsidRDefault="005E1315">
      <w:pPr>
        <w:spacing w:line="276" w:lineRule="auto"/>
        <w:ind w:firstLine="0"/>
        <w:jc w:val="left"/>
        <w:rPr>
          <w:b/>
        </w:rPr>
      </w:pPr>
    </w:p>
    <w:p w14:paraId="6A2A0AD4" w14:textId="71336DB9" w:rsidR="005E1315" w:rsidRDefault="005E1315">
      <w:pPr>
        <w:spacing w:line="276" w:lineRule="auto"/>
        <w:ind w:firstLine="0"/>
        <w:jc w:val="left"/>
        <w:rPr>
          <w:b/>
        </w:rPr>
      </w:pPr>
      <w:r>
        <w:rPr>
          <w:b/>
        </w:rPr>
        <w:br w:type="page"/>
      </w:r>
    </w:p>
    <w:p w14:paraId="5DA8E7DF" w14:textId="77777777" w:rsidR="003620D0" w:rsidRPr="003620D0" w:rsidRDefault="003620D0" w:rsidP="003620D0">
      <w:pPr>
        <w:spacing w:line="276" w:lineRule="auto"/>
        <w:ind w:firstLine="0"/>
        <w:jc w:val="center"/>
        <w:rPr>
          <w:sz w:val="24"/>
        </w:rPr>
      </w:pPr>
    </w:p>
    <w:p w14:paraId="6B9ED37E" w14:textId="77777777" w:rsidR="002D082E" w:rsidRDefault="002D082E" w:rsidP="002D082E">
      <w:pPr>
        <w:ind w:left="720" w:right="720" w:firstLine="0"/>
      </w:pPr>
    </w:p>
    <w:p w14:paraId="47246C5A" w14:textId="77777777" w:rsidR="002D082E" w:rsidRDefault="002D082E" w:rsidP="002D082E">
      <w:pPr>
        <w:ind w:left="720" w:right="720" w:firstLine="0"/>
      </w:pPr>
    </w:p>
    <w:p w14:paraId="5B5DA1F8" w14:textId="77777777" w:rsidR="002D082E" w:rsidRDefault="002D082E" w:rsidP="002D082E">
      <w:pPr>
        <w:ind w:left="720" w:right="720" w:firstLine="0"/>
      </w:pPr>
    </w:p>
    <w:p w14:paraId="321B88CD" w14:textId="77777777" w:rsidR="002D082E" w:rsidRDefault="002D082E" w:rsidP="002D082E">
      <w:pPr>
        <w:ind w:left="720" w:right="720" w:firstLine="0"/>
      </w:pPr>
    </w:p>
    <w:p w14:paraId="655BF4EA" w14:textId="77777777" w:rsidR="002D082E" w:rsidRDefault="002D082E" w:rsidP="002D082E">
      <w:pPr>
        <w:ind w:left="720" w:right="720" w:firstLine="0"/>
      </w:pPr>
    </w:p>
    <w:p w14:paraId="13CFAA0C" w14:textId="77777777" w:rsidR="002D082E" w:rsidRDefault="002D082E" w:rsidP="002D082E">
      <w:pPr>
        <w:ind w:left="720" w:right="720" w:firstLine="0"/>
      </w:pPr>
    </w:p>
    <w:p w14:paraId="20BB5D90" w14:textId="77777777" w:rsidR="002D082E" w:rsidRDefault="002D082E" w:rsidP="002D082E">
      <w:pPr>
        <w:ind w:left="720" w:right="720" w:firstLine="0"/>
      </w:pPr>
    </w:p>
    <w:p w14:paraId="58652FBA" w14:textId="6170BA36" w:rsidR="00B91CE4" w:rsidRDefault="00B91CE4" w:rsidP="00B91CE4">
      <w:pPr>
        <w:ind w:right="720" w:firstLine="0"/>
      </w:pPr>
    </w:p>
    <w:p w14:paraId="17DBAC61" w14:textId="77777777" w:rsidR="00B91CE4" w:rsidRDefault="00B91CE4" w:rsidP="00B91CE4">
      <w:pPr>
        <w:ind w:right="720" w:firstLine="0"/>
      </w:pPr>
    </w:p>
    <w:p w14:paraId="4C174F69" w14:textId="71A3D16F" w:rsidR="00126A89" w:rsidRPr="002D082E" w:rsidRDefault="00E4398D" w:rsidP="002D082E">
      <w:pPr>
        <w:ind w:left="720" w:right="720" w:firstLine="0"/>
      </w:pPr>
      <w:r>
        <w:t>To God</w:t>
      </w:r>
      <w:r w:rsidR="008971C2">
        <w:t>, first and always</w:t>
      </w:r>
      <w:r w:rsidR="0025203D">
        <w:t>:</w:t>
      </w:r>
      <w:r w:rsidR="00126A89" w:rsidRPr="002D082E">
        <w:t xml:space="preserve">  I am nothing other than what He has made me capable of being.</w:t>
      </w:r>
    </w:p>
    <w:p w14:paraId="5C39AE52" w14:textId="53F12D90" w:rsidR="00945126" w:rsidRPr="00453373" w:rsidRDefault="00BA01DB" w:rsidP="002D082E">
      <w:pPr>
        <w:ind w:left="720" w:right="720" w:firstLine="0"/>
        <w:rPr>
          <w:rFonts w:asciiTheme="majorHAnsi" w:eastAsiaTheme="majorEastAsia" w:hAnsiTheme="majorHAnsi" w:cstheme="majorBidi"/>
          <w:color w:val="365F91" w:themeColor="accent1" w:themeShade="BF"/>
          <w:sz w:val="28"/>
          <w:szCs w:val="28"/>
          <w:lang w:eastAsia="ja-JP"/>
        </w:rPr>
      </w:pPr>
      <w:r w:rsidRPr="002D082E">
        <w:t>To my parents</w:t>
      </w:r>
      <w:r w:rsidR="0025203D">
        <w:t>:</w:t>
      </w:r>
      <w:r w:rsidRPr="002D082E">
        <w:t xml:space="preserve">  If I am able to make good on an ounce of that potential in </w:t>
      </w:r>
      <w:r w:rsidR="008653DC">
        <w:t>my life it is because I am</w:t>
      </w:r>
      <w:r w:rsidRPr="002D082E">
        <w:t xml:space="preserve"> the man you raised me to be.</w:t>
      </w:r>
      <w:r w:rsidR="00945126" w:rsidRPr="00453373">
        <w:br w:type="page"/>
      </w:r>
    </w:p>
    <w:p w14:paraId="658EAAD1" w14:textId="77777777" w:rsidR="00E40352" w:rsidRPr="00E40352" w:rsidRDefault="00945126" w:rsidP="00E40352">
      <w:pPr>
        <w:spacing w:line="276" w:lineRule="auto"/>
        <w:ind w:firstLine="0"/>
        <w:jc w:val="center"/>
        <w:rPr>
          <w:b/>
          <w:sz w:val="24"/>
        </w:rPr>
      </w:pPr>
      <w:r w:rsidRPr="00E40352">
        <w:rPr>
          <w:b/>
          <w:sz w:val="24"/>
        </w:rPr>
        <w:lastRenderedPageBreak/>
        <w:t>Acknowledgements</w:t>
      </w:r>
    </w:p>
    <w:p w14:paraId="73CBF3F1" w14:textId="77777777" w:rsidR="00E40352" w:rsidRDefault="00E40352" w:rsidP="00E40352">
      <w:pPr>
        <w:spacing w:line="276" w:lineRule="auto"/>
        <w:ind w:firstLine="0"/>
        <w:jc w:val="center"/>
        <w:rPr>
          <w:b/>
        </w:rPr>
      </w:pPr>
    </w:p>
    <w:p w14:paraId="7E371A23" w14:textId="6BC45461" w:rsidR="00D067F0" w:rsidRDefault="00062E71" w:rsidP="001545F1">
      <w:pPr>
        <w:ind w:firstLine="274"/>
      </w:pPr>
      <w:r w:rsidRPr="00062E71">
        <w:t>First and foremost, I would like to express my sincerest thanks and gratitude to Dr. Kivanc Ekici</w:t>
      </w:r>
      <w:r>
        <w:t xml:space="preserve"> for his encouragement and belief </w:t>
      </w:r>
      <w:r w:rsidR="00D067F0">
        <w:t>during my tenure</w:t>
      </w:r>
      <w:r>
        <w:t xml:space="preserve"> as an undergraduate, his unwavering support as my graduate advisor, and the infectious pass</w:t>
      </w:r>
      <w:r w:rsidR="00F038C4">
        <w:t xml:space="preserve">ion which he has always brought to his work.  </w:t>
      </w:r>
      <w:r w:rsidR="006C433E">
        <w:t>I am similarly indebted to Dr. Jim Freels of Oak Ridge National Laboratory</w:t>
      </w:r>
      <w:r w:rsidR="00121C85">
        <w:t xml:space="preserve"> (ORNL)</w:t>
      </w:r>
      <w:r w:rsidR="00B71AA4">
        <w:t xml:space="preserve"> for his constant guidance</w:t>
      </w:r>
      <w:r w:rsidR="001545F1">
        <w:t xml:space="preserve"> and mentorship</w:t>
      </w:r>
      <w:r w:rsidR="00D067F0">
        <w:t xml:space="preserve"> throughout this project</w:t>
      </w:r>
      <w:r w:rsidR="001545F1">
        <w:t xml:space="preserve">.  </w:t>
      </w:r>
      <w:r w:rsidR="00D067F0">
        <w:t>S</w:t>
      </w:r>
      <w:r w:rsidR="00B4492F">
        <w:t>pecial thanks as well</w:t>
      </w:r>
      <w:r w:rsidR="00D067F0">
        <w:t xml:space="preserve"> to Dave Renfro</w:t>
      </w:r>
      <w:r w:rsidR="00121C85">
        <w:t xml:space="preserve"> of ORNL</w:t>
      </w:r>
      <w:r w:rsidR="00D067F0">
        <w:t xml:space="preserve"> for agreeing to fund my work.</w:t>
      </w:r>
    </w:p>
    <w:p w14:paraId="725A6C2B" w14:textId="54A09331" w:rsidR="00E40352" w:rsidRDefault="00121C85" w:rsidP="001545F1">
      <w:pPr>
        <w:ind w:firstLine="274"/>
      </w:pPr>
      <w:r>
        <w:t>All thesis-related work was funded by the Department of Energy (DOE) Office of Science and the Global Threat Reduction Initiative (GTRI) of the National Nuclear Security Administration (NNSA).  Further inf</w:t>
      </w:r>
      <w:r w:rsidR="00E00C63">
        <w:t>ormation can be obtained at</w:t>
      </w:r>
      <w:r>
        <w:t xml:space="preserve"> </w:t>
      </w:r>
      <w:r w:rsidRPr="00121C85">
        <w:rPr>
          <w:u w:val="single"/>
        </w:rPr>
        <w:t>http://nnsa.energy.gov/</w:t>
      </w:r>
    </w:p>
    <w:p w14:paraId="629460FD" w14:textId="1DA22C62" w:rsidR="00505332" w:rsidRDefault="00505332" w:rsidP="001545F1">
      <w:pPr>
        <w:ind w:firstLine="274"/>
      </w:pPr>
      <w:r>
        <w:t xml:space="preserve">Additional thanks to Dr. Rao Arimilli and Dr. Jay Frankel both for </w:t>
      </w:r>
      <w:r w:rsidR="007018AF">
        <w:t xml:space="preserve">acting as members of my committee and for contributing to the invaluable </w:t>
      </w:r>
      <w:r w:rsidR="005822C0">
        <w:t>lessons, both curriculum</w:t>
      </w:r>
      <w:r w:rsidR="007018AF">
        <w:t>-related and not, that I have learned at the University of Tennessee.</w:t>
      </w:r>
    </w:p>
    <w:p w14:paraId="666C249A" w14:textId="279597DB" w:rsidR="00121C85" w:rsidRDefault="00991794" w:rsidP="001545F1">
      <w:pPr>
        <w:ind w:firstLine="274"/>
      </w:pPr>
      <w:r>
        <w:t xml:space="preserve">I wish to express gratitude to those peers who have become close officemates and </w:t>
      </w:r>
      <w:r w:rsidR="00221BFF">
        <w:t xml:space="preserve">even closer </w:t>
      </w:r>
      <w:r>
        <w:t>friends.  Thanks to Franklin Curtis for showing me my way around a Linux terminal, to Emily Clark for agreeing with whatever I had to complain about</w:t>
      </w:r>
      <w:r w:rsidR="005C72DA">
        <w:t xml:space="preserve"> on any given day</w:t>
      </w:r>
      <w:r>
        <w:t>, and to Kelsey Turley whose unrelenting work ethic kept me in the library on many occasions much later than I would have stayed on my own</w:t>
      </w:r>
      <w:r w:rsidR="0031531D">
        <w:t>.</w:t>
      </w:r>
    </w:p>
    <w:p w14:paraId="716FD866" w14:textId="7A22E9F2" w:rsidR="00E40352" w:rsidRPr="00A7425B" w:rsidRDefault="00744BFB" w:rsidP="00A7425B">
      <w:pPr>
        <w:ind w:firstLine="274"/>
      </w:pPr>
      <w:r>
        <w:t>Lastly, I</w:t>
      </w:r>
      <w:r w:rsidR="00A5768C">
        <w:t xml:space="preserve"> would like to thank </w:t>
      </w:r>
      <w:r w:rsidR="00907E6F">
        <w:t>my</w:t>
      </w:r>
      <w:r w:rsidR="00A5768C">
        <w:t xml:space="preserve"> parents Mike and </w:t>
      </w:r>
      <w:r w:rsidR="008D641B">
        <w:t>Leigh</w:t>
      </w:r>
      <w:r w:rsidR="00A5768C">
        <w:t xml:space="preserve"> and my siblings</w:t>
      </w:r>
      <w:r>
        <w:t xml:space="preserve"> Chloe and H</w:t>
      </w:r>
      <w:r w:rsidR="00A5768C">
        <w:t>enry</w:t>
      </w:r>
      <w:bookmarkStart w:id="0" w:name="_GoBack"/>
      <w:bookmarkEnd w:id="0"/>
      <w:r>
        <w:t xml:space="preserve"> for their steadfast support</w:t>
      </w:r>
      <w:r w:rsidR="00396E43">
        <w:t xml:space="preserve"> and loving encouragement</w:t>
      </w:r>
      <w:r>
        <w:t xml:space="preserve"> in every endeavor I set myself to.</w:t>
      </w:r>
    </w:p>
    <w:p w14:paraId="6ACDB318" w14:textId="77777777" w:rsidR="00E40352" w:rsidRDefault="00E40352" w:rsidP="00E40352">
      <w:pPr>
        <w:spacing w:line="276" w:lineRule="auto"/>
        <w:ind w:firstLine="0"/>
        <w:jc w:val="center"/>
        <w:rPr>
          <w:b/>
        </w:rPr>
      </w:pPr>
    </w:p>
    <w:p w14:paraId="02A817A1" w14:textId="77777777" w:rsidR="00E40352" w:rsidRDefault="00E40352">
      <w:pPr>
        <w:spacing w:line="276" w:lineRule="auto"/>
        <w:ind w:firstLine="0"/>
        <w:jc w:val="left"/>
        <w:rPr>
          <w:b/>
        </w:rPr>
      </w:pPr>
      <w:r>
        <w:rPr>
          <w:b/>
        </w:rPr>
        <w:br w:type="page"/>
      </w:r>
    </w:p>
    <w:p w14:paraId="497AB257" w14:textId="77777777" w:rsidR="000913A8" w:rsidRDefault="00E40352" w:rsidP="0089221D">
      <w:pPr>
        <w:spacing w:line="276" w:lineRule="auto"/>
        <w:ind w:firstLine="0"/>
        <w:jc w:val="center"/>
        <w:rPr>
          <w:b/>
          <w:sz w:val="24"/>
        </w:rPr>
      </w:pPr>
      <w:r w:rsidRPr="00E40352">
        <w:rPr>
          <w:b/>
          <w:sz w:val="24"/>
        </w:rPr>
        <w:lastRenderedPageBreak/>
        <w:t>Ab</w:t>
      </w:r>
      <w:r>
        <w:rPr>
          <w:b/>
          <w:sz w:val="24"/>
        </w:rPr>
        <w:t>s</w:t>
      </w:r>
      <w:r w:rsidRPr="00E40352">
        <w:rPr>
          <w:b/>
          <w:sz w:val="24"/>
        </w:rPr>
        <w:t>tract</w:t>
      </w:r>
    </w:p>
    <w:p w14:paraId="15975733" w14:textId="73B9EFC6" w:rsidR="0023336C" w:rsidRPr="00E1447B" w:rsidRDefault="000913A8" w:rsidP="0023336C">
      <w:r w:rsidRPr="00E1447B">
        <w:t xml:space="preserve">A </w:t>
      </w:r>
      <w:r w:rsidR="00232350">
        <w:t xml:space="preserve">coupled </w:t>
      </w:r>
      <w:r w:rsidRPr="00E1447B">
        <w:t>interdimensional model is presented for the simulation of the thermal-hydraulic characteristics of the High Flux Isotope Reactor core at Oak Ridge National Laboratory.  The model consists of two domains—a solid</w:t>
      </w:r>
      <w:r w:rsidR="0023336C" w:rsidRPr="00E1447B">
        <w:t xml:space="preserve"> involute</w:t>
      </w:r>
      <w:r w:rsidR="007D0821">
        <w:t xml:space="preserve"> fuel plate and the surrounding</w:t>
      </w:r>
      <w:r w:rsidRPr="00E1447B">
        <w:t xml:space="preserve"> liquid coolant channel.  The fuel plate is modeled explicitly in three-dimensions.  The coolant channel is approximated as a two-dimensional slice oriented perpendicular to the fuel plate’s </w:t>
      </w:r>
      <w:r w:rsidR="007D0821">
        <w:t>surface.  The two dimensionally-</w:t>
      </w:r>
      <w:r w:rsidRPr="00E1447B">
        <w:t xml:space="preserve">inconsistent domains are linked to one another via interdimensional model coupling mechanisms.  The coupled model is presented as a simplified alternative to a fully explicit, fully three-dimensional model.  </w:t>
      </w:r>
      <w:r w:rsidR="0023336C" w:rsidRPr="00E1447B">
        <w:t xml:space="preserve">Involute geometries were constructed in SolidWorks.  Derivations of the involute construction equations are presented.  Geometries were then imported into COMSOL Multiphysics for simulation and modeling.  Both models are described in detail so as to highlight their respective attributes—in the 3D model, the pursuit of an accurate, reliable, and </w:t>
      </w:r>
      <w:r w:rsidR="0023336C" w:rsidRPr="00E1447B">
        <w:rPr>
          <w:i/>
        </w:rPr>
        <w:t>complete</w:t>
      </w:r>
      <w:r w:rsidR="0023336C" w:rsidRPr="00E1447B">
        <w:t xml:space="preserve"> solution; in the coupled model, the intent to simplify the modeling domain as much as possible without affecting significant alterations to the solution.  </w:t>
      </w:r>
      <w:r w:rsidRPr="00E1447B">
        <w:t xml:space="preserve">The coupled model was created </w:t>
      </w:r>
      <w:r w:rsidR="0023336C" w:rsidRPr="00E1447B">
        <w:t xml:space="preserve">with the goal of permitting larger portions of the reactor core to be modeled at once without a significant sacrifice to solution </w:t>
      </w:r>
      <w:r w:rsidR="00DB75AE" w:rsidRPr="00E1447B">
        <w:t>integrity</w:t>
      </w:r>
      <w:r w:rsidR="0023336C" w:rsidRPr="00E1447B">
        <w:t xml:space="preserve">.  As such, particular care is given to validating incorporated model simplifications.  To the greatest extent possible, the decrease in solution time as well as computational cost are quantified versus the effects such </w:t>
      </w:r>
      <w:r w:rsidR="00431D7B" w:rsidRPr="00E1447B">
        <w:t>gains have on the solution quality.</w:t>
      </w:r>
      <w:r w:rsidR="007D0821">
        <w:t xml:space="preserve">  A </w:t>
      </w:r>
      <w:r w:rsidR="00DB75AE" w:rsidRPr="00E1447B">
        <w:t>variant of the coupled model which sufficiently balances these three solution characteristics is presented alongside the more comprehensive 3D model for comparison and validation.</w:t>
      </w:r>
    </w:p>
    <w:p w14:paraId="682AEA03" w14:textId="6CDF044F" w:rsidR="00453373" w:rsidRPr="0023336C" w:rsidRDefault="00453373" w:rsidP="0023336C">
      <w:r>
        <w:br w:type="page"/>
      </w:r>
    </w:p>
    <w:sdt>
      <w:sdtPr>
        <w:rPr>
          <w:rFonts w:ascii="Times New Roman" w:eastAsiaTheme="minorHAnsi" w:hAnsi="Times New Roman" w:cs="Times New Roman"/>
          <w:b w:val="0"/>
          <w:bCs w:val="0"/>
          <w:color w:val="auto"/>
          <w:sz w:val="22"/>
          <w:szCs w:val="22"/>
          <w:lang w:eastAsia="en-US"/>
        </w:rPr>
        <w:id w:val="-1992007286"/>
        <w:docPartObj>
          <w:docPartGallery w:val="Table of Contents"/>
          <w:docPartUnique/>
        </w:docPartObj>
      </w:sdtPr>
      <w:sdtEndPr>
        <w:rPr>
          <w:noProof/>
        </w:rPr>
      </w:sdtEndPr>
      <w:sdtContent>
        <w:p w14:paraId="5274E44E" w14:textId="6A8D61E6" w:rsidR="00F066C7" w:rsidRDefault="000C3216" w:rsidP="00316000">
          <w:pPr>
            <w:pStyle w:val="TOCHeading"/>
            <w:jc w:val="center"/>
            <w:rPr>
              <w:rFonts w:ascii="Times New Roman" w:hAnsi="Times New Roman" w:cs="Times New Roman"/>
              <w:color w:val="auto"/>
              <w:sz w:val="24"/>
              <w:szCs w:val="24"/>
            </w:rPr>
          </w:pPr>
          <w:r w:rsidRPr="00F066C7">
            <w:rPr>
              <w:rFonts w:ascii="Times New Roman" w:hAnsi="Times New Roman" w:cs="Times New Roman"/>
              <w:color w:val="auto"/>
              <w:sz w:val="24"/>
              <w:szCs w:val="24"/>
            </w:rPr>
            <w:t>Table of Contents</w:t>
          </w:r>
        </w:p>
        <w:p w14:paraId="5B36161F" w14:textId="77777777" w:rsidR="00316000" w:rsidRPr="00316000" w:rsidRDefault="00316000" w:rsidP="00316000">
          <w:pPr>
            <w:rPr>
              <w:lang w:eastAsia="ja-JP"/>
            </w:rPr>
          </w:pPr>
        </w:p>
        <w:p w14:paraId="3D0F7599" w14:textId="77777777" w:rsidR="0038463A" w:rsidRDefault="000C3216">
          <w:pPr>
            <w:pStyle w:val="TOC1"/>
            <w:tabs>
              <w:tab w:val="right" w:leader="dot" w:pos="9350"/>
            </w:tabs>
            <w:rPr>
              <w:rFonts w:asciiTheme="minorHAnsi" w:eastAsiaTheme="minorEastAsia" w:hAnsiTheme="minorHAnsi" w:cstheme="minorBidi"/>
              <w:noProof/>
            </w:rPr>
          </w:pPr>
          <w:r w:rsidRPr="000C3216">
            <w:fldChar w:fldCharType="begin"/>
          </w:r>
          <w:r w:rsidRPr="000C3216">
            <w:instrText xml:space="preserve"> TOC \o "1-3" \h \z \u </w:instrText>
          </w:r>
          <w:r w:rsidRPr="000C3216">
            <w:fldChar w:fldCharType="separate"/>
          </w:r>
          <w:hyperlink w:anchor="_Toc382921528" w:history="1">
            <w:r w:rsidR="0038463A" w:rsidRPr="004766AF">
              <w:rPr>
                <w:rStyle w:val="Hyperlink"/>
                <w:noProof/>
              </w:rPr>
              <w:t>I.    Background</w:t>
            </w:r>
            <w:r w:rsidR="0038463A">
              <w:rPr>
                <w:noProof/>
                <w:webHidden/>
              </w:rPr>
              <w:tab/>
            </w:r>
            <w:r w:rsidR="0038463A">
              <w:rPr>
                <w:noProof/>
                <w:webHidden/>
              </w:rPr>
              <w:fldChar w:fldCharType="begin"/>
            </w:r>
            <w:r w:rsidR="0038463A">
              <w:rPr>
                <w:noProof/>
                <w:webHidden/>
              </w:rPr>
              <w:instrText xml:space="preserve"> PAGEREF _Toc382921528 \h </w:instrText>
            </w:r>
            <w:r w:rsidR="0038463A">
              <w:rPr>
                <w:noProof/>
                <w:webHidden/>
              </w:rPr>
            </w:r>
            <w:r w:rsidR="0038463A">
              <w:rPr>
                <w:noProof/>
                <w:webHidden/>
              </w:rPr>
              <w:fldChar w:fldCharType="separate"/>
            </w:r>
            <w:r w:rsidR="001C5EC1">
              <w:rPr>
                <w:noProof/>
                <w:webHidden/>
              </w:rPr>
              <w:t>1</w:t>
            </w:r>
            <w:r w:rsidR="0038463A">
              <w:rPr>
                <w:noProof/>
                <w:webHidden/>
              </w:rPr>
              <w:fldChar w:fldCharType="end"/>
            </w:r>
          </w:hyperlink>
        </w:p>
        <w:p w14:paraId="151F4055" w14:textId="77777777" w:rsidR="0038463A" w:rsidRDefault="001C5EC1">
          <w:pPr>
            <w:pStyle w:val="TOC2"/>
            <w:tabs>
              <w:tab w:val="right" w:leader="dot" w:pos="9350"/>
            </w:tabs>
            <w:rPr>
              <w:rFonts w:asciiTheme="minorHAnsi" w:eastAsiaTheme="minorEastAsia" w:hAnsiTheme="minorHAnsi" w:cstheme="minorBidi"/>
              <w:noProof/>
            </w:rPr>
          </w:pPr>
          <w:hyperlink w:anchor="_Toc382921529" w:history="1">
            <w:r w:rsidR="0038463A" w:rsidRPr="004766AF">
              <w:rPr>
                <w:rStyle w:val="Hyperlink"/>
                <w:noProof/>
              </w:rPr>
              <w:t>A.    Reactor History</w:t>
            </w:r>
            <w:r w:rsidR="0038463A">
              <w:rPr>
                <w:noProof/>
                <w:webHidden/>
              </w:rPr>
              <w:tab/>
            </w:r>
            <w:r w:rsidR="0038463A">
              <w:rPr>
                <w:noProof/>
                <w:webHidden/>
              </w:rPr>
              <w:fldChar w:fldCharType="begin"/>
            </w:r>
            <w:r w:rsidR="0038463A">
              <w:rPr>
                <w:noProof/>
                <w:webHidden/>
              </w:rPr>
              <w:instrText xml:space="preserve"> PAGEREF _Toc382921529 \h </w:instrText>
            </w:r>
            <w:r w:rsidR="0038463A">
              <w:rPr>
                <w:noProof/>
                <w:webHidden/>
              </w:rPr>
            </w:r>
            <w:r w:rsidR="0038463A">
              <w:rPr>
                <w:noProof/>
                <w:webHidden/>
              </w:rPr>
              <w:fldChar w:fldCharType="separate"/>
            </w:r>
            <w:r>
              <w:rPr>
                <w:noProof/>
                <w:webHidden/>
              </w:rPr>
              <w:t>1</w:t>
            </w:r>
            <w:r w:rsidR="0038463A">
              <w:rPr>
                <w:noProof/>
                <w:webHidden/>
              </w:rPr>
              <w:fldChar w:fldCharType="end"/>
            </w:r>
          </w:hyperlink>
        </w:p>
        <w:p w14:paraId="6AF3B6DF" w14:textId="77777777" w:rsidR="0038463A" w:rsidRDefault="001C5EC1">
          <w:pPr>
            <w:pStyle w:val="TOC2"/>
            <w:tabs>
              <w:tab w:val="right" w:leader="dot" w:pos="9350"/>
            </w:tabs>
            <w:rPr>
              <w:rFonts w:asciiTheme="minorHAnsi" w:eastAsiaTheme="minorEastAsia" w:hAnsiTheme="minorHAnsi" w:cstheme="minorBidi"/>
              <w:noProof/>
            </w:rPr>
          </w:pPr>
          <w:hyperlink w:anchor="_Toc382921530" w:history="1">
            <w:r w:rsidR="0038463A" w:rsidRPr="004766AF">
              <w:rPr>
                <w:rStyle w:val="Hyperlink"/>
                <w:noProof/>
              </w:rPr>
              <w:t>B.    Design Overview</w:t>
            </w:r>
            <w:r w:rsidR="0038463A">
              <w:rPr>
                <w:noProof/>
                <w:webHidden/>
              </w:rPr>
              <w:tab/>
            </w:r>
            <w:r w:rsidR="0038463A">
              <w:rPr>
                <w:noProof/>
                <w:webHidden/>
              </w:rPr>
              <w:fldChar w:fldCharType="begin"/>
            </w:r>
            <w:r w:rsidR="0038463A">
              <w:rPr>
                <w:noProof/>
                <w:webHidden/>
              </w:rPr>
              <w:instrText xml:space="preserve"> PAGEREF _Toc382921530 \h </w:instrText>
            </w:r>
            <w:r w:rsidR="0038463A">
              <w:rPr>
                <w:noProof/>
                <w:webHidden/>
              </w:rPr>
            </w:r>
            <w:r w:rsidR="0038463A">
              <w:rPr>
                <w:noProof/>
                <w:webHidden/>
              </w:rPr>
              <w:fldChar w:fldCharType="separate"/>
            </w:r>
            <w:r>
              <w:rPr>
                <w:noProof/>
                <w:webHidden/>
              </w:rPr>
              <w:t>1</w:t>
            </w:r>
            <w:r w:rsidR="0038463A">
              <w:rPr>
                <w:noProof/>
                <w:webHidden/>
              </w:rPr>
              <w:fldChar w:fldCharType="end"/>
            </w:r>
          </w:hyperlink>
        </w:p>
        <w:p w14:paraId="22BB797B" w14:textId="77777777" w:rsidR="0038463A" w:rsidRDefault="001C5EC1">
          <w:pPr>
            <w:pStyle w:val="TOC1"/>
            <w:tabs>
              <w:tab w:val="right" w:leader="dot" w:pos="9350"/>
            </w:tabs>
            <w:rPr>
              <w:rFonts w:asciiTheme="minorHAnsi" w:eastAsiaTheme="minorEastAsia" w:hAnsiTheme="minorHAnsi" w:cstheme="minorBidi"/>
              <w:noProof/>
            </w:rPr>
          </w:pPr>
          <w:hyperlink w:anchor="_Toc382921531" w:history="1">
            <w:r w:rsidR="0038463A" w:rsidRPr="004766AF">
              <w:rPr>
                <w:rStyle w:val="Hyperlink"/>
                <w:noProof/>
              </w:rPr>
              <w:t>II.    Motivation</w:t>
            </w:r>
            <w:r w:rsidR="0038463A">
              <w:rPr>
                <w:noProof/>
                <w:webHidden/>
              </w:rPr>
              <w:tab/>
            </w:r>
            <w:r w:rsidR="0038463A">
              <w:rPr>
                <w:noProof/>
                <w:webHidden/>
              </w:rPr>
              <w:fldChar w:fldCharType="begin"/>
            </w:r>
            <w:r w:rsidR="0038463A">
              <w:rPr>
                <w:noProof/>
                <w:webHidden/>
              </w:rPr>
              <w:instrText xml:space="preserve"> PAGEREF _Toc382921531 \h </w:instrText>
            </w:r>
            <w:r w:rsidR="0038463A">
              <w:rPr>
                <w:noProof/>
                <w:webHidden/>
              </w:rPr>
            </w:r>
            <w:r w:rsidR="0038463A">
              <w:rPr>
                <w:noProof/>
                <w:webHidden/>
              </w:rPr>
              <w:fldChar w:fldCharType="separate"/>
            </w:r>
            <w:r>
              <w:rPr>
                <w:noProof/>
                <w:webHidden/>
              </w:rPr>
              <w:t>4</w:t>
            </w:r>
            <w:r w:rsidR="0038463A">
              <w:rPr>
                <w:noProof/>
                <w:webHidden/>
              </w:rPr>
              <w:fldChar w:fldCharType="end"/>
            </w:r>
          </w:hyperlink>
        </w:p>
        <w:p w14:paraId="0D302FE4" w14:textId="77777777" w:rsidR="0038463A" w:rsidRDefault="001C5EC1">
          <w:pPr>
            <w:pStyle w:val="TOC2"/>
            <w:tabs>
              <w:tab w:val="right" w:leader="dot" w:pos="9350"/>
            </w:tabs>
            <w:rPr>
              <w:rFonts w:asciiTheme="minorHAnsi" w:eastAsiaTheme="minorEastAsia" w:hAnsiTheme="minorHAnsi" w:cstheme="minorBidi"/>
              <w:noProof/>
            </w:rPr>
          </w:pPr>
          <w:hyperlink w:anchor="_Toc382921532" w:history="1">
            <w:r w:rsidR="0038463A" w:rsidRPr="004766AF">
              <w:rPr>
                <w:rStyle w:val="Hyperlink"/>
                <w:noProof/>
              </w:rPr>
              <w:t>A.    Global Threat Reduction Initiative</w:t>
            </w:r>
            <w:r w:rsidR="0038463A">
              <w:rPr>
                <w:noProof/>
                <w:webHidden/>
              </w:rPr>
              <w:tab/>
            </w:r>
            <w:r w:rsidR="0038463A">
              <w:rPr>
                <w:noProof/>
                <w:webHidden/>
              </w:rPr>
              <w:fldChar w:fldCharType="begin"/>
            </w:r>
            <w:r w:rsidR="0038463A">
              <w:rPr>
                <w:noProof/>
                <w:webHidden/>
              </w:rPr>
              <w:instrText xml:space="preserve"> PAGEREF _Toc382921532 \h </w:instrText>
            </w:r>
            <w:r w:rsidR="0038463A">
              <w:rPr>
                <w:noProof/>
                <w:webHidden/>
              </w:rPr>
            </w:r>
            <w:r w:rsidR="0038463A">
              <w:rPr>
                <w:noProof/>
                <w:webHidden/>
              </w:rPr>
              <w:fldChar w:fldCharType="separate"/>
            </w:r>
            <w:r>
              <w:rPr>
                <w:noProof/>
                <w:webHidden/>
              </w:rPr>
              <w:t>4</w:t>
            </w:r>
            <w:r w:rsidR="0038463A">
              <w:rPr>
                <w:noProof/>
                <w:webHidden/>
              </w:rPr>
              <w:fldChar w:fldCharType="end"/>
            </w:r>
          </w:hyperlink>
        </w:p>
        <w:p w14:paraId="0CA9E6E4" w14:textId="77777777" w:rsidR="0038463A" w:rsidRDefault="001C5EC1">
          <w:pPr>
            <w:pStyle w:val="TOC2"/>
            <w:tabs>
              <w:tab w:val="right" w:leader="dot" w:pos="9350"/>
            </w:tabs>
            <w:rPr>
              <w:rFonts w:asciiTheme="minorHAnsi" w:eastAsiaTheme="minorEastAsia" w:hAnsiTheme="minorHAnsi" w:cstheme="minorBidi"/>
              <w:noProof/>
            </w:rPr>
          </w:pPr>
          <w:hyperlink w:anchor="_Toc382921533" w:history="1">
            <w:r w:rsidR="0038463A" w:rsidRPr="004766AF">
              <w:rPr>
                <w:rStyle w:val="Hyperlink"/>
                <w:noProof/>
              </w:rPr>
              <w:t>B.    Goals of the Coupled Model</w:t>
            </w:r>
            <w:r w:rsidR="0038463A">
              <w:rPr>
                <w:noProof/>
                <w:webHidden/>
              </w:rPr>
              <w:tab/>
            </w:r>
            <w:r w:rsidR="0038463A">
              <w:rPr>
                <w:noProof/>
                <w:webHidden/>
              </w:rPr>
              <w:fldChar w:fldCharType="begin"/>
            </w:r>
            <w:r w:rsidR="0038463A">
              <w:rPr>
                <w:noProof/>
                <w:webHidden/>
              </w:rPr>
              <w:instrText xml:space="preserve"> PAGEREF _Toc382921533 \h </w:instrText>
            </w:r>
            <w:r w:rsidR="0038463A">
              <w:rPr>
                <w:noProof/>
                <w:webHidden/>
              </w:rPr>
            </w:r>
            <w:r w:rsidR="0038463A">
              <w:rPr>
                <w:noProof/>
                <w:webHidden/>
              </w:rPr>
              <w:fldChar w:fldCharType="separate"/>
            </w:r>
            <w:r>
              <w:rPr>
                <w:noProof/>
                <w:webHidden/>
              </w:rPr>
              <w:t>5</w:t>
            </w:r>
            <w:r w:rsidR="0038463A">
              <w:rPr>
                <w:noProof/>
                <w:webHidden/>
              </w:rPr>
              <w:fldChar w:fldCharType="end"/>
            </w:r>
          </w:hyperlink>
        </w:p>
        <w:p w14:paraId="6D0B80FB" w14:textId="77777777" w:rsidR="0038463A" w:rsidRDefault="001C5EC1">
          <w:pPr>
            <w:pStyle w:val="TOC2"/>
            <w:tabs>
              <w:tab w:val="right" w:leader="dot" w:pos="9350"/>
            </w:tabs>
            <w:rPr>
              <w:rFonts w:asciiTheme="minorHAnsi" w:eastAsiaTheme="minorEastAsia" w:hAnsiTheme="minorHAnsi" w:cstheme="minorBidi"/>
              <w:noProof/>
            </w:rPr>
          </w:pPr>
          <w:hyperlink w:anchor="_Toc382921534" w:history="1">
            <w:r w:rsidR="0038463A" w:rsidRPr="004766AF">
              <w:rPr>
                <w:rStyle w:val="Hyperlink"/>
                <w:noProof/>
              </w:rPr>
              <w:t>C.    Previous Implementations of Interdimensional Coupling</w:t>
            </w:r>
            <w:r w:rsidR="0038463A">
              <w:rPr>
                <w:noProof/>
                <w:webHidden/>
              </w:rPr>
              <w:tab/>
            </w:r>
            <w:r w:rsidR="0038463A">
              <w:rPr>
                <w:noProof/>
                <w:webHidden/>
              </w:rPr>
              <w:fldChar w:fldCharType="begin"/>
            </w:r>
            <w:r w:rsidR="0038463A">
              <w:rPr>
                <w:noProof/>
                <w:webHidden/>
              </w:rPr>
              <w:instrText xml:space="preserve"> PAGEREF _Toc382921534 \h </w:instrText>
            </w:r>
            <w:r w:rsidR="0038463A">
              <w:rPr>
                <w:noProof/>
                <w:webHidden/>
              </w:rPr>
            </w:r>
            <w:r w:rsidR="0038463A">
              <w:rPr>
                <w:noProof/>
                <w:webHidden/>
              </w:rPr>
              <w:fldChar w:fldCharType="separate"/>
            </w:r>
            <w:r>
              <w:rPr>
                <w:noProof/>
                <w:webHidden/>
              </w:rPr>
              <w:t>6</w:t>
            </w:r>
            <w:r w:rsidR="0038463A">
              <w:rPr>
                <w:noProof/>
                <w:webHidden/>
              </w:rPr>
              <w:fldChar w:fldCharType="end"/>
            </w:r>
          </w:hyperlink>
        </w:p>
        <w:p w14:paraId="6D601A50" w14:textId="77777777" w:rsidR="0038463A" w:rsidRDefault="001C5EC1">
          <w:pPr>
            <w:pStyle w:val="TOC2"/>
            <w:tabs>
              <w:tab w:val="right" w:leader="dot" w:pos="9350"/>
            </w:tabs>
            <w:rPr>
              <w:rFonts w:asciiTheme="minorHAnsi" w:eastAsiaTheme="minorEastAsia" w:hAnsiTheme="minorHAnsi" w:cstheme="minorBidi"/>
              <w:noProof/>
            </w:rPr>
          </w:pPr>
          <w:hyperlink w:anchor="_Toc382921535" w:history="1">
            <w:r w:rsidR="0038463A" w:rsidRPr="004766AF">
              <w:rPr>
                <w:rStyle w:val="Hyperlink"/>
                <w:noProof/>
              </w:rPr>
              <w:t>D.    Past Uses of CFD in Reactor Core Modeling</w:t>
            </w:r>
            <w:r w:rsidR="0038463A">
              <w:rPr>
                <w:noProof/>
                <w:webHidden/>
              </w:rPr>
              <w:tab/>
            </w:r>
            <w:r w:rsidR="0038463A">
              <w:rPr>
                <w:noProof/>
                <w:webHidden/>
              </w:rPr>
              <w:fldChar w:fldCharType="begin"/>
            </w:r>
            <w:r w:rsidR="0038463A">
              <w:rPr>
                <w:noProof/>
                <w:webHidden/>
              </w:rPr>
              <w:instrText xml:space="preserve"> PAGEREF _Toc382921535 \h </w:instrText>
            </w:r>
            <w:r w:rsidR="0038463A">
              <w:rPr>
                <w:noProof/>
                <w:webHidden/>
              </w:rPr>
            </w:r>
            <w:r w:rsidR="0038463A">
              <w:rPr>
                <w:noProof/>
                <w:webHidden/>
              </w:rPr>
              <w:fldChar w:fldCharType="separate"/>
            </w:r>
            <w:r>
              <w:rPr>
                <w:noProof/>
                <w:webHidden/>
              </w:rPr>
              <w:t>7</w:t>
            </w:r>
            <w:r w:rsidR="0038463A">
              <w:rPr>
                <w:noProof/>
                <w:webHidden/>
              </w:rPr>
              <w:fldChar w:fldCharType="end"/>
            </w:r>
          </w:hyperlink>
        </w:p>
        <w:p w14:paraId="1ADE55F1" w14:textId="77777777" w:rsidR="0038463A" w:rsidRDefault="001C5EC1">
          <w:pPr>
            <w:pStyle w:val="TOC1"/>
            <w:tabs>
              <w:tab w:val="right" w:leader="dot" w:pos="9350"/>
            </w:tabs>
            <w:rPr>
              <w:rFonts w:asciiTheme="minorHAnsi" w:eastAsiaTheme="minorEastAsia" w:hAnsiTheme="minorHAnsi" w:cstheme="minorBidi"/>
              <w:noProof/>
            </w:rPr>
          </w:pPr>
          <w:hyperlink w:anchor="_Toc382921536" w:history="1">
            <w:r w:rsidR="0038463A" w:rsidRPr="004766AF">
              <w:rPr>
                <w:rStyle w:val="Hyperlink"/>
                <w:noProof/>
              </w:rPr>
              <w:t>III.    The Involute</w:t>
            </w:r>
            <w:r w:rsidR="0038463A">
              <w:rPr>
                <w:noProof/>
                <w:webHidden/>
              </w:rPr>
              <w:tab/>
            </w:r>
            <w:r w:rsidR="0038463A">
              <w:rPr>
                <w:noProof/>
                <w:webHidden/>
              </w:rPr>
              <w:fldChar w:fldCharType="begin"/>
            </w:r>
            <w:r w:rsidR="0038463A">
              <w:rPr>
                <w:noProof/>
                <w:webHidden/>
              </w:rPr>
              <w:instrText xml:space="preserve"> PAGEREF _Toc382921536 \h </w:instrText>
            </w:r>
            <w:r w:rsidR="0038463A">
              <w:rPr>
                <w:noProof/>
                <w:webHidden/>
              </w:rPr>
            </w:r>
            <w:r w:rsidR="0038463A">
              <w:rPr>
                <w:noProof/>
                <w:webHidden/>
              </w:rPr>
              <w:fldChar w:fldCharType="separate"/>
            </w:r>
            <w:r>
              <w:rPr>
                <w:noProof/>
                <w:webHidden/>
              </w:rPr>
              <w:t>10</w:t>
            </w:r>
            <w:r w:rsidR="0038463A">
              <w:rPr>
                <w:noProof/>
                <w:webHidden/>
              </w:rPr>
              <w:fldChar w:fldCharType="end"/>
            </w:r>
          </w:hyperlink>
        </w:p>
        <w:p w14:paraId="5E93C129" w14:textId="77777777" w:rsidR="0038463A" w:rsidRDefault="001C5EC1">
          <w:pPr>
            <w:pStyle w:val="TOC2"/>
            <w:tabs>
              <w:tab w:val="right" w:leader="dot" w:pos="9350"/>
            </w:tabs>
            <w:rPr>
              <w:rFonts w:asciiTheme="minorHAnsi" w:eastAsiaTheme="minorEastAsia" w:hAnsiTheme="minorHAnsi" w:cstheme="minorBidi"/>
              <w:noProof/>
            </w:rPr>
          </w:pPr>
          <w:hyperlink w:anchor="_Toc382921537" w:history="1">
            <w:r w:rsidR="0038463A" w:rsidRPr="004766AF">
              <w:rPr>
                <w:rStyle w:val="Hyperlink"/>
                <w:noProof/>
              </w:rPr>
              <w:t>A.    The Basic Involute</w:t>
            </w:r>
            <w:r w:rsidR="0038463A">
              <w:rPr>
                <w:noProof/>
                <w:webHidden/>
              </w:rPr>
              <w:tab/>
            </w:r>
            <w:r w:rsidR="0038463A">
              <w:rPr>
                <w:noProof/>
                <w:webHidden/>
              </w:rPr>
              <w:fldChar w:fldCharType="begin"/>
            </w:r>
            <w:r w:rsidR="0038463A">
              <w:rPr>
                <w:noProof/>
                <w:webHidden/>
              </w:rPr>
              <w:instrText xml:space="preserve"> PAGEREF _Toc382921537 \h </w:instrText>
            </w:r>
            <w:r w:rsidR="0038463A">
              <w:rPr>
                <w:noProof/>
                <w:webHidden/>
              </w:rPr>
            </w:r>
            <w:r w:rsidR="0038463A">
              <w:rPr>
                <w:noProof/>
                <w:webHidden/>
              </w:rPr>
              <w:fldChar w:fldCharType="separate"/>
            </w:r>
            <w:r>
              <w:rPr>
                <w:noProof/>
                <w:webHidden/>
              </w:rPr>
              <w:t>10</w:t>
            </w:r>
            <w:r w:rsidR="0038463A">
              <w:rPr>
                <w:noProof/>
                <w:webHidden/>
              </w:rPr>
              <w:fldChar w:fldCharType="end"/>
            </w:r>
          </w:hyperlink>
        </w:p>
        <w:p w14:paraId="65662E17" w14:textId="77777777" w:rsidR="0038463A" w:rsidRDefault="001C5EC1">
          <w:pPr>
            <w:pStyle w:val="TOC2"/>
            <w:tabs>
              <w:tab w:val="right" w:leader="dot" w:pos="9350"/>
            </w:tabs>
            <w:rPr>
              <w:rFonts w:asciiTheme="minorHAnsi" w:eastAsiaTheme="minorEastAsia" w:hAnsiTheme="minorHAnsi" w:cstheme="minorBidi"/>
              <w:noProof/>
            </w:rPr>
          </w:pPr>
          <w:hyperlink w:anchor="_Toc382921538" w:history="1">
            <w:r w:rsidR="0038463A" w:rsidRPr="004766AF">
              <w:rPr>
                <w:rStyle w:val="Hyperlink"/>
                <w:noProof/>
              </w:rPr>
              <w:t>B.    Select Alterations to the Basic Involute:</w:t>
            </w:r>
            <w:r w:rsidR="0038463A">
              <w:rPr>
                <w:noProof/>
                <w:webHidden/>
              </w:rPr>
              <w:tab/>
            </w:r>
            <w:r w:rsidR="0038463A">
              <w:rPr>
                <w:noProof/>
                <w:webHidden/>
              </w:rPr>
              <w:fldChar w:fldCharType="begin"/>
            </w:r>
            <w:r w:rsidR="0038463A">
              <w:rPr>
                <w:noProof/>
                <w:webHidden/>
              </w:rPr>
              <w:instrText xml:space="preserve"> PAGEREF _Toc382921538 \h </w:instrText>
            </w:r>
            <w:r w:rsidR="0038463A">
              <w:rPr>
                <w:noProof/>
                <w:webHidden/>
              </w:rPr>
            </w:r>
            <w:r w:rsidR="0038463A">
              <w:rPr>
                <w:noProof/>
                <w:webHidden/>
              </w:rPr>
              <w:fldChar w:fldCharType="separate"/>
            </w:r>
            <w:r>
              <w:rPr>
                <w:noProof/>
                <w:webHidden/>
              </w:rPr>
              <w:t>17</w:t>
            </w:r>
            <w:r w:rsidR="0038463A">
              <w:rPr>
                <w:noProof/>
                <w:webHidden/>
              </w:rPr>
              <w:fldChar w:fldCharType="end"/>
            </w:r>
          </w:hyperlink>
        </w:p>
        <w:p w14:paraId="1C030D49" w14:textId="77777777" w:rsidR="0038463A" w:rsidRDefault="001C5EC1">
          <w:pPr>
            <w:pStyle w:val="TOC2"/>
            <w:tabs>
              <w:tab w:val="right" w:leader="dot" w:pos="9350"/>
            </w:tabs>
            <w:rPr>
              <w:rFonts w:asciiTheme="minorHAnsi" w:eastAsiaTheme="minorEastAsia" w:hAnsiTheme="minorHAnsi" w:cstheme="minorBidi"/>
              <w:noProof/>
            </w:rPr>
          </w:pPr>
          <w:hyperlink w:anchor="_Toc382921539" w:history="1">
            <w:r w:rsidR="0038463A" w:rsidRPr="004766AF">
              <w:rPr>
                <w:rStyle w:val="Hyperlink"/>
                <w:noProof/>
              </w:rPr>
              <w:t>C.    Geometry Creation</w:t>
            </w:r>
            <w:r w:rsidR="0038463A">
              <w:rPr>
                <w:noProof/>
                <w:webHidden/>
              </w:rPr>
              <w:tab/>
            </w:r>
            <w:r w:rsidR="0038463A">
              <w:rPr>
                <w:noProof/>
                <w:webHidden/>
              </w:rPr>
              <w:fldChar w:fldCharType="begin"/>
            </w:r>
            <w:r w:rsidR="0038463A">
              <w:rPr>
                <w:noProof/>
                <w:webHidden/>
              </w:rPr>
              <w:instrText xml:space="preserve"> PAGEREF _Toc382921539 \h </w:instrText>
            </w:r>
            <w:r w:rsidR="0038463A">
              <w:rPr>
                <w:noProof/>
                <w:webHidden/>
              </w:rPr>
            </w:r>
            <w:r w:rsidR="0038463A">
              <w:rPr>
                <w:noProof/>
                <w:webHidden/>
              </w:rPr>
              <w:fldChar w:fldCharType="separate"/>
            </w:r>
            <w:r>
              <w:rPr>
                <w:noProof/>
                <w:webHidden/>
              </w:rPr>
              <w:t>25</w:t>
            </w:r>
            <w:r w:rsidR="0038463A">
              <w:rPr>
                <w:noProof/>
                <w:webHidden/>
              </w:rPr>
              <w:fldChar w:fldCharType="end"/>
            </w:r>
          </w:hyperlink>
        </w:p>
        <w:p w14:paraId="3C2176B2" w14:textId="77777777" w:rsidR="0038463A" w:rsidRDefault="001C5EC1">
          <w:pPr>
            <w:pStyle w:val="TOC1"/>
            <w:tabs>
              <w:tab w:val="right" w:leader="dot" w:pos="9350"/>
            </w:tabs>
            <w:rPr>
              <w:rFonts w:asciiTheme="minorHAnsi" w:eastAsiaTheme="minorEastAsia" w:hAnsiTheme="minorHAnsi" w:cstheme="minorBidi"/>
              <w:noProof/>
            </w:rPr>
          </w:pPr>
          <w:hyperlink w:anchor="_Toc382921540" w:history="1">
            <w:r w:rsidR="0038463A" w:rsidRPr="004766AF">
              <w:rPr>
                <w:rStyle w:val="Hyperlink"/>
                <w:noProof/>
              </w:rPr>
              <w:t>IV.    COMSOL Overview</w:t>
            </w:r>
            <w:r w:rsidR="0038463A">
              <w:rPr>
                <w:noProof/>
                <w:webHidden/>
              </w:rPr>
              <w:tab/>
            </w:r>
            <w:r w:rsidR="0038463A">
              <w:rPr>
                <w:noProof/>
                <w:webHidden/>
              </w:rPr>
              <w:fldChar w:fldCharType="begin"/>
            </w:r>
            <w:r w:rsidR="0038463A">
              <w:rPr>
                <w:noProof/>
                <w:webHidden/>
              </w:rPr>
              <w:instrText xml:space="preserve"> PAGEREF _Toc382921540 \h </w:instrText>
            </w:r>
            <w:r w:rsidR="0038463A">
              <w:rPr>
                <w:noProof/>
                <w:webHidden/>
              </w:rPr>
            </w:r>
            <w:r w:rsidR="0038463A">
              <w:rPr>
                <w:noProof/>
                <w:webHidden/>
              </w:rPr>
              <w:fldChar w:fldCharType="separate"/>
            </w:r>
            <w:r>
              <w:rPr>
                <w:noProof/>
                <w:webHidden/>
              </w:rPr>
              <w:t>32</w:t>
            </w:r>
            <w:r w:rsidR="0038463A">
              <w:rPr>
                <w:noProof/>
                <w:webHidden/>
              </w:rPr>
              <w:fldChar w:fldCharType="end"/>
            </w:r>
          </w:hyperlink>
        </w:p>
        <w:p w14:paraId="6AD367F3" w14:textId="77777777" w:rsidR="0038463A" w:rsidRDefault="001C5EC1">
          <w:pPr>
            <w:pStyle w:val="TOC1"/>
            <w:tabs>
              <w:tab w:val="right" w:leader="dot" w:pos="9350"/>
            </w:tabs>
            <w:rPr>
              <w:rFonts w:asciiTheme="minorHAnsi" w:eastAsiaTheme="minorEastAsia" w:hAnsiTheme="minorHAnsi" w:cstheme="minorBidi"/>
              <w:noProof/>
            </w:rPr>
          </w:pPr>
          <w:hyperlink w:anchor="_Toc382921541" w:history="1">
            <w:r w:rsidR="0038463A" w:rsidRPr="004766AF">
              <w:rPr>
                <w:rStyle w:val="Hyperlink"/>
                <w:noProof/>
              </w:rPr>
              <w:t>V.    3D Model</w:t>
            </w:r>
            <w:r w:rsidR="0038463A">
              <w:rPr>
                <w:noProof/>
                <w:webHidden/>
              </w:rPr>
              <w:tab/>
            </w:r>
            <w:r w:rsidR="0038463A">
              <w:rPr>
                <w:noProof/>
                <w:webHidden/>
              </w:rPr>
              <w:fldChar w:fldCharType="begin"/>
            </w:r>
            <w:r w:rsidR="0038463A">
              <w:rPr>
                <w:noProof/>
                <w:webHidden/>
              </w:rPr>
              <w:instrText xml:space="preserve"> PAGEREF _Toc382921541 \h </w:instrText>
            </w:r>
            <w:r w:rsidR="0038463A">
              <w:rPr>
                <w:noProof/>
                <w:webHidden/>
              </w:rPr>
            </w:r>
            <w:r w:rsidR="0038463A">
              <w:rPr>
                <w:noProof/>
                <w:webHidden/>
              </w:rPr>
              <w:fldChar w:fldCharType="separate"/>
            </w:r>
            <w:r>
              <w:rPr>
                <w:noProof/>
                <w:webHidden/>
              </w:rPr>
              <w:t>35</w:t>
            </w:r>
            <w:r w:rsidR="0038463A">
              <w:rPr>
                <w:noProof/>
                <w:webHidden/>
              </w:rPr>
              <w:fldChar w:fldCharType="end"/>
            </w:r>
          </w:hyperlink>
        </w:p>
        <w:p w14:paraId="4B47B496" w14:textId="77777777" w:rsidR="0038463A" w:rsidRDefault="001C5EC1">
          <w:pPr>
            <w:pStyle w:val="TOC2"/>
            <w:tabs>
              <w:tab w:val="right" w:leader="dot" w:pos="9350"/>
            </w:tabs>
            <w:rPr>
              <w:rFonts w:asciiTheme="minorHAnsi" w:eastAsiaTheme="minorEastAsia" w:hAnsiTheme="minorHAnsi" w:cstheme="minorBidi"/>
              <w:noProof/>
            </w:rPr>
          </w:pPr>
          <w:hyperlink w:anchor="_Toc382921542" w:history="1">
            <w:r w:rsidR="0038463A" w:rsidRPr="004766AF">
              <w:rPr>
                <w:rStyle w:val="Hyperlink"/>
                <w:noProof/>
              </w:rPr>
              <w:t>A.    Construction</w:t>
            </w:r>
            <w:r w:rsidR="0038463A">
              <w:rPr>
                <w:noProof/>
                <w:webHidden/>
              </w:rPr>
              <w:tab/>
            </w:r>
            <w:r w:rsidR="0038463A">
              <w:rPr>
                <w:noProof/>
                <w:webHidden/>
              </w:rPr>
              <w:fldChar w:fldCharType="begin"/>
            </w:r>
            <w:r w:rsidR="0038463A">
              <w:rPr>
                <w:noProof/>
                <w:webHidden/>
              </w:rPr>
              <w:instrText xml:space="preserve"> PAGEREF _Toc382921542 \h </w:instrText>
            </w:r>
            <w:r w:rsidR="0038463A">
              <w:rPr>
                <w:noProof/>
                <w:webHidden/>
              </w:rPr>
            </w:r>
            <w:r w:rsidR="0038463A">
              <w:rPr>
                <w:noProof/>
                <w:webHidden/>
              </w:rPr>
              <w:fldChar w:fldCharType="separate"/>
            </w:r>
            <w:r>
              <w:rPr>
                <w:noProof/>
                <w:webHidden/>
              </w:rPr>
              <w:t>35</w:t>
            </w:r>
            <w:r w:rsidR="0038463A">
              <w:rPr>
                <w:noProof/>
                <w:webHidden/>
              </w:rPr>
              <w:fldChar w:fldCharType="end"/>
            </w:r>
          </w:hyperlink>
        </w:p>
        <w:p w14:paraId="18E7BA22" w14:textId="77777777" w:rsidR="0038463A" w:rsidRDefault="001C5EC1">
          <w:pPr>
            <w:pStyle w:val="TOC2"/>
            <w:tabs>
              <w:tab w:val="right" w:leader="dot" w:pos="9350"/>
            </w:tabs>
            <w:rPr>
              <w:rFonts w:asciiTheme="minorHAnsi" w:eastAsiaTheme="minorEastAsia" w:hAnsiTheme="minorHAnsi" w:cstheme="minorBidi"/>
              <w:noProof/>
            </w:rPr>
          </w:pPr>
          <w:hyperlink w:anchor="_Toc382921543" w:history="1">
            <w:r w:rsidR="0038463A" w:rsidRPr="004766AF">
              <w:rPr>
                <w:rStyle w:val="Hyperlink"/>
                <w:noProof/>
              </w:rPr>
              <w:t>B.    Inputs</w:t>
            </w:r>
            <w:r w:rsidR="0038463A">
              <w:rPr>
                <w:noProof/>
                <w:webHidden/>
              </w:rPr>
              <w:tab/>
            </w:r>
            <w:r w:rsidR="0038463A">
              <w:rPr>
                <w:noProof/>
                <w:webHidden/>
              </w:rPr>
              <w:fldChar w:fldCharType="begin"/>
            </w:r>
            <w:r w:rsidR="0038463A">
              <w:rPr>
                <w:noProof/>
                <w:webHidden/>
              </w:rPr>
              <w:instrText xml:space="preserve"> PAGEREF _Toc382921543 \h </w:instrText>
            </w:r>
            <w:r w:rsidR="0038463A">
              <w:rPr>
                <w:noProof/>
                <w:webHidden/>
              </w:rPr>
            </w:r>
            <w:r w:rsidR="0038463A">
              <w:rPr>
                <w:noProof/>
                <w:webHidden/>
              </w:rPr>
              <w:fldChar w:fldCharType="separate"/>
            </w:r>
            <w:r>
              <w:rPr>
                <w:noProof/>
                <w:webHidden/>
              </w:rPr>
              <w:t>38</w:t>
            </w:r>
            <w:r w:rsidR="0038463A">
              <w:rPr>
                <w:noProof/>
                <w:webHidden/>
              </w:rPr>
              <w:fldChar w:fldCharType="end"/>
            </w:r>
          </w:hyperlink>
        </w:p>
        <w:p w14:paraId="0CDC6373" w14:textId="77777777" w:rsidR="0038463A" w:rsidRDefault="001C5EC1">
          <w:pPr>
            <w:pStyle w:val="TOC2"/>
            <w:tabs>
              <w:tab w:val="right" w:leader="dot" w:pos="9350"/>
            </w:tabs>
            <w:rPr>
              <w:rFonts w:asciiTheme="minorHAnsi" w:eastAsiaTheme="minorEastAsia" w:hAnsiTheme="minorHAnsi" w:cstheme="minorBidi"/>
              <w:noProof/>
            </w:rPr>
          </w:pPr>
          <w:hyperlink w:anchor="_Toc382921544" w:history="1">
            <w:r w:rsidR="0038463A" w:rsidRPr="004766AF">
              <w:rPr>
                <w:rStyle w:val="Hyperlink"/>
                <w:noProof/>
              </w:rPr>
              <w:t>C.    Physics</w:t>
            </w:r>
            <w:r w:rsidR="0038463A">
              <w:rPr>
                <w:noProof/>
                <w:webHidden/>
              </w:rPr>
              <w:tab/>
            </w:r>
            <w:r w:rsidR="0038463A">
              <w:rPr>
                <w:noProof/>
                <w:webHidden/>
              </w:rPr>
              <w:fldChar w:fldCharType="begin"/>
            </w:r>
            <w:r w:rsidR="0038463A">
              <w:rPr>
                <w:noProof/>
                <w:webHidden/>
              </w:rPr>
              <w:instrText xml:space="preserve"> PAGEREF _Toc382921544 \h </w:instrText>
            </w:r>
            <w:r w:rsidR="0038463A">
              <w:rPr>
                <w:noProof/>
                <w:webHidden/>
              </w:rPr>
            </w:r>
            <w:r w:rsidR="0038463A">
              <w:rPr>
                <w:noProof/>
                <w:webHidden/>
              </w:rPr>
              <w:fldChar w:fldCharType="separate"/>
            </w:r>
            <w:r>
              <w:rPr>
                <w:noProof/>
                <w:webHidden/>
              </w:rPr>
              <w:t>43</w:t>
            </w:r>
            <w:r w:rsidR="0038463A">
              <w:rPr>
                <w:noProof/>
                <w:webHidden/>
              </w:rPr>
              <w:fldChar w:fldCharType="end"/>
            </w:r>
          </w:hyperlink>
        </w:p>
        <w:p w14:paraId="7DDFF5FC" w14:textId="77777777" w:rsidR="0038463A" w:rsidRDefault="001C5EC1">
          <w:pPr>
            <w:pStyle w:val="TOC2"/>
            <w:tabs>
              <w:tab w:val="right" w:leader="dot" w:pos="9350"/>
            </w:tabs>
            <w:rPr>
              <w:rFonts w:asciiTheme="minorHAnsi" w:eastAsiaTheme="minorEastAsia" w:hAnsiTheme="minorHAnsi" w:cstheme="minorBidi"/>
              <w:noProof/>
            </w:rPr>
          </w:pPr>
          <w:hyperlink w:anchor="_Toc382921545" w:history="1">
            <w:r w:rsidR="0038463A" w:rsidRPr="004766AF">
              <w:rPr>
                <w:rStyle w:val="Hyperlink"/>
                <w:noProof/>
              </w:rPr>
              <w:t>D.    Meshing</w:t>
            </w:r>
            <w:r w:rsidR="0038463A">
              <w:rPr>
                <w:noProof/>
                <w:webHidden/>
              </w:rPr>
              <w:tab/>
            </w:r>
            <w:r w:rsidR="0038463A">
              <w:rPr>
                <w:noProof/>
                <w:webHidden/>
              </w:rPr>
              <w:fldChar w:fldCharType="begin"/>
            </w:r>
            <w:r w:rsidR="0038463A">
              <w:rPr>
                <w:noProof/>
                <w:webHidden/>
              </w:rPr>
              <w:instrText xml:space="preserve"> PAGEREF _Toc382921545 \h </w:instrText>
            </w:r>
            <w:r w:rsidR="0038463A">
              <w:rPr>
                <w:noProof/>
                <w:webHidden/>
              </w:rPr>
            </w:r>
            <w:r w:rsidR="0038463A">
              <w:rPr>
                <w:noProof/>
                <w:webHidden/>
              </w:rPr>
              <w:fldChar w:fldCharType="separate"/>
            </w:r>
            <w:r>
              <w:rPr>
                <w:noProof/>
                <w:webHidden/>
              </w:rPr>
              <w:t>53</w:t>
            </w:r>
            <w:r w:rsidR="0038463A">
              <w:rPr>
                <w:noProof/>
                <w:webHidden/>
              </w:rPr>
              <w:fldChar w:fldCharType="end"/>
            </w:r>
          </w:hyperlink>
        </w:p>
        <w:p w14:paraId="13ECC221" w14:textId="77777777" w:rsidR="0038463A" w:rsidRDefault="001C5EC1">
          <w:pPr>
            <w:pStyle w:val="TOC1"/>
            <w:tabs>
              <w:tab w:val="right" w:leader="dot" w:pos="9350"/>
            </w:tabs>
            <w:rPr>
              <w:rFonts w:asciiTheme="minorHAnsi" w:eastAsiaTheme="minorEastAsia" w:hAnsiTheme="minorHAnsi" w:cstheme="minorBidi"/>
              <w:noProof/>
            </w:rPr>
          </w:pPr>
          <w:hyperlink w:anchor="_Toc382921546" w:history="1">
            <w:r w:rsidR="0038463A" w:rsidRPr="004766AF">
              <w:rPr>
                <w:rStyle w:val="Hyperlink"/>
                <w:noProof/>
              </w:rPr>
              <w:t>VI.    Coupled Model</w:t>
            </w:r>
            <w:r w:rsidR="0038463A">
              <w:rPr>
                <w:noProof/>
                <w:webHidden/>
              </w:rPr>
              <w:tab/>
            </w:r>
            <w:r w:rsidR="0038463A">
              <w:rPr>
                <w:noProof/>
                <w:webHidden/>
              </w:rPr>
              <w:fldChar w:fldCharType="begin"/>
            </w:r>
            <w:r w:rsidR="0038463A">
              <w:rPr>
                <w:noProof/>
                <w:webHidden/>
              </w:rPr>
              <w:instrText xml:space="preserve"> PAGEREF _Toc382921546 \h </w:instrText>
            </w:r>
            <w:r w:rsidR="0038463A">
              <w:rPr>
                <w:noProof/>
                <w:webHidden/>
              </w:rPr>
            </w:r>
            <w:r w:rsidR="0038463A">
              <w:rPr>
                <w:noProof/>
                <w:webHidden/>
              </w:rPr>
              <w:fldChar w:fldCharType="separate"/>
            </w:r>
            <w:r>
              <w:rPr>
                <w:noProof/>
                <w:webHidden/>
              </w:rPr>
              <w:t>58</w:t>
            </w:r>
            <w:r w:rsidR="0038463A">
              <w:rPr>
                <w:noProof/>
                <w:webHidden/>
              </w:rPr>
              <w:fldChar w:fldCharType="end"/>
            </w:r>
          </w:hyperlink>
        </w:p>
        <w:p w14:paraId="7CE02FF2" w14:textId="77777777" w:rsidR="0038463A" w:rsidRDefault="001C5EC1">
          <w:pPr>
            <w:pStyle w:val="TOC2"/>
            <w:tabs>
              <w:tab w:val="right" w:leader="dot" w:pos="9350"/>
            </w:tabs>
            <w:rPr>
              <w:rFonts w:asciiTheme="minorHAnsi" w:eastAsiaTheme="minorEastAsia" w:hAnsiTheme="minorHAnsi" w:cstheme="minorBidi"/>
              <w:noProof/>
            </w:rPr>
          </w:pPr>
          <w:hyperlink w:anchor="_Toc382921547" w:history="1">
            <w:r w:rsidR="0038463A" w:rsidRPr="004766AF">
              <w:rPr>
                <w:rStyle w:val="Hyperlink"/>
                <w:noProof/>
              </w:rPr>
              <w:t>A.    Construction</w:t>
            </w:r>
            <w:r w:rsidR="0038463A">
              <w:rPr>
                <w:noProof/>
                <w:webHidden/>
              </w:rPr>
              <w:tab/>
            </w:r>
            <w:r w:rsidR="0038463A">
              <w:rPr>
                <w:noProof/>
                <w:webHidden/>
              </w:rPr>
              <w:fldChar w:fldCharType="begin"/>
            </w:r>
            <w:r w:rsidR="0038463A">
              <w:rPr>
                <w:noProof/>
                <w:webHidden/>
              </w:rPr>
              <w:instrText xml:space="preserve"> PAGEREF _Toc382921547 \h </w:instrText>
            </w:r>
            <w:r w:rsidR="0038463A">
              <w:rPr>
                <w:noProof/>
                <w:webHidden/>
              </w:rPr>
            </w:r>
            <w:r w:rsidR="0038463A">
              <w:rPr>
                <w:noProof/>
                <w:webHidden/>
              </w:rPr>
              <w:fldChar w:fldCharType="separate"/>
            </w:r>
            <w:r>
              <w:rPr>
                <w:noProof/>
                <w:webHidden/>
              </w:rPr>
              <w:t>58</w:t>
            </w:r>
            <w:r w:rsidR="0038463A">
              <w:rPr>
                <w:noProof/>
                <w:webHidden/>
              </w:rPr>
              <w:fldChar w:fldCharType="end"/>
            </w:r>
          </w:hyperlink>
        </w:p>
        <w:p w14:paraId="3F9C4D73" w14:textId="77777777" w:rsidR="0038463A" w:rsidRDefault="001C5EC1">
          <w:pPr>
            <w:pStyle w:val="TOC2"/>
            <w:tabs>
              <w:tab w:val="right" w:leader="dot" w:pos="9350"/>
            </w:tabs>
            <w:rPr>
              <w:rFonts w:asciiTheme="minorHAnsi" w:eastAsiaTheme="minorEastAsia" w:hAnsiTheme="minorHAnsi" w:cstheme="minorBidi"/>
              <w:noProof/>
            </w:rPr>
          </w:pPr>
          <w:hyperlink w:anchor="_Toc382921548" w:history="1">
            <w:r w:rsidR="0038463A" w:rsidRPr="004766AF">
              <w:rPr>
                <w:rStyle w:val="Hyperlink"/>
                <w:noProof/>
              </w:rPr>
              <w:t>B.    Inputs</w:t>
            </w:r>
            <w:r w:rsidR="0038463A">
              <w:rPr>
                <w:noProof/>
                <w:webHidden/>
              </w:rPr>
              <w:tab/>
            </w:r>
            <w:r w:rsidR="0038463A">
              <w:rPr>
                <w:noProof/>
                <w:webHidden/>
              </w:rPr>
              <w:fldChar w:fldCharType="begin"/>
            </w:r>
            <w:r w:rsidR="0038463A">
              <w:rPr>
                <w:noProof/>
                <w:webHidden/>
              </w:rPr>
              <w:instrText xml:space="preserve"> PAGEREF _Toc382921548 \h </w:instrText>
            </w:r>
            <w:r w:rsidR="0038463A">
              <w:rPr>
                <w:noProof/>
                <w:webHidden/>
              </w:rPr>
            </w:r>
            <w:r w:rsidR="0038463A">
              <w:rPr>
                <w:noProof/>
                <w:webHidden/>
              </w:rPr>
              <w:fldChar w:fldCharType="separate"/>
            </w:r>
            <w:r>
              <w:rPr>
                <w:noProof/>
                <w:webHidden/>
              </w:rPr>
              <w:t>59</w:t>
            </w:r>
            <w:r w:rsidR="0038463A">
              <w:rPr>
                <w:noProof/>
                <w:webHidden/>
              </w:rPr>
              <w:fldChar w:fldCharType="end"/>
            </w:r>
          </w:hyperlink>
        </w:p>
        <w:p w14:paraId="6A541C40" w14:textId="77777777" w:rsidR="0038463A" w:rsidRDefault="001C5EC1">
          <w:pPr>
            <w:pStyle w:val="TOC2"/>
            <w:tabs>
              <w:tab w:val="right" w:leader="dot" w:pos="9350"/>
            </w:tabs>
            <w:rPr>
              <w:rFonts w:asciiTheme="minorHAnsi" w:eastAsiaTheme="minorEastAsia" w:hAnsiTheme="minorHAnsi" w:cstheme="minorBidi"/>
              <w:noProof/>
            </w:rPr>
          </w:pPr>
          <w:hyperlink w:anchor="_Toc382921549" w:history="1">
            <w:r w:rsidR="0038463A" w:rsidRPr="004766AF">
              <w:rPr>
                <w:rStyle w:val="Hyperlink"/>
                <w:noProof/>
              </w:rPr>
              <w:t>C.    Interdimensional Model Coupling</w:t>
            </w:r>
            <w:r w:rsidR="0038463A">
              <w:rPr>
                <w:noProof/>
                <w:webHidden/>
              </w:rPr>
              <w:tab/>
            </w:r>
            <w:r w:rsidR="0038463A">
              <w:rPr>
                <w:noProof/>
                <w:webHidden/>
              </w:rPr>
              <w:fldChar w:fldCharType="begin"/>
            </w:r>
            <w:r w:rsidR="0038463A">
              <w:rPr>
                <w:noProof/>
                <w:webHidden/>
              </w:rPr>
              <w:instrText xml:space="preserve"> PAGEREF _Toc382921549 \h </w:instrText>
            </w:r>
            <w:r w:rsidR="0038463A">
              <w:rPr>
                <w:noProof/>
                <w:webHidden/>
              </w:rPr>
            </w:r>
            <w:r w:rsidR="0038463A">
              <w:rPr>
                <w:noProof/>
                <w:webHidden/>
              </w:rPr>
              <w:fldChar w:fldCharType="separate"/>
            </w:r>
            <w:r>
              <w:rPr>
                <w:noProof/>
                <w:webHidden/>
              </w:rPr>
              <w:t>64</w:t>
            </w:r>
            <w:r w:rsidR="0038463A">
              <w:rPr>
                <w:noProof/>
                <w:webHidden/>
              </w:rPr>
              <w:fldChar w:fldCharType="end"/>
            </w:r>
          </w:hyperlink>
        </w:p>
        <w:p w14:paraId="37CCBD89" w14:textId="77777777" w:rsidR="0038463A" w:rsidRDefault="001C5EC1">
          <w:pPr>
            <w:pStyle w:val="TOC2"/>
            <w:tabs>
              <w:tab w:val="right" w:leader="dot" w:pos="9350"/>
            </w:tabs>
            <w:rPr>
              <w:rFonts w:asciiTheme="minorHAnsi" w:eastAsiaTheme="minorEastAsia" w:hAnsiTheme="minorHAnsi" w:cstheme="minorBidi"/>
              <w:noProof/>
            </w:rPr>
          </w:pPr>
          <w:hyperlink w:anchor="_Toc382921550" w:history="1">
            <w:r w:rsidR="0038463A" w:rsidRPr="004766AF">
              <w:rPr>
                <w:rStyle w:val="Hyperlink"/>
                <w:noProof/>
              </w:rPr>
              <w:t>D.    Physics</w:t>
            </w:r>
            <w:r w:rsidR="0038463A">
              <w:rPr>
                <w:noProof/>
                <w:webHidden/>
              </w:rPr>
              <w:tab/>
            </w:r>
            <w:r w:rsidR="0038463A">
              <w:rPr>
                <w:noProof/>
                <w:webHidden/>
              </w:rPr>
              <w:fldChar w:fldCharType="begin"/>
            </w:r>
            <w:r w:rsidR="0038463A">
              <w:rPr>
                <w:noProof/>
                <w:webHidden/>
              </w:rPr>
              <w:instrText xml:space="preserve"> PAGEREF _Toc382921550 \h </w:instrText>
            </w:r>
            <w:r w:rsidR="0038463A">
              <w:rPr>
                <w:noProof/>
                <w:webHidden/>
              </w:rPr>
            </w:r>
            <w:r w:rsidR="0038463A">
              <w:rPr>
                <w:noProof/>
                <w:webHidden/>
              </w:rPr>
              <w:fldChar w:fldCharType="separate"/>
            </w:r>
            <w:r>
              <w:rPr>
                <w:noProof/>
                <w:webHidden/>
              </w:rPr>
              <w:t>73</w:t>
            </w:r>
            <w:r w:rsidR="0038463A">
              <w:rPr>
                <w:noProof/>
                <w:webHidden/>
              </w:rPr>
              <w:fldChar w:fldCharType="end"/>
            </w:r>
          </w:hyperlink>
        </w:p>
        <w:p w14:paraId="448FF507" w14:textId="77777777" w:rsidR="0038463A" w:rsidRDefault="001C5EC1">
          <w:pPr>
            <w:pStyle w:val="TOC2"/>
            <w:tabs>
              <w:tab w:val="right" w:leader="dot" w:pos="9350"/>
            </w:tabs>
            <w:rPr>
              <w:rFonts w:asciiTheme="minorHAnsi" w:eastAsiaTheme="minorEastAsia" w:hAnsiTheme="minorHAnsi" w:cstheme="minorBidi"/>
              <w:noProof/>
            </w:rPr>
          </w:pPr>
          <w:hyperlink w:anchor="_Toc382921551" w:history="1">
            <w:r w:rsidR="0038463A" w:rsidRPr="004766AF">
              <w:rPr>
                <w:rStyle w:val="Hyperlink"/>
                <w:noProof/>
              </w:rPr>
              <w:t>E.    Meshing</w:t>
            </w:r>
            <w:r w:rsidR="0038463A">
              <w:rPr>
                <w:noProof/>
                <w:webHidden/>
              </w:rPr>
              <w:tab/>
            </w:r>
            <w:r w:rsidR="0038463A">
              <w:rPr>
                <w:noProof/>
                <w:webHidden/>
              </w:rPr>
              <w:fldChar w:fldCharType="begin"/>
            </w:r>
            <w:r w:rsidR="0038463A">
              <w:rPr>
                <w:noProof/>
                <w:webHidden/>
              </w:rPr>
              <w:instrText xml:space="preserve"> PAGEREF _Toc382921551 \h </w:instrText>
            </w:r>
            <w:r w:rsidR="0038463A">
              <w:rPr>
                <w:noProof/>
                <w:webHidden/>
              </w:rPr>
            </w:r>
            <w:r w:rsidR="0038463A">
              <w:rPr>
                <w:noProof/>
                <w:webHidden/>
              </w:rPr>
              <w:fldChar w:fldCharType="separate"/>
            </w:r>
            <w:r>
              <w:rPr>
                <w:noProof/>
                <w:webHidden/>
              </w:rPr>
              <w:t>74</w:t>
            </w:r>
            <w:r w:rsidR="0038463A">
              <w:rPr>
                <w:noProof/>
                <w:webHidden/>
              </w:rPr>
              <w:fldChar w:fldCharType="end"/>
            </w:r>
          </w:hyperlink>
        </w:p>
        <w:p w14:paraId="61B7F996" w14:textId="77777777" w:rsidR="0038463A" w:rsidRDefault="001C5EC1">
          <w:pPr>
            <w:pStyle w:val="TOC2"/>
            <w:tabs>
              <w:tab w:val="right" w:leader="dot" w:pos="9350"/>
            </w:tabs>
            <w:rPr>
              <w:rFonts w:asciiTheme="minorHAnsi" w:eastAsiaTheme="minorEastAsia" w:hAnsiTheme="minorHAnsi" w:cstheme="minorBidi"/>
              <w:noProof/>
            </w:rPr>
          </w:pPr>
          <w:hyperlink w:anchor="_Toc382921552" w:history="1">
            <w:r w:rsidR="0038463A" w:rsidRPr="004766AF">
              <w:rPr>
                <w:rStyle w:val="Hyperlink"/>
                <w:noProof/>
              </w:rPr>
              <w:t>F.    Paneling</w:t>
            </w:r>
            <w:r w:rsidR="0038463A">
              <w:rPr>
                <w:noProof/>
                <w:webHidden/>
              </w:rPr>
              <w:tab/>
            </w:r>
            <w:r w:rsidR="0038463A">
              <w:rPr>
                <w:noProof/>
                <w:webHidden/>
              </w:rPr>
              <w:fldChar w:fldCharType="begin"/>
            </w:r>
            <w:r w:rsidR="0038463A">
              <w:rPr>
                <w:noProof/>
                <w:webHidden/>
              </w:rPr>
              <w:instrText xml:space="preserve"> PAGEREF _Toc382921552 \h </w:instrText>
            </w:r>
            <w:r w:rsidR="0038463A">
              <w:rPr>
                <w:noProof/>
                <w:webHidden/>
              </w:rPr>
            </w:r>
            <w:r w:rsidR="0038463A">
              <w:rPr>
                <w:noProof/>
                <w:webHidden/>
              </w:rPr>
              <w:fldChar w:fldCharType="separate"/>
            </w:r>
            <w:r>
              <w:rPr>
                <w:noProof/>
                <w:webHidden/>
              </w:rPr>
              <w:t>76</w:t>
            </w:r>
            <w:r w:rsidR="0038463A">
              <w:rPr>
                <w:noProof/>
                <w:webHidden/>
              </w:rPr>
              <w:fldChar w:fldCharType="end"/>
            </w:r>
          </w:hyperlink>
        </w:p>
        <w:p w14:paraId="69EEECD8" w14:textId="77777777" w:rsidR="0038463A" w:rsidRDefault="001C5EC1">
          <w:pPr>
            <w:pStyle w:val="TOC1"/>
            <w:tabs>
              <w:tab w:val="right" w:leader="dot" w:pos="9350"/>
            </w:tabs>
            <w:rPr>
              <w:rFonts w:asciiTheme="minorHAnsi" w:eastAsiaTheme="minorEastAsia" w:hAnsiTheme="minorHAnsi" w:cstheme="minorBidi"/>
              <w:noProof/>
            </w:rPr>
          </w:pPr>
          <w:hyperlink w:anchor="_Toc382921553" w:history="1">
            <w:r w:rsidR="0038463A" w:rsidRPr="004766AF">
              <w:rPr>
                <w:rStyle w:val="Hyperlink"/>
                <w:noProof/>
              </w:rPr>
              <w:t>VII.    Results</w:t>
            </w:r>
            <w:r w:rsidR="0038463A">
              <w:rPr>
                <w:noProof/>
                <w:webHidden/>
              </w:rPr>
              <w:tab/>
            </w:r>
            <w:r w:rsidR="0038463A">
              <w:rPr>
                <w:noProof/>
                <w:webHidden/>
              </w:rPr>
              <w:fldChar w:fldCharType="begin"/>
            </w:r>
            <w:r w:rsidR="0038463A">
              <w:rPr>
                <w:noProof/>
                <w:webHidden/>
              </w:rPr>
              <w:instrText xml:space="preserve"> PAGEREF _Toc382921553 \h </w:instrText>
            </w:r>
            <w:r w:rsidR="0038463A">
              <w:rPr>
                <w:noProof/>
                <w:webHidden/>
              </w:rPr>
            </w:r>
            <w:r w:rsidR="0038463A">
              <w:rPr>
                <w:noProof/>
                <w:webHidden/>
              </w:rPr>
              <w:fldChar w:fldCharType="separate"/>
            </w:r>
            <w:r>
              <w:rPr>
                <w:noProof/>
                <w:webHidden/>
              </w:rPr>
              <w:t>79</w:t>
            </w:r>
            <w:r w:rsidR="0038463A">
              <w:rPr>
                <w:noProof/>
                <w:webHidden/>
              </w:rPr>
              <w:fldChar w:fldCharType="end"/>
            </w:r>
          </w:hyperlink>
        </w:p>
        <w:p w14:paraId="0E011641" w14:textId="77777777" w:rsidR="0038463A" w:rsidRDefault="001C5EC1">
          <w:pPr>
            <w:pStyle w:val="TOC2"/>
            <w:tabs>
              <w:tab w:val="right" w:leader="dot" w:pos="9350"/>
            </w:tabs>
            <w:rPr>
              <w:rFonts w:asciiTheme="minorHAnsi" w:eastAsiaTheme="minorEastAsia" w:hAnsiTheme="minorHAnsi" w:cstheme="minorBidi"/>
              <w:noProof/>
            </w:rPr>
          </w:pPr>
          <w:hyperlink w:anchor="_Toc382921554" w:history="1">
            <w:r w:rsidR="0038463A" w:rsidRPr="004766AF">
              <w:rPr>
                <w:rStyle w:val="Hyperlink"/>
                <w:noProof/>
              </w:rPr>
              <w:t>A.    Error Evaluation</w:t>
            </w:r>
            <w:r w:rsidR="0038463A">
              <w:rPr>
                <w:noProof/>
                <w:webHidden/>
              </w:rPr>
              <w:tab/>
            </w:r>
            <w:r w:rsidR="0038463A">
              <w:rPr>
                <w:noProof/>
                <w:webHidden/>
              </w:rPr>
              <w:fldChar w:fldCharType="begin"/>
            </w:r>
            <w:r w:rsidR="0038463A">
              <w:rPr>
                <w:noProof/>
                <w:webHidden/>
              </w:rPr>
              <w:instrText xml:space="preserve"> PAGEREF _Toc382921554 \h </w:instrText>
            </w:r>
            <w:r w:rsidR="0038463A">
              <w:rPr>
                <w:noProof/>
                <w:webHidden/>
              </w:rPr>
            </w:r>
            <w:r w:rsidR="0038463A">
              <w:rPr>
                <w:noProof/>
                <w:webHidden/>
              </w:rPr>
              <w:fldChar w:fldCharType="separate"/>
            </w:r>
            <w:r>
              <w:rPr>
                <w:noProof/>
                <w:webHidden/>
              </w:rPr>
              <w:t>79</w:t>
            </w:r>
            <w:r w:rsidR="0038463A">
              <w:rPr>
                <w:noProof/>
                <w:webHidden/>
              </w:rPr>
              <w:fldChar w:fldCharType="end"/>
            </w:r>
          </w:hyperlink>
        </w:p>
        <w:p w14:paraId="5ABF71C9" w14:textId="77777777" w:rsidR="0038463A" w:rsidRDefault="001C5EC1">
          <w:pPr>
            <w:pStyle w:val="TOC2"/>
            <w:tabs>
              <w:tab w:val="right" w:leader="dot" w:pos="9350"/>
            </w:tabs>
            <w:rPr>
              <w:rFonts w:asciiTheme="minorHAnsi" w:eastAsiaTheme="minorEastAsia" w:hAnsiTheme="minorHAnsi" w:cstheme="minorBidi"/>
              <w:noProof/>
            </w:rPr>
          </w:pPr>
          <w:hyperlink w:anchor="_Toc382921555" w:history="1">
            <w:r w:rsidR="0038463A" w:rsidRPr="004766AF">
              <w:rPr>
                <w:rStyle w:val="Hyperlink"/>
                <w:noProof/>
              </w:rPr>
              <w:t>B.    3D Model Mesh Convergence</w:t>
            </w:r>
            <w:r w:rsidR="0038463A">
              <w:rPr>
                <w:noProof/>
                <w:webHidden/>
              </w:rPr>
              <w:tab/>
            </w:r>
            <w:r w:rsidR="0038463A">
              <w:rPr>
                <w:noProof/>
                <w:webHidden/>
              </w:rPr>
              <w:fldChar w:fldCharType="begin"/>
            </w:r>
            <w:r w:rsidR="0038463A">
              <w:rPr>
                <w:noProof/>
                <w:webHidden/>
              </w:rPr>
              <w:instrText xml:space="preserve"> PAGEREF _Toc382921555 \h </w:instrText>
            </w:r>
            <w:r w:rsidR="0038463A">
              <w:rPr>
                <w:noProof/>
                <w:webHidden/>
              </w:rPr>
            </w:r>
            <w:r w:rsidR="0038463A">
              <w:rPr>
                <w:noProof/>
                <w:webHidden/>
              </w:rPr>
              <w:fldChar w:fldCharType="separate"/>
            </w:r>
            <w:r>
              <w:rPr>
                <w:noProof/>
                <w:webHidden/>
              </w:rPr>
              <w:t>82</w:t>
            </w:r>
            <w:r w:rsidR="0038463A">
              <w:rPr>
                <w:noProof/>
                <w:webHidden/>
              </w:rPr>
              <w:fldChar w:fldCharType="end"/>
            </w:r>
          </w:hyperlink>
        </w:p>
        <w:p w14:paraId="7D7D125E" w14:textId="77777777" w:rsidR="0038463A" w:rsidRDefault="001C5EC1">
          <w:pPr>
            <w:pStyle w:val="TOC2"/>
            <w:tabs>
              <w:tab w:val="right" w:leader="dot" w:pos="9350"/>
            </w:tabs>
            <w:rPr>
              <w:rFonts w:asciiTheme="minorHAnsi" w:eastAsiaTheme="minorEastAsia" w:hAnsiTheme="minorHAnsi" w:cstheme="minorBidi"/>
              <w:noProof/>
            </w:rPr>
          </w:pPr>
          <w:hyperlink w:anchor="_Toc382921556" w:history="1">
            <w:r w:rsidR="0038463A" w:rsidRPr="004766AF">
              <w:rPr>
                <w:rStyle w:val="Hyperlink"/>
                <w:noProof/>
              </w:rPr>
              <w:t>C.    Coupled Model Mesh Convergence</w:t>
            </w:r>
            <w:r w:rsidR="0038463A">
              <w:rPr>
                <w:noProof/>
                <w:webHidden/>
              </w:rPr>
              <w:tab/>
            </w:r>
            <w:r w:rsidR="0038463A">
              <w:rPr>
                <w:noProof/>
                <w:webHidden/>
              </w:rPr>
              <w:fldChar w:fldCharType="begin"/>
            </w:r>
            <w:r w:rsidR="0038463A">
              <w:rPr>
                <w:noProof/>
                <w:webHidden/>
              </w:rPr>
              <w:instrText xml:space="preserve"> PAGEREF _Toc382921556 \h </w:instrText>
            </w:r>
            <w:r w:rsidR="0038463A">
              <w:rPr>
                <w:noProof/>
                <w:webHidden/>
              </w:rPr>
            </w:r>
            <w:r w:rsidR="0038463A">
              <w:rPr>
                <w:noProof/>
                <w:webHidden/>
              </w:rPr>
              <w:fldChar w:fldCharType="separate"/>
            </w:r>
            <w:r>
              <w:rPr>
                <w:noProof/>
                <w:webHidden/>
              </w:rPr>
              <w:t>84</w:t>
            </w:r>
            <w:r w:rsidR="0038463A">
              <w:rPr>
                <w:noProof/>
                <w:webHidden/>
              </w:rPr>
              <w:fldChar w:fldCharType="end"/>
            </w:r>
          </w:hyperlink>
        </w:p>
        <w:p w14:paraId="4236A4FF" w14:textId="77777777" w:rsidR="0038463A" w:rsidRDefault="001C5EC1">
          <w:pPr>
            <w:pStyle w:val="TOC2"/>
            <w:tabs>
              <w:tab w:val="right" w:leader="dot" w:pos="9350"/>
            </w:tabs>
            <w:rPr>
              <w:rFonts w:asciiTheme="minorHAnsi" w:eastAsiaTheme="minorEastAsia" w:hAnsiTheme="minorHAnsi" w:cstheme="minorBidi"/>
              <w:noProof/>
            </w:rPr>
          </w:pPr>
          <w:hyperlink w:anchor="_Toc382921557" w:history="1">
            <w:r w:rsidR="0038463A" w:rsidRPr="004766AF">
              <w:rPr>
                <w:rStyle w:val="Hyperlink"/>
                <w:noProof/>
              </w:rPr>
              <w:t>D.    Validation of Simplifying Coupled Model Assumptions</w:t>
            </w:r>
            <w:r w:rsidR="0038463A">
              <w:rPr>
                <w:noProof/>
                <w:webHidden/>
              </w:rPr>
              <w:tab/>
            </w:r>
            <w:r w:rsidR="0038463A">
              <w:rPr>
                <w:noProof/>
                <w:webHidden/>
              </w:rPr>
              <w:fldChar w:fldCharType="begin"/>
            </w:r>
            <w:r w:rsidR="0038463A">
              <w:rPr>
                <w:noProof/>
                <w:webHidden/>
              </w:rPr>
              <w:instrText xml:space="preserve"> PAGEREF _Toc382921557 \h </w:instrText>
            </w:r>
            <w:r w:rsidR="0038463A">
              <w:rPr>
                <w:noProof/>
                <w:webHidden/>
              </w:rPr>
            </w:r>
            <w:r w:rsidR="0038463A">
              <w:rPr>
                <w:noProof/>
                <w:webHidden/>
              </w:rPr>
              <w:fldChar w:fldCharType="separate"/>
            </w:r>
            <w:r>
              <w:rPr>
                <w:noProof/>
                <w:webHidden/>
              </w:rPr>
              <w:t>95</w:t>
            </w:r>
            <w:r w:rsidR="0038463A">
              <w:rPr>
                <w:noProof/>
                <w:webHidden/>
              </w:rPr>
              <w:fldChar w:fldCharType="end"/>
            </w:r>
          </w:hyperlink>
        </w:p>
        <w:p w14:paraId="4564A66D" w14:textId="77777777" w:rsidR="0038463A" w:rsidRDefault="001C5EC1">
          <w:pPr>
            <w:pStyle w:val="TOC2"/>
            <w:tabs>
              <w:tab w:val="right" w:leader="dot" w:pos="9350"/>
            </w:tabs>
            <w:rPr>
              <w:rFonts w:asciiTheme="minorHAnsi" w:eastAsiaTheme="minorEastAsia" w:hAnsiTheme="minorHAnsi" w:cstheme="minorBidi"/>
              <w:noProof/>
            </w:rPr>
          </w:pPr>
          <w:hyperlink w:anchor="_Toc382921558" w:history="1">
            <w:r w:rsidR="0038463A" w:rsidRPr="004766AF">
              <w:rPr>
                <w:rStyle w:val="Hyperlink"/>
                <w:noProof/>
              </w:rPr>
              <w:t>E.    Paneling</w:t>
            </w:r>
            <w:r w:rsidR="0038463A">
              <w:rPr>
                <w:noProof/>
                <w:webHidden/>
              </w:rPr>
              <w:tab/>
            </w:r>
            <w:r w:rsidR="0038463A">
              <w:rPr>
                <w:noProof/>
                <w:webHidden/>
              </w:rPr>
              <w:fldChar w:fldCharType="begin"/>
            </w:r>
            <w:r w:rsidR="0038463A">
              <w:rPr>
                <w:noProof/>
                <w:webHidden/>
              </w:rPr>
              <w:instrText xml:space="preserve"> PAGEREF _Toc382921558 \h </w:instrText>
            </w:r>
            <w:r w:rsidR="0038463A">
              <w:rPr>
                <w:noProof/>
                <w:webHidden/>
              </w:rPr>
            </w:r>
            <w:r w:rsidR="0038463A">
              <w:rPr>
                <w:noProof/>
                <w:webHidden/>
              </w:rPr>
              <w:fldChar w:fldCharType="separate"/>
            </w:r>
            <w:r>
              <w:rPr>
                <w:noProof/>
                <w:webHidden/>
              </w:rPr>
              <w:t>98</w:t>
            </w:r>
            <w:r w:rsidR="0038463A">
              <w:rPr>
                <w:noProof/>
                <w:webHidden/>
              </w:rPr>
              <w:fldChar w:fldCharType="end"/>
            </w:r>
          </w:hyperlink>
        </w:p>
        <w:p w14:paraId="41516AA1" w14:textId="77777777" w:rsidR="0038463A" w:rsidRDefault="001C5EC1">
          <w:pPr>
            <w:pStyle w:val="TOC2"/>
            <w:tabs>
              <w:tab w:val="right" w:leader="dot" w:pos="9350"/>
            </w:tabs>
            <w:rPr>
              <w:rFonts w:asciiTheme="minorHAnsi" w:eastAsiaTheme="minorEastAsia" w:hAnsiTheme="minorHAnsi" w:cstheme="minorBidi"/>
              <w:noProof/>
            </w:rPr>
          </w:pPr>
          <w:hyperlink w:anchor="_Toc382921559" w:history="1">
            <w:r w:rsidR="0038463A" w:rsidRPr="004766AF">
              <w:rPr>
                <w:rStyle w:val="Hyperlink"/>
                <w:noProof/>
              </w:rPr>
              <w:t>F.    Model Comparisons</w:t>
            </w:r>
            <w:r w:rsidR="0038463A">
              <w:rPr>
                <w:noProof/>
                <w:webHidden/>
              </w:rPr>
              <w:tab/>
            </w:r>
            <w:r w:rsidR="0038463A">
              <w:rPr>
                <w:noProof/>
                <w:webHidden/>
              </w:rPr>
              <w:fldChar w:fldCharType="begin"/>
            </w:r>
            <w:r w:rsidR="0038463A">
              <w:rPr>
                <w:noProof/>
                <w:webHidden/>
              </w:rPr>
              <w:instrText xml:space="preserve"> PAGEREF _Toc382921559 \h </w:instrText>
            </w:r>
            <w:r w:rsidR="0038463A">
              <w:rPr>
                <w:noProof/>
                <w:webHidden/>
              </w:rPr>
            </w:r>
            <w:r w:rsidR="0038463A">
              <w:rPr>
                <w:noProof/>
                <w:webHidden/>
              </w:rPr>
              <w:fldChar w:fldCharType="separate"/>
            </w:r>
            <w:r>
              <w:rPr>
                <w:noProof/>
                <w:webHidden/>
              </w:rPr>
              <w:t>101</w:t>
            </w:r>
            <w:r w:rsidR="0038463A">
              <w:rPr>
                <w:noProof/>
                <w:webHidden/>
              </w:rPr>
              <w:fldChar w:fldCharType="end"/>
            </w:r>
          </w:hyperlink>
        </w:p>
        <w:p w14:paraId="6B7483D1" w14:textId="77777777" w:rsidR="0038463A" w:rsidRDefault="001C5EC1">
          <w:pPr>
            <w:pStyle w:val="TOC2"/>
            <w:tabs>
              <w:tab w:val="right" w:leader="dot" w:pos="9350"/>
            </w:tabs>
            <w:rPr>
              <w:rFonts w:asciiTheme="minorHAnsi" w:eastAsiaTheme="minorEastAsia" w:hAnsiTheme="minorHAnsi" w:cstheme="minorBidi"/>
              <w:noProof/>
            </w:rPr>
          </w:pPr>
          <w:hyperlink w:anchor="_Toc382921560" w:history="1">
            <w:r w:rsidR="0038463A" w:rsidRPr="004766AF">
              <w:rPr>
                <w:rStyle w:val="Hyperlink"/>
                <w:noProof/>
              </w:rPr>
              <w:t>G.    Justification of Selected Residual Tolerance</w:t>
            </w:r>
            <w:r w:rsidR="0038463A">
              <w:rPr>
                <w:noProof/>
                <w:webHidden/>
              </w:rPr>
              <w:tab/>
            </w:r>
            <w:r w:rsidR="0038463A">
              <w:rPr>
                <w:noProof/>
                <w:webHidden/>
              </w:rPr>
              <w:fldChar w:fldCharType="begin"/>
            </w:r>
            <w:r w:rsidR="0038463A">
              <w:rPr>
                <w:noProof/>
                <w:webHidden/>
              </w:rPr>
              <w:instrText xml:space="preserve"> PAGEREF _Toc382921560 \h </w:instrText>
            </w:r>
            <w:r w:rsidR="0038463A">
              <w:rPr>
                <w:noProof/>
                <w:webHidden/>
              </w:rPr>
            </w:r>
            <w:r w:rsidR="0038463A">
              <w:rPr>
                <w:noProof/>
                <w:webHidden/>
              </w:rPr>
              <w:fldChar w:fldCharType="separate"/>
            </w:r>
            <w:r>
              <w:rPr>
                <w:noProof/>
                <w:webHidden/>
              </w:rPr>
              <w:t>110</w:t>
            </w:r>
            <w:r w:rsidR="0038463A">
              <w:rPr>
                <w:noProof/>
                <w:webHidden/>
              </w:rPr>
              <w:fldChar w:fldCharType="end"/>
            </w:r>
          </w:hyperlink>
        </w:p>
        <w:p w14:paraId="6FF1E741" w14:textId="77777777" w:rsidR="0038463A" w:rsidRDefault="001C5EC1">
          <w:pPr>
            <w:pStyle w:val="TOC1"/>
            <w:tabs>
              <w:tab w:val="right" w:leader="dot" w:pos="9350"/>
            </w:tabs>
            <w:rPr>
              <w:rFonts w:asciiTheme="minorHAnsi" w:eastAsiaTheme="minorEastAsia" w:hAnsiTheme="minorHAnsi" w:cstheme="minorBidi"/>
              <w:noProof/>
            </w:rPr>
          </w:pPr>
          <w:hyperlink w:anchor="_Toc382921561" w:history="1">
            <w:r w:rsidR="0038463A" w:rsidRPr="004766AF">
              <w:rPr>
                <w:rStyle w:val="Hyperlink"/>
                <w:noProof/>
              </w:rPr>
              <w:t>VIII.    Conclusion</w:t>
            </w:r>
            <w:r w:rsidR="0038463A">
              <w:rPr>
                <w:noProof/>
                <w:webHidden/>
              </w:rPr>
              <w:tab/>
            </w:r>
            <w:r w:rsidR="0038463A">
              <w:rPr>
                <w:noProof/>
                <w:webHidden/>
              </w:rPr>
              <w:fldChar w:fldCharType="begin"/>
            </w:r>
            <w:r w:rsidR="0038463A">
              <w:rPr>
                <w:noProof/>
                <w:webHidden/>
              </w:rPr>
              <w:instrText xml:space="preserve"> PAGEREF _Toc382921561 \h </w:instrText>
            </w:r>
            <w:r w:rsidR="0038463A">
              <w:rPr>
                <w:noProof/>
                <w:webHidden/>
              </w:rPr>
            </w:r>
            <w:r w:rsidR="0038463A">
              <w:rPr>
                <w:noProof/>
                <w:webHidden/>
              </w:rPr>
              <w:fldChar w:fldCharType="separate"/>
            </w:r>
            <w:r>
              <w:rPr>
                <w:noProof/>
                <w:webHidden/>
              </w:rPr>
              <w:t>111</w:t>
            </w:r>
            <w:r w:rsidR="0038463A">
              <w:rPr>
                <w:noProof/>
                <w:webHidden/>
              </w:rPr>
              <w:fldChar w:fldCharType="end"/>
            </w:r>
          </w:hyperlink>
        </w:p>
        <w:p w14:paraId="2E418BE5" w14:textId="77777777" w:rsidR="0038463A" w:rsidRDefault="001C5EC1">
          <w:pPr>
            <w:pStyle w:val="TOC1"/>
            <w:tabs>
              <w:tab w:val="right" w:leader="dot" w:pos="9350"/>
            </w:tabs>
            <w:rPr>
              <w:rFonts w:asciiTheme="minorHAnsi" w:eastAsiaTheme="minorEastAsia" w:hAnsiTheme="minorHAnsi" w:cstheme="minorBidi"/>
              <w:noProof/>
            </w:rPr>
          </w:pPr>
          <w:hyperlink w:anchor="_Toc382921562" w:history="1">
            <w:r w:rsidR="0038463A" w:rsidRPr="004766AF">
              <w:rPr>
                <w:rStyle w:val="Hyperlink"/>
                <w:noProof/>
              </w:rPr>
              <w:t>List of References</w:t>
            </w:r>
            <w:r w:rsidR="0038463A">
              <w:rPr>
                <w:noProof/>
                <w:webHidden/>
              </w:rPr>
              <w:tab/>
            </w:r>
            <w:r w:rsidR="0038463A">
              <w:rPr>
                <w:noProof/>
                <w:webHidden/>
              </w:rPr>
              <w:fldChar w:fldCharType="begin"/>
            </w:r>
            <w:r w:rsidR="0038463A">
              <w:rPr>
                <w:noProof/>
                <w:webHidden/>
              </w:rPr>
              <w:instrText xml:space="preserve"> PAGEREF _Toc382921562 \h </w:instrText>
            </w:r>
            <w:r w:rsidR="0038463A">
              <w:rPr>
                <w:noProof/>
                <w:webHidden/>
              </w:rPr>
            </w:r>
            <w:r w:rsidR="0038463A">
              <w:rPr>
                <w:noProof/>
                <w:webHidden/>
              </w:rPr>
              <w:fldChar w:fldCharType="separate"/>
            </w:r>
            <w:r>
              <w:rPr>
                <w:noProof/>
                <w:webHidden/>
              </w:rPr>
              <w:t>113</w:t>
            </w:r>
            <w:r w:rsidR="0038463A">
              <w:rPr>
                <w:noProof/>
                <w:webHidden/>
              </w:rPr>
              <w:fldChar w:fldCharType="end"/>
            </w:r>
          </w:hyperlink>
        </w:p>
        <w:p w14:paraId="23A09D98" w14:textId="77777777" w:rsidR="0038463A" w:rsidRDefault="001C5EC1">
          <w:pPr>
            <w:pStyle w:val="TOC1"/>
            <w:tabs>
              <w:tab w:val="right" w:leader="dot" w:pos="9350"/>
            </w:tabs>
            <w:rPr>
              <w:rFonts w:asciiTheme="minorHAnsi" w:eastAsiaTheme="minorEastAsia" w:hAnsiTheme="minorHAnsi" w:cstheme="minorBidi"/>
              <w:noProof/>
            </w:rPr>
          </w:pPr>
          <w:hyperlink w:anchor="_Toc382921563" w:history="1">
            <w:r w:rsidR="0038463A" w:rsidRPr="004766AF">
              <w:rPr>
                <w:rStyle w:val="Hyperlink"/>
                <w:noProof/>
              </w:rPr>
              <w:t>Vita</w:t>
            </w:r>
            <w:r w:rsidR="0038463A">
              <w:rPr>
                <w:noProof/>
                <w:webHidden/>
              </w:rPr>
              <w:tab/>
            </w:r>
            <w:r w:rsidR="0038463A">
              <w:rPr>
                <w:noProof/>
                <w:webHidden/>
              </w:rPr>
              <w:fldChar w:fldCharType="begin"/>
            </w:r>
            <w:r w:rsidR="0038463A">
              <w:rPr>
                <w:noProof/>
                <w:webHidden/>
              </w:rPr>
              <w:instrText xml:space="preserve"> PAGEREF _Toc382921563 \h </w:instrText>
            </w:r>
            <w:r w:rsidR="0038463A">
              <w:rPr>
                <w:noProof/>
                <w:webHidden/>
              </w:rPr>
            </w:r>
            <w:r w:rsidR="0038463A">
              <w:rPr>
                <w:noProof/>
                <w:webHidden/>
              </w:rPr>
              <w:fldChar w:fldCharType="separate"/>
            </w:r>
            <w:r>
              <w:rPr>
                <w:noProof/>
                <w:webHidden/>
              </w:rPr>
              <w:t>118</w:t>
            </w:r>
            <w:r w:rsidR="0038463A">
              <w:rPr>
                <w:noProof/>
                <w:webHidden/>
              </w:rPr>
              <w:fldChar w:fldCharType="end"/>
            </w:r>
          </w:hyperlink>
        </w:p>
        <w:p w14:paraId="15EE5123" w14:textId="541A0D84" w:rsidR="000C3216" w:rsidRDefault="000C3216">
          <w:r w:rsidRPr="000C3216">
            <w:rPr>
              <w:b/>
              <w:bCs/>
              <w:noProof/>
            </w:rPr>
            <w:fldChar w:fldCharType="end"/>
          </w:r>
        </w:p>
      </w:sdtContent>
    </w:sdt>
    <w:p w14:paraId="03F19E39" w14:textId="77777777" w:rsidR="00B07475" w:rsidRDefault="000C3216" w:rsidP="00B07475">
      <w:pPr>
        <w:spacing w:line="276" w:lineRule="auto"/>
        <w:ind w:firstLine="0"/>
        <w:jc w:val="left"/>
      </w:pPr>
      <w:r>
        <w:br w:type="page"/>
      </w:r>
    </w:p>
    <w:p w14:paraId="75ADCCFE" w14:textId="279E279B" w:rsidR="00B07475" w:rsidRPr="00E40352" w:rsidRDefault="00B07475" w:rsidP="00E40352">
      <w:pPr>
        <w:ind w:firstLine="0"/>
        <w:jc w:val="center"/>
        <w:rPr>
          <w:b/>
          <w:sz w:val="24"/>
        </w:rPr>
      </w:pPr>
      <w:r w:rsidRPr="00E40352">
        <w:rPr>
          <w:b/>
          <w:sz w:val="24"/>
        </w:rPr>
        <w:lastRenderedPageBreak/>
        <w:t>List of Tables</w:t>
      </w:r>
    </w:p>
    <w:p w14:paraId="4A5B495E" w14:textId="77777777" w:rsidR="00650AB9" w:rsidRDefault="00F066C7">
      <w:pPr>
        <w:pStyle w:val="TableofFigures"/>
        <w:tabs>
          <w:tab w:val="right" w:leader="dot" w:pos="9350"/>
        </w:tabs>
        <w:rPr>
          <w:rFonts w:asciiTheme="minorHAnsi" w:eastAsiaTheme="minorEastAsia" w:hAnsiTheme="minorHAnsi" w:cstheme="minorBidi"/>
          <w:noProof/>
        </w:rPr>
      </w:pPr>
      <w:r>
        <w:fldChar w:fldCharType="begin"/>
      </w:r>
      <w:r>
        <w:instrText xml:space="preserve"> TOC \t "No Spacing,Table Title Style" \c "Table" </w:instrText>
      </w:r>
      <w:r>
        <w:fldChar w:fldCharType="separate"/>
      </w:r>
      <w:r w:rsidR="00650AB9">
        <w:rPr>
          <w:noProof/>
        </w:rPr>
        <w:t>Table 3.1:  Bounding Side Plate Radii</w:t>
      </w:r>
      <w:r w:rsidR="00650AB9">
        <w:rPr>
          <w:noProof/>
        </w:rPr>
        <w:tab/>
      </w:r>
      <w:r w:rsidR="00650AB9">
        <w:rPr>
          <w:noProof/>
        </w:rPr>
        <w:fldChar w:fldCharType="begin"/>
      </w:r>
      <w:r w:rsidR="00650AB9">
        <w:rPr>
          <w:noProof/>
        </w:rPr>
        <w:instrText xml:space="preserve"> PAGEREF _Toc382920191 \h </w:instrText>
      </w:r>
      <w:r w:rsidR="00650AB9">
        <w:rPr>
          <w:noProof/>
        </w:rPr>
      </w:r>
      <w:r w:rsidR="00650AB9">
        <w:rPr>
          <w:noProof/>
        </w:rPr>
        <w:fldChar w:fldCharType="separate"/>
      </w:r>
      <w:r w:rsidR="001C5EC1">
        <w:rPr>
          <w:noProof/>
        </w:rPr>
        <w:t>31</w:t>
      </w:r>
      <w:r w:rsidR="00650AB9">
        <w:rPr>
          <w:noProof/>
        </w:rPr>
        <w:fldChar w:fldCharType="end"/>
      </w:r>
    </w:p>
    <w:p w14:paraId="2B1A8014"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t>Table 4.1:  Solution Variable Scaling Factors</w:t>
      </w:r>
      <w:r>
        <w:rPr>
          <w:noProof/>
        </w:rPr>
        <w:tab/>
      </w:r>
      <w:r>
        <w:rPr>
          <w:noProof/>
        </w:rPr>
        <w:fldChar w:fldCharType="begin"/>
      </w:r>
      <w:r>
        <w:rPr>
          <w:noProof/>
        </w:rPr>
        <w:instrText xml:space="preserve"> PAGEREF _Toc382920192 \h </w:instrText>
      </w:r>
      <w:r>
        <w:rPr>
          <w:noProof/>
        </w:rPr>
      </w:r>
      <w:r>
        <w:rPr>
          <w:noProof/>
        </w:rPr>
        <w:fldChar w:fldCharType="separate"/>
      </w:r>
      <w:r w:rsidR="001C5EC1">
        <w:rPr>
          <w:noProof/>
        </w:rPr>
        <w:t>34</w:t>
      </w:r>
      <w:r>
        <w:rPr>
          <w:noProof/>
        </w:rPr>
        <w:fldChar w:fldCharType="end"/>
      </w:r>
    </w:p>
    <w:p w14:paraId="32B04C71"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t>Table 5.1:  Coolant Components</w:t>
      </w:r>
      <w:r>
        <w:rPr>
          <w:noProof/>
        </w:rPr>
        <w:tab/>
      </w:r>
      <w:r>
        <w:rPr>
          <w:noProof/>
        </w:rPr>
        <w:fldChar w:fldCharType="begin"/>
      </w:r>
      <w:r>
        <w:rPr>
          <w:noProof/>
        </w:rPr>
        <w:instrText xml:space="preserve"> PAGEREF _Toc382920193 \h </w:instrText>
      </w:r>
      <w:r>
        <w:rPr>
          <w:noProof/>
        </w:rPr>
      </w:r>
      <w:r>
        <w:rPr>
          <w:noProof/>
        </w:rPr>
        <w:fldChar w:fldCharType="separate"/>
      </w:r>
      <w:r w:rsidR="001C5EC1">
        <w:rPr>
          <w:noProof/>
        </w:rPr>
        <w:t>35</w:t>
      </w:r>
      <w:r>
        <w:rPr>
          <w:noProof/>
        </w:rPr>
        <w:fldChar w:fldCharType="end"/>
      </w:r>
    </w:p>
    <w:p w14:paraId="30716856"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t>Table 5.2:  Fuel Plate Components</w:t>
      </w:r>
      <w:r>
        <w:rPr>
          <w:noProof/>
        </w:rPr>
        <w:tab/>
      </w:r>
      <w:r>
        <w:rPr>
          <w:noProof/>
        </w:rPr>
        <w:fldChar w:fldCharType="begin"/>
      </w:r>
      <w:r>
        <w:rPr>
          <w:noProof/>
        </w:rPr>
        <w:instrText xml:space="preserve"> PAGEREF _Toc382920194 \h </w:instrText>
      </w:r>
      <w:r>
        <w:rPr>
          <w:noProof/>
        </w:rPr>
      </w:r>
      <w:r>
        <w:rPr>
          <w:noProof/>
        </w:rPr>
        <w:fldChar w:fldCharType="separate"/>
      </w:r>
      <w:r w:rsidR="001C5EC1">
        <w:rPr>
          <w:noProof/>
        </w:rPr>
        <w:t>36</w:t>
      </w:r>
      <w:r>
        <w:rPr>
          <w:noProof/>
        </w:rPr>
        <w:fldChar w:fldCharType="end"/>
      </w:r>
    </w:p>
    <w:p w14:paraId="09BC8A8E"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t>Table 5.3:  Inlet and Outlet Conditions</w:t>
      </w:r>
      <w:r>
        <w:rPr>
          <w:noProof/>
        </w:rPr>
        <w:tab/>
      </w:r>
      <w:r>
        <w:rPr>
          <w:noProof/>
        </w:rPr>
        <w:fldChar w:fldCharType="begin"/>
      </w:r>
      <w:r>
        <w:rPr>
          <w:noProof/>
        </w:rPr>
        <w:instrText xml:space="preserve"> PAGEREF _Toc382920195 \h </w:instrText>
      </w:r>
      <w:r>
        <w:rPr>
          <w:noProof/>
        </w:rPr>
      </w:r>
      <w:r>
        <w:rPr>
          <w:noProof/>
        </w:rPr>
        <w:fldChar w:fldCharType="separate"/>
      </w:r>
      <w:r w:rsidR="001C5EC1">
        <w:rPr>
          <w:noProof/>
        </w:rPr>
        <w:t>38</w:t>
      </w:r>
      <w:r>
        <w:rPr>
          <w:noProof/>
        </w:rPr>
        <w:fldChar w:fldCharType="end"/>
      </w:r>
    </w:p>
    <w:p w14:paraId="211C1EDD"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t xml:space="preserve">Table 5.4:  </w:t>
      </w:r>
      <w:r w:rsidRPr="00D27AF7">
        <w:rPr>
          <w:i/>
          <w:iCs/>
          <w:noProof/>
        </w:rPr>
        <w:t>k</w:t>
      </w:r>
      <w:r>
        <w:rPr>
          <w:noProof/>
        </w:rPr>
        <w:t>-</w:t>
      </w:r>
      <w:r w:rsidRPr="00D27AF7">
        <w:rPr>
          <w:i/>
          <w:iCs/>
          <w:noProof/>
        </w:rPr>
        <w:t xml:space="preserve">ε </w:t>
      </w:r>
      <w:r>
        <w:rPr>
          <w:noProof/>
        </w:rPr>
        <w:t>Transport Constants</w:t>
      </w:r>
      <w:r>
        <w:rPr>
          <w:noProof/>
        </w:rPr>
        <w:tab/>
      </w:r>
      <w:r>
        <w:rPr>
          <w:noProof/>
        </w:rPr>
        <w:fldChar w:fldCharType="begin"/>
      </w:r>
      <w:r>
        <w:rPr>
          <w:noProof/>
        </w:rPr>
        <w:instrText xml:space="preserve"> PAGEREF _Toc382920196 \h </w:instrText>
      </w:r>
      <w:r>
        <w:rPr>
          <w:noProof/>
        </w:rPr>
      </w:r>
      <w:r>
        <w:rPr>
          <w:noProof/>
        </w:rPr>
        <w:fldChar w:fldCharType="separate"/>
      </w:r>
      <w:r w:rsidR="001C5EC1">
        <w:rPr>
          <w:noProof/>
        </w:rPr>
        <w:t>49</w:t>
      </w:r>
      <w:r>
        <w:rPr>
          <w:noProof/>
        </w:rPr>
        <w:fldChar w:fldCharType="end"/>
      </w:r>
    </w:p>
    <w:p w14:paraId="4ED8BD61"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t>Table 5.5: MCNP Axial Cell Distribution</w:t>
      </w:r>
      <w:r>
        <w:rPr>
          <w:noProof/>
        </w:rPr>
        <w:tab/>
      </w:r>
      <w:r>
        <w:rPr>
          <w:noProof/>
        </w:rPr>
        <w:fldChar w:fldCharType="begin"/>
      </w:r>
      <w:r>
        <w:rPr>
          <w:noProof/>
        </w:rPr>
        <w:instrText xml:space="preserve"> PAGEREF _Toc382920197 \h </w:instrText>
      </w:r>
      <w:r>
        <w:rPr>
          <w:noProof/>
        </w:rPr>
      </w:r>
      <w:r>
        <w:rPr>
          <w:noProof/>
        </w:rPr>
        <w:fldChar w:fldCharType="separate"/>
      </w:r>
      <w:r w:rsidR="001C5EC1">
        <w:rPr>
          <w:noProof/>
        </w:rPr>
        <w:t>53</w:t>
      </w:r>
      <w:r>
        <w:rPr>
          <w:noProof/>
        </w:rPr>
        <w:fldChar w:fldCharType="end"/>
      </w:r>
    </w:p>
    <w:p w14:paraId="6BE61BCF"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t>Table 6.1: Modified Hausen Correlation Verification Range</w:t>
      </w:r>
      <w:r>
        <w:rPr>
          <w:noProof/>
        </w:rPr>
        <w:tab/>
      </w:r>
      <w:r>
        <w:rPr>
          <w:noProof/>
        </w:rPr>
        <w:fldChar w:fldCharType="begin"/>
      </w:r>
      <w:r>
        <w:rPr>
          <w:noProof/>
        </w:rPr>
        <w:instrText xml:space="preserve"> PAGEREF _Toc382920198 \h </w:instrText>
      </w:r>
      <w:r>
        <w:rPr>
          <w:noProof/>
        </w:rPr>
      </w:r>
      <w:r>
        <w:rPr>
          <w:noProof/>
        </w:rPr>
        <w:fldChar w:fldCharType="separate"/>
      </w:r>
      <w:r w:rsidR="001C5EC1">
        <w:rPr>
          <w:noProof/>
        </w:rPr>
        <w:t>69</w:t>
      </w:r>
      <w:r>
        <w:rPr>
          <w:noProof/>
        </w:rPr>
        <w:fldChar w:fldCharType="end"/>
      </w:r>
    </w:p>
    <w:p w14:paraId="75C5D1C7"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t>Table 7.1:  3D Model Mesh Convergence Study</w:t>
      </w:r>
      <w:r>
        <w:rPr>
          <w:noProof/>
        </w:rPr>
        <w:tab/>
      </w:r>
      <w:r>
        <w:rPr>
          <w:noProof/>
        </w:rPr>
        <w:fldChar w:fldCharType="begin"/>
      </w:r>
      <w:r>
        <w:rPr>
          <w:noProof/>
        </w:rPr>
        <w:instrText xml:space="preserve"> PAGEREF _Toc382920199 \h </w:instrText>
      </w:r>
      <w:r>
        <w:rPr>
          <w:noProof/>
        </w:rPr>
      </w:r>
      <w:r>
        <w:rPr>
          <w:noProof/>
        </w:rPr>
        <w:fldChar w:fldCharType="separate"/>
      </w:r>
      <w:r w:rsidR="001C5EC1">
        <w:rPr>
          <w:noProof/>
        </w:rPr>
        <w:t>84</w:t>
      </w:r>
      <w:r>
        <w:rPr>
          <w:noProof/>
        </w:rPr>
        <w:fldChar w:fldCharType="end"/>
      </w:r>
    </w:p>
    <w:p w14:paraId="410DA99E"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t>Table 7.2:  Coupled Model Coolant Domain Mesh Convergence Study</w:t>
      </w:r>
      <w:r>
        <w:rPr>
          <w:noProof/>
        </w:rPr>
        <w:tab/>
      </w:r>
      <w:r>
        <w:rPr>
          <w:noProof/>
        </w:rPr>
        <w:fldChar w:fldCharType="begin"/>
      </w:r>
      <w:r>
        <w:rPr>
          <w:noProof/>
        </w:rPr>
        <w:instrText xml:space="preserve"> PAGEREF _Toc382920200 \h </w:instrText>
      </w:r>
      <w:r>
        <w:rPr>
          <w:noProof/>
        </w:rPr>
      </w:r>
      <w:r>
        <w:rPr>
          <w:noProof/>
        </w:rPr>
        <w:fldChar w:fldCharType="separate"/>
      </w:r>
      <w:r w:rsidR="001C5EC1">
        <w:rPr>
          <w:noProof/>
        </w:rPr>
        <w:t>85</w:t>
      </w:r>
      <w:r>
        <w:rPr>
          <w:noProof/>
        </w:rPr>
        <w:fldChar w:fldCharType="end"/>
      </w:r>
    </w:p>
    <w:p w14:paraId="4430E2A6"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t>Table 7.3:  Coupled Model Fuel Plate Domain Mesh Convergence Study</w:t>
      </w:r>
      <w:r>
        <w:rPr>
          <w:noProof/>
        </w:rPr>
        <w:tab/>
      </w:r>
      <w:r>
        <w:rPr>
          <w:noProof/>
        </w:rPr>
        <w:fldChar w:fldCharType="begin"/>
      </w:r>
      <w:r>
        <w:rPr>
          <w:noProof/>
        </w:rPr>
        <w:instrText xml:space="preserve"> PAGEREF _Toc382920201 \h </w:instrText>
      </w:r>
      <w:r>
        <w:rPr>
          <w:noProof/>
        </w:rPr>
      </w:r>
      <w:r>
        <w:rPr>
          <w:noProof/>
        </w:rPr>
        <w:fldChar w:fldCharType="separate"/>
      </w:r>
      <w:r w:rsidR="001C5EC1">
        <w:rPr>
          <w:noProof/>
        </w:rPr>
        <w:t>87</w:t>
      </w:r>
      <w:r>
        <w:rPr>
          <w:noProof/>
        </w:rPr>
        <w:fldChar w:fldCharType="end"/>
      </w:r>
    </w:p>
    <w:p w14:paraId="2273C263"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t>Table 7.4:  Coupled Model Alternate Coolant Mesh Study</w:t>
      </w:r>
      <w:r>
        <w:rPr>
          <w:noProof/>
        </w:rPr>
        <w:tab/>
      </w:r>
      <w:r>
        <w:rPr>
          <w:noProof/>
        </w:rPr>
        <w:fldChar w:fldCharType="begin"/>
      </w:r>
      <w:r>
        <w:rPr>
          <w:noProof/>
        </w:rPr>
        <w:instrText xml:space="preserve"> PAGEREF _Toc382920202 \h </w:instrText>
      </w:r>
      <w:r>
        <w:rPr>
          <w:noProof/>
        </w:rPr>
      </w:r>
      <w:r>
        <w:rPr>
          <w:noProof/>
        </w:rPr>
        <w:fldChar w:fldCharType="separate"/>
      </w:r>
      <w:r w:rsidR="001C5EC1">
        <w:rPr>
          <w:noProof/>
        </w:rPr>
        <w:t>92</w:t>
      </w:r>
      <w:r>
        <w:rPr>
          <w:noProof/>
        </w:rPr>
        <w:fldChar w:fldCharType="end"/>
      </w:r>
    </w:p>
    <w:p w14:paraId="4DF51FC3"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t>Table 7.5:  Mesh alt3 Comparison Solutions</w:t>
      </w:r>
      <w:r>
        <w:rPr>
          <w:noProof/>
        </w:rPr>
        <w:tab/>
      </w:r>
      <w:r>
        <w:rPr>
          <w:noProof/>
        </w:rPr>
        <w:fldChar w:fldCharType="begin"/>
      </w:r>
      <w:r>
        <w:rPr>
          <w:noProof/>
        </w:rPr>
        <w:instrText xml:space="preserve"> PAGEREF _Toc382920203 \h </w:instrText>
      </w:r>
      <w:r>
        <w:rPr>
          <w:noProof/>
        </w:rPr>
      </w:r>
      <w:r>
        <w:rPr>
          <w:noProof/>
        </w:rPr>
        <w:fldChar w:fldCharType="separate"/>
      </w:r>
      <w:r w:rsidR="001C5EC1">
        <w:rPr>
          <w:noProof/>
        </w:rPr>
        <w:t>95</w:t>
      </w:r>
      <w:r>
        <w:rPr>
          <w:noProof/>
        </w:rPr>
        <w:fldChar w:fldCharType="end"/>
      </w:r>
    </w:p>
    <w:p w14:paraId="4FD066D6"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t>Table 7.6:  Propagation of Coolant Smoothing Effect into Fuel Plate</w:t>
      </w:r>
      <w:r>
        <w:rPr>
          <w:noProof/>
        </w:rPr>
        <w:tab/>
      </w:r>
      <w:r>
        <w:rPr>
          <w:noProof/>
        </w:rPr>
        <w:fldChar w:fldCharType="begin"/>
      </w:r>
      <w:r>
        <w:rPr>
          <w:noProof/>
        </w:rPr>
        <w:instrText xml:space="preserve"> PAGEREF _Toc382920204 \h </w:instrText>
      </w:r>
      <w:r>
        <w:rPr>
          <w:noProof/>
        </w:rPr>
      </w:r>
      <w:r>
        <w:rPr>
          <w:noProof/>
        </w:rPr>
        <w:fldChar w:fldCharType="separate"/>
      </w:r>
      <w:r w:rsidR="001C5EC1">
        <w:rPr>
          <w:noProof/>
        </w:rPr>
        <w:t>109</w:t>
      </w:r>
      <w:r>
        <w:rPr>
          <w:noProof/>
        </w:rPr>
        <w:fldChar w:fldCharType="end"/>
      </w:r>
    </w:p>
    <w:p w14:paraId="09060845"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t>Table 7.7:  Coupled vs. 3D Speed-Up</w:t>
      </w:r>
      <w:r>
        <w:rPr>
          <w:noProof/>
        </w:rPr>
        <w:tab/>
      </w:r>
      <w:r>
        <w:rPr>
          <w:noProof/>
        </w:rPr>
        <w:fldChar w:fldCharType="begin"/>
      </w:r>
      <w:r>
        <w:rPr>
          <w:noProof/>
        </w:rPr>
        <w:instrText xml:space="preserve"> PAGEREF _Toc382920205 \h </w:instrText>
      </w:r>
      <w:r>
        <w:rPr>
          <w:noProof/>
        </w:rPr>
      </w:r>
      <w:r>
        <w:rPr>
          <w:noProof/>
        </w:rPr>
        <w:fldChar w:fldCharType="separate"/>
      </w:r>
      <w:r w:rsidR="001C5EC1">
        <w:rPr>
          <w:noProof/>
        </w:rPr>
        <w:t>110</w:t>
      </w:r>
      <w:r>
        <w:rPr>
          <w:noProof/>
        </w:rPr>
        <w:fldChar w:fldCharType="end"/>
      </w:r>
    </w:p>
    <w:p w14:paraId="47780174"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t>Table 7.8:  Relative Tolerance</w:t>
      </w:r>
      <w:r>
        <w:rPr>
          <w:noProof/>
        </w:rPr>
        <w:tab/>
      </w:r>
      <w:r>
        <w:rPr>
          <w:noProof/>
        </w:rPr>
        <w:fldChar w:fldCharType="begin"/>
      </w:r>
      <w:r>
        <w:rPr>
          <w:noProof/>
        </w:rPr>
        <w:instrText xml:space="preserve"> PAGEREF _Toc382920206 \h </w:instrText>
      </w:r>
      <w:r>
        <w:rPr>
          <w:noProof/>
        </w:rPr>
      </w:r>
      <w:r>
        <w:rPr>
          <w:noProof/>
        </w:rPr>
        <w:fldChar w:fldCharType="separate"/>
      </w:r>
      <w:r w:rsidR="001C5EC1">
        <w:rPr>
          <w:noProof/>
        </w:rPr>
        <w:t>110</w:t>
      </w:r>
      <w:r>
        <w:rPr>
          <w:noProof/>
        </w:rPr>
        <w:fldChar w:fldCharType="end"/>
      </w:r>
    </w:p>
    <w:p w14:paraId="441BABF3" w14:textId="53AA7CA2" w:rsidR="00F066C7" w:rsidRDefault="00F066C7">
      <w:pPr>
        <w:spacing w:line="276" w:lineRule="auto"/>
        <w:ind w:firstLine="0"/>
        <w:jc w:val="left"/>
      </w:pPr>
      <w:r>
        <w:fldChar w:fldCharType="end"/>
      </w:r>
      <w:r>
        <w:br w:type="page"/>
      </w:r>
    </w:p>
    <w:p w14:paraId="4E7C22B9" w14:textId="629FFF63" w:rsidR="008B6304" w:rsidRPr="00E40352" w:rsidRDefault="00B07475" w:rsidP="00E40352">
      <w:pPr>
        <w:ind w:firstLine="0"/>
        <w:jc w:val="center"/>
        <w:rPr>
          <w:b/>
          <w:sz w:val="24"/>
        </w:rPr>
      </w:pPr>
      <w:r w:rsidRPr="00E40352">
        <w:rPr>
          <w:b/>
          <w:sz w:val="24"/>
        </w:rPr>
        <w:lastRenderedPageBreak/>
        <w:t>List of Figures</w:t>
      </w:r>
    </w:p>
    <w:p w14:paraId="680CE714" w14:textId="29C16D2C" w:rsidR="00650AB9" w:rsidRDefault="00650AB9">
      <w:pPr>
        <w:pStyle w:val="TableofFigures"/>
        <w:tabs>
          <w:tab w:val="right" w:leader="dot" w:pos="9350"/>
        </w:tabs>
        <w:rPr>
          <w:rFonts w:asciiTheme="minorHAnsi" w:eastAsiaTheme="minorEastAsia" w:hAnsiTheme="minorHAnsi" w:cstheme="minorBidi"/>
          <w:noProof/>
        </w:rPr>
      </w:pPr>
      <w:r>
        <w:fldChar w:fldCharType="begin"/>
      </w:r>
      <w:r>
        <w:instrText xml:space="preserve"> TOC \t "Fig Title Style" \c </w:instrText>
      </w:r>
      <w:r>
        <w:fldChar w:fldCharType="separate"/>
      </w:r>
      <w:r>
        <w:rPr>
          <w:noProof/>
        </w:rPr>
        <w:t>Fig. 1.1.  Top-Down Reactor Vessel Schematic</w:t>
      </w:r>
      <w:r w:rsidRPr="007624E5">
        <w:rPr>
          <w:noProof/>
        </w:rPr>
        <w:t>.</w:t>
      </w:r>
      <w:r>
        <w:rPr>
          <w:noProof/>
        </w:rPr>
        <w:tab/>
      </w:r>
      <w:r>
        <w:rPr>
          <w:noProof/>
        </w:rPr>
        <w:fldChar w:fldCharType="begin"/>
      </w:r>
      <w:r>
        <w:rPr>
          <w:noProof/>
        </w:rPr>
        <w:instrText xml:space="preserve"> PAGEREF _Toc382920240 \h </w:instrText>
      </w:r>
      <w:r>
        <w:rPr>
          <w:noProof/>
        </w:rPr>
      </w:r>
      <w:r>
        <w:rPr>
          <w:noProof/>
        </w:rPr>
        <w:fldChar w:fldCharType="separate"/>
      </w:r>
      <w:r w:rsidR="001C5EC1">
        <w:rPr>
          <w:noProof/>
        </w:rPr>
        <w:t>2</w:t>
      </w:r>
      <w:r>
        <w:rPr>
          <w:noProof/>
        </w:rPr>
        <w:fldChar w:fldCharType="end"/>
      </w:r>
    </w:p>
    <w:p w14:paraId="5209C5FA" w14:textId="37968428" w:rsidR="00650AB9" w:rsidRDefault="00650AB9">
      <w:pPr>
        <w:pStyle w:val="TableofFigures"/>
        <w:tabs>
          <w:tab w:val="right" w:leader="dot" w:pos="9350"/>
        </w:tabs>
        <w:rPr>
          <w:rFonts w:asciiTheme="minorHAnsi" w:eastAsiaTheme="minorEastAsia" w:hAnsiTheme="minorHAnsi" w:cstheme="minorBidi"/>
          <w:noProof/>
        </w:rPr>
      </w:pPr>
      <w:r>
        <w:rPr>
          <w:noProof/>
        </w:rPr>
        <w:t>Fig. 1.2.  Reactor Core Mock-Up</w:t>
      </w:r>
      <w:r>
        <w:rPr>
          <w:noProof/>
        </w:rPr>
        <w:tab/>
      </w:r>
      <w:r>
        <w:rPr>
          <w:noProof/>
        </w:rPr>
        <w:fldChar w:fldCharType="begin"/>
      </w:r>
      <w:r>
        <w:rPr>
          <w:noProof/>
        </w:rPr>
        <w:instrText xml:space="preserve"> PAGEREF _Toc382920241 \h </w:instrText>
      </w:r>
      <w:r>
        <w:rPr>
          <w:noProof/>
        </w:rPr>
      </w:r>
      <w:r>
        <w:rPr>
          <w:noProof/>
        </w:rPr>
        <w:fldChar w:fldCharType="separate"/>
      </w:r>
      <w:r w:rsidR="001C5EC1">
        <w:rPr>
          <w:noProof/>
        </w:rPr>
        <w:t>3</w:t>
      </w:r>
      <w:r>
        <w:rPr>
          <w:noProof/>
        </w:rPr>
        <w:fldChar w:fldCharType="end"/>
      </w:r>
    </w:p>
    <w:p w14:paraId="5BFCEE3F" w14:textId="611D3689" w:rsidR="00650AB9" w:rsidRDefault="00650AB9">
      <w:pPr>
        <w:pStyle w:val="TableofFigures"/>
        <w:tabs>
          <w:tab w:val="right" w:leader="dot" w:pos="9350"/>
        </w:tabs>
        <w:rPr>
          <w:rFonts w:asciiTheme="minorHAnsi" w:eastAsiaTheme="minorEastAsia" w:hAnsiTheme="minorHAnsi" w:cstheme="minorBidi"/>
          <w:noProof/>
        </w:rPr>
      </w:pPr>
      <w:r>
        <w:rPr>
          <w:noProof/>
        </w:rPr>
        <w:t>Fig. 3.1.  Basic Circular Involute</w:t>
      </w:r>
      <w:r>
        <w:rPr>
          <w:noProof/>
        </w:rPr>
        <w:tab/>
      </w:r>
      <w:r>
        <w:rPr>
          <w:noProof/>
        </w:rPr>
        <w:fldChar w:fldCharType="begin"/>
      </w:r>
      <w:r>
        <w:rPr>
          <w:noProof/>
        </w:rPr>
        <w:instrText xml:space="preserve"> PAGEREF _Toc382920242 \h </w:instrText>
      </w:r>
      <w:r>
        <w:rPr>
          <w:noProof/>
        </w:rPr>
      </w:r>
      <w:r>
        <w:rPr>
          <w:noProof/>
        </w:rPr>
        <w:fldChar w:fldCharType="separate"/>
      </w:r>
      <w:r w:rsidR="001C5EC1">
        <w:rPr>
          <w:noProof/>
        </w:rPr>
        <w:t>11</w:t>
      </w:r>
      <w:r>
        <w:rPr>
          <w:noProof/>
        </w:rPr>
        <w:fldChar w:fldCharType="end"/>
      </w:r>
    </w:p>
    <w:p w14:paraId="114CCC58" w14:textId="38C21078" w:rsidR="00650AB9" w:rsidRDefault="00650AB9">
      <w:pPr>
        <w:pStyle w:val="TableofFigures"/>
        <w:tabs>
          <w:tab w:val="right" w:leader="dot" w:pos="9350"/>
        </w:tabs>
        <w:rPr>
          <w:rFonts w:asciiTheme="minorHAnsi" w:eastAsiaTheme="minorEastAsia" w:hAnsiTheme="minorHAnsi" w:cstheme="minorBidi"/>
          <w:noProof/>
        </w:rPr>
      </w:pPr>
      <w:r>
        <w:rPr>
          <w:noProof/>
        </w:rPr>
        <w:t>Fig. 3.2.  Angular Parameters</w:t>
      </w:r>
      <w:r w:rsidRPr="007624E5">
        <w:rPr>
          <w:noProof/>
        </w:rPr>
        <w:t>.</w:t>
      </w:r>
      <w:r>
        <w:rPr>
          <w:noProof/>
        </w:rPr>
        <w:tab/>
      </w:r>
      <w:r>
        <w:rPr>
          <w:noProof/>
        </w:rPr>
        <w:fldChar w:fldCharType="begin"/>
      </w:r>
      <w:r>
        <w:rPr>
          <w:noProof/>
        </w:rPr>
        <w:instrText xml:space="preserve"> PAGEREF _Toc382920243 \h </w:instrText>
      </w:r>
      <w:r>
        <w:rPr>
          <w:noProof/>
        </w:rPr>
      </w:r>
      <w:r>
        <w:rPr>
          <w:noProof/>
        </w:rPr>
        <w:fldChar w:fldCharType="separate"/>
      </w:r>
      <w:r w:rsidR="001C5EC1">
        <w:rPr>
          <w:noProof/>
        </w:rPr>
        <w:t>13</w:t>
      </w:r>
      <w:r>
        <w:rPr>
          <w:noProof/>
        </w:rPr>
        <w:fldChar w:fldCharType="end"/>
      </w:r>
    </w:p>
    <w:p w14:paraId="4A47FD32" w14:textId="5A94F660" w:rsidR="00650AB9" w:rsidRDefault="00650AB9">
      <w:pPr>
        <w:pStyle w:val="TableofFigures"/>
        <w:tabs>
          <w:tab w:val="right" w:leader="dot" w:pos="9350"/>
        </w:tabs>
        <w:rPr>
          <w:rFonts w:asciiTheme="minorHAnsi" w:eastAsiaTheme="minorEastAsia" w:hAnsiTheme="minorHAnsi" w:cstheme="minorBidi"/>
          <w:noProof/>
        </w:rPr>
      </w:pPr>
      <w:r>
        <w:rPr>
          <w:noProof/>
        </w:rPr>
        <w:t>Fig. 3.3.  Involute Curve Constant Offset</w:t>
      </w:r>
      <w:r>
        <w:rPr>
          <w:noProof/>
        </w:rPr>
        <w:tab/>
      </w:r>
      <w:r>
        <w:rPr>
          <w:noProof/>
        </w:rPr>
        <w:fldChar w:fldCharType="begin"/>
      </w:r>
      <w:r>
        <w:rPr>
          <w:noProof/>
        </w:rPr>
        <w:instrText xml:space="preserve"> PAGEREF _Toc382920244 \h </w:instrText>
      </w:r>
      <w:r>
        <w:rPr>
          <w:noProof/>
        </w:rPr>
      </w:r>
      <w:r>
        <w:rPr>
          <w:noProof/>
        </w:rPr>
        <w:fldChar w:fldCharType="separate"/>
      </w:r>
      <w:r w:rsidR="001C5EC1">
        <w:rPr>
          <w:noProof/>
        </w:rPr>
        <w:t>14</w:t>
      </w:r>
      <w:r>
        <w:rPr>
          <w:noProof/>
        </w:rPr>
        <w:fldChar w:fldCharType="end"/>
      </w:r>
    </w:p>
    <w:p w14:paraId="46C94DF7" w14:textId="396B0B15" w:rsidR="00650AB9" w:rsidRDefault="00650AB9">
      <w:pPr>
        <w:pStyle w:val="TableofFigures"/>
        <w:tabs>
          <w:tab w:val="right" w:leader="dot" w:pos="9350"/>
        </w:tabs>
        <w:rPr>
          <w:rFonts w:asciiTheme="minorHAnsi" w:eastAsiaTheme="minorEastAsia" w:hAnsiTheme="minorHAnsi" w:cstheme="minorBidi"/>
          <w:noProof/>
        </w:rPr>
      </w:pPr>
      <w:r>
        <w:rPr>
          <w:noProof/>
        </w:rPr>
        <w:t>Fig. 3.4.  Adjacent Involute Constant Offset</w:t>
      </w:r>
      <w:r>
        <w:rPr>
          <w:noProof/>
        </w:rPr>
        <w:tab/>
      </w:r>
      <w:r>
        <w:rPr>
          <w:noProof/>
        </w:rPr>
        <w:fldChar w:fldCharType="begin"/>
      </w:r>
      <w:r>
        <w:rPr>
          <w:noProof/>
        </w:rPr>
        <w:instrText xml:space="preserve"> PAGEREF _Toc382920245 \h </w:instrText>
      </w:r>
      <w:r>
        <w:rPr>
          <w:noProof/>
        </w:rPr>
      </w:r>
      <w:r>
        <w:rPr>
          <w:noProof/>
        </w:rPr>
        <w:fldChar w:fldCharType="separate"/>
      </w:r>
      <w:r w:rsidR="001C5EC1">
        <w:rPr>
          <w:noProof/>
        </w:rPr>
        <w:t>15</w:t>
      </w:r>
      <w:r>
        <w:rPr>
          <w:noProof/>
        </w:rPr>
        <w:fldChar w:fldCharType="end"/>
      </w:r>
    </w:p>
    <w:p w14:paraId="33C0DEAA" w14:textId="1FBCA13C" w:rsidR="00650AB9" w:rsidRDefault="00650AB9">
      <w:pPr>
        <w:pStyle w:val="TableofFigures"/>
        <w:tabs>
          <w:tab w:val="right" w:leader="dot" w:pos="9350"/>
        </w:tabs>
        <w:rPr>
          <w:rFonts w:asciiTheme="minorHAnsi" w:eastAsiaTheme="minorEastAsia" w:hAnsiTheme="minorHAnsi" w:cstheme="minorBidi"/>
          <w:noProof/>
        </w:rPr>
      </w:pPr>
      <w:r>
        <w:rPr>
          <w:noProof/>
        </w:rPr>
        <w:t>Fig. 3.5.  HFIR Core Inner Element Fuel Plate Configuration</w:t>
      </w:r>
      <w:r>
        <w:rPr>
          <w:noProof/>
        </w:rPr>
        <w:tab/>
      </w:r>
      <w:r>
        <w:rPr>
          <w:noProof/>
        </w:rPr>
        <w:fldChar w:fldCharType="begin"/>
      </w:r>
      <w:r>
        <w:rPr>
          <w:noProof/>
        </w:rPr>
        <w:instrText xml:space="preserve"> PAGEREF _Toc382920246 \h </w:instrText>
      </w:r>
      <w:r>
        <w:rPr>
          <w:noProof/>
        </w:rPr>
      </w:r>
      <w:r>
        <w:rPr>
          <w:noProof/>
        </w:rPr>
        <w:fldChar w:fldCharType="separate"/>
      </w:r>
      <w:r w:rsidR="001C5EC1">
        <w:rPr>
          <w:noProof/>
        </w:rPr>
        <w:t>17</w:t>
      </w:r>
      <w:r>
        <w:rPr>
          <w:noProof/>
        </w:rPr>
        <w:fldChar w:fldCharType="end"/>
      </w:r>
    </w:p>
    <w:p w14:paraId="092AE2BF" w14:textId="228244E7" w:rsidR="00650AB9" w:rsidRDefault="00650AB9">
      <w:pPr>
        <w:pStyle w:val="TableofFigures"/>
        <w:tabs>
          <w:tab w:val="right" w:leader="dot" w:pos="9350"/>
        </w:tabs>
        <w:rPr>
          <w:rFonts w:asciiTheme="minorHAnsi" w:eastAsiaTheme="minorEastAsia" w:hAnsiTheme="minorHAnsi" w:cstheme="minorBidi"/>
          <w:noProof/>
        </w:rPr>
      </w:pPr>
      <w:r>
        <w:rPr>
          <w:noProof/>
        </w:rPr>
        <w:t>Fig. 3.6.  ATR Core Cross-Section and Fuel Plate Detail</w:t>
      </w:r>
      <w:r>
        <w:rPr>
          <w:noProof/>
        </w:rPr>
        <w:tab/>
      </w:r>
      <w:r>
        <w:rPr>
          <w:noProof/>
        </w:rPr>
        <w:fldChar w:fldCharType="begin"/>
      </w:r>
      <w:r>
        <w:rPr>
          <w:noProof/>
        </w:rPr>
        <w:instrText xml:space="preserve"> PAGEREF _Toc382920247 \h </w:instrText>
      </w:r>
      <w:r>
        <w:rPr>
          <w:noProof/>
        </w:rPr>
      </w:r>
      <w:r>
        <w:rPr>
          <w:noProof/>
        </w:rPr>
        <w:fldChar w:fldCharType="separate"/>
      </w:r>
      <w:r w:rsidR="001C5EC1">
        <w:rPr>
          <w:noProof/>
        </w:rPr>
        <w:t>18</w:t>
      </w:r>
      <w:r>
        <w:rPr>
          <w:noProof/>
        </w:rPr>
        <w:fldChar w:fldCharType="end"/>
      </w:r>
    </w:p>
    <w:p w14:paraId="4D497BB3" w14:textId="7A9A1E0B" w:rsidR="00650AB9" w:rsidRDefault="00650AB9">
      <w:pPr>
        <w:pStyle w:val="TableofFigures"/>
        <w:tabs>
          <w:tab w:val="right" w:leader="dot" w:pos="9350"/>
        </w:tabs>
        <w:rPr>
          <w:rFonts w:asciiTheme="minorHAnsi" w:eastAsiaTheme="minorEastAsia" w:hAnsiTheme="minorHAnsi" w:cstheme="minorBidi"/>
          <w:noProof/>
        </w:rPr>
      </w:pPr>
      <w:r>
        <w:rPr>
          <w:noProof/>
        </w:rPr>
        <w:t>Fig. 3.7.  MIT Reactor Core Cross-Section</w:t>
      </w:r>
      <w:r>
        <w:rPr>
          <w:noProof/>
        </w:rPr>
        <w:tab/>
      </w:r>
      <w:r>
        <w:rPr>
          <w:noProof/>
        </w:rPr>
        <w:fldChar w:fldCharType="begin"/>
      </w:r>
      <w:r>
        <w:rPr>
          <w:noProof/>
        </w:rPr>
        <w:instrText xml:space="preserve"> PAGEREF _Toc382920248 \h </w:instrText>
      </w:r>
      <w:r>
        <w:rPr>
          <w:noProof/>
        </w:rPr>
      </w:r>
      <w:r>
        <w:rPr>
          <w:noProof/>
        </w:rPr>
        <w:fldChar w:fldCharType="separate"/>
      </w:r>
      <w:r w:rsidR="001C5EC1">
        <w:rPr>
          <w:noProof/>
        </w:rPr>
        <w:t>19</w:t>
      </w:r>
      <w:r>
        <w:rPr>
          <w:noProof/>
        </w:rPr>
        <w:fldChar w:fldCharType="end"/>
      </w:r>
    </w:p>
    <w:p w14:paraId="171B525A" w14:textId="06977048" w:rsidR="00650AB9" w:rsidRDefault="00650AB9">
      <w:pPr>
        <w:pStyle w:val="TableofFigures"/>
        <w:tabs>
          <w:tab w:val="right" w:leader="dot" w:pos="9350"/>
        </w:tabs>
        <w:rPr>
          <w:rFonts w:asciiTheme="minorHAnsi" w:eastAsiaTheme="minorEastAsia" w:hAnsiTheme="minorHAnsi" w:cstheme="minorBidi"/>
          <w:noProof/>
        </w:rPr>
      </w:pPr>
      <w:r>
        <w:rPr>
          <w:noProof/>
        </w:rPr>
        <w:t>Fig. 3.8.  Perpendicular Involute Offset</w:t>
      </w:r>
      <w:r>
        <w:rPr>
          <w:noProof/>
        </w:rPr>
        <w:tab/>
      </w:r>
      <w:r>
        <w:rPr>
          <w:noProof/>
        </w:rPr>
        <w:fldChar w:fldCharType="begin"/>
      </w:r>
      <w:r>
        <w:rPr>
          <w:noProof/>
        </w:rPr>
        <w:instrText xml:space="preserve"> PAGEREF _Toc382920249 \h </w:instrText>
      </w:r>
      <w:r>
        <w:rPr>
          <w:noProof/>
        </w:rPr>
      </w:r>
      <w:r>
        <w:rPr>
          <w:noProof/>
        </w:rPr>
        <w:fldChar w:fldCharType="separate"/>
      </w:r>
      <w:r w:rsidR="001C5EC1">
        <w:rPr>
          <w:noProof/>
        </w:rPr>
        <w:t>20</w:t>
      </w:r>
      <w:r>
        <w:rPr>
          <w:noProof/>
        </w:rPr>
        <w:fldChar w:fldCharType="end"/>
      </w:r>
    </w:p>
    <w:p w14:paraId="0E3315BF" w14:textId="7ABB3126" w:rsidR="00650AB9" w:rsidRDefault="00650AB9">
      <w:pPr>
        <w:pStyle w:val="TableofFigures"/>
        <w:tabs>
          <w:tab w:val="right" w:leader="dot" w:pos="9350"/>
        </w:tabs>
        <w:rPr>
          <w:rFonts w:asciiTheme="minorHAnsi" w:eastAsiaTheme="minorEastAsia" w:hAnsiTheme="minorHAnsi" w:cstheme="minorBidi"/>
          <w:noProof/>
        </w:rPr>
      </w:pPr>
      <w:r>
        <w:rPr>
          <w:noProof/>
        </w:rPr>
        <w:t>Fig. 3.9.  Out-of-Plane Involute Curve</w:t>
      </w:r>
      <w:r>
        <w:rPr>
          <w:noProof/>
        </w:rPr>
        <w:tab/>
      </w:r>
      <w:r>
        <w:rPr>
          <w:noProof/>
        </w:rPr>
        <w:fldChar w:fldCharType="begin"/>
      </w:r>
      <w:r>
        <w:rPr>
          <w:noProof/>
        </w:rPr>
        <w:instrText xml:space="preserve"> PAGEREF _Toc382920250 \h </w:instrText>
      </w:r>
      <w:r>
        <w:rPr>
          <w:noProof/>
        </w:rPr>
      </w:r>
      <w:r>
        <w:rPr>
          <w:noProof/>
        </w:rPr>
        <w:fldChar w:fldCharType="separate"/>
      </w:r>
      <w:r w:rsidR="001C5EC1">
        <w:rPr>
          <w:noProof/>
        </w:rPr>
        <w:t>25</w:t>
      </w:r>
      <w:r>
        <w:rPr>
          <w:noProof/>
        </w:rPr>
        <w:fldChar w:fldCharType="end"/>
      </w:r>
    </w:p>
    <w:p w14:paraId="58D60C10" w14:textId="58476C01" w:rsidR="00650AB9" w:rsidRDefault="00650AB9">
      <w:pPr>
        <w:pStyle w:val="TableofFigures"/>
        <w:tabs>
          <w:tab w:val="right" w:leader="dot" w:pos="9350"/>
        </w:tabs>
        <w:rPr>
          <w:rFonts w:asciiTheme="minorHAnsi" w:eastAsiaTheme="minorEastAsia" w:hAnsiTheme="minorHAnsi" w:cstheme="minorBidi"/>
          <w:noProof/>
        </w:rPr>
      </w:pPr>
      <w:r>
        <w:rPr>
          <w:noProof/>
        </w:rPr>
        <w:t>Fig. 3.10.  Inner Element Fuel Plate Dimensions</w:t>
      </w:r>
      <w:r>
        <w:rPr>
          <w:noProof/>
        </w:rPr>
        <w:tab/>
      </w:r>
      <w:r>
        <w:rPr>
          <w:noProof/>
        </w:rPr>
        <w:fldChar w:fldCharType="begin"/>
      </w:r>
      <w:r>
        <w:rPr>
          <w:noProof/>
        </w:rPr>
        <w:instrText xml:space="preserve"> PAGEREF _Toc382920251 \h </w:instrText>
      </w:r>
      <w:r>
        <w:rPr>
          <w:noProof/>
        </w:rPr>
      </w:r>
      <w:r>
        <w:rPr>
          <w:noProof/>
        </w:rPr>
        <w:fldChar w:fldCharType="separate"/>
      </w:r>
      <w:r w:rsidR="001C5EC1">
        <w:rPr>
          <w:noProof/>
        </w:rPr>
        <w:t>26</w:t>
      </w:r>
      <w:r>
        <w:rPr>
          <w:noProof/>
        </w:rPr>
        <w:fldChar w:fldCharType="end"/>
      </w:r>
    </w:p>
    <w:p w14:paraId="2699AD30" w14:textId="7D91920E" w:rsidR="00650AB9" w:rsidRDefault="00650AB9">
      <w:pPr>
        <w:pStyle w:val="TableofFigures"/>
        <w:tabs>
          <w:tab w:val="right" w:leader="dot" w:pos="9350"/>
        </w:tabs>
        <w:rPr>
          <w:rFonts w:asciiTheme="minorHAnsi" w:eastAsiaTheme="minorEastAsia" w:hAnsiTheme="minorHAnsi" w:cstheme="minorBidi"/>
          <w:noProof/>
        </w:rPr>
      </w:pPr>
      <w:r>
        <w:rPr>
          <w:noProof/>
        </w:rPr>
        <w:t>Fig. 3.11.  Linearized HEU Fuel Thickness Profile</w:t>
      </w:r>
      <w:r>
        <w:rPr>
          <w:noProof/>
        </w:rPr>
        <w:tab/>
      </w:r>
      <w:r>
        <w:rPr>
          <w:noProof/>
        </w:rPr>
        <w:fldChar w:fldCharType="begin"/>
      </w:r>
      <w:r>
        <w:rPr>
          <w:noProof/>
        </w:rPr>
        <w:instrText xml:space="preserve"> PAGEREF _Toc382920252 \h </w:instrText>
      </w:r>
      <w:r>
        <w:rPr>
          <w:noProof/>
        </w:rPr>
      </w:r>
      <w:r>
        <w:rPr>
          <w:noProof/>
        </w:rPr>
        <w:fldChar w:fldCharType="separate"/>
      </w:r>
      <w:r w:rsidR="001C5EC1">
        <w:rPr>
          <w:noProof/>
        </w:rPr>
        <w:t>27</w:t>
      </w:r>
      <w:r>
        <w:rPr>
          <w:noProof/>
        </w:rPr>
        <w:fldChar w:fldCharType="end"/>
      </w:r>
    </w:p>
    <w:p w14:paraId="7095C913" w14:textId="549D2EAD" w:rsidR="00650AB9" w:rsidRDefault="00650AB9">
      <w:pPr>
        <w:pStyle w:val="TableofFigures"/>
        <w:tabs>
          <w:tab w:val="right" w:leader="dot" w:pos="9350"/>
        </w:tabs>
        <w:rPr>
          <w:rFonts w:asciiTheme="minorHAnsi" w:eastAsiaTheme="minorEastAsia" w:hAnsiTheme="minorHAnsi" w:cstheme="minorBidi"/>
          <w:noProof/>
        </w:rPr>
      </w:pPr>
      <w:r>
        <w:rPr>
          <w:noProof/>
        </w:rPr>
        <w:t>Fig. 3.12.  Linearized LEU Fuel Thickness Profile</w:t>
      </w:r>
      <w:r>
        <w:rPr>
          <w:noProof/>
        </w:rPr>
        <w:tab/>
      </w:r>
      <w:r>
        <w:rPr>
          <w:noProof/>
        </w:rPr>
        <w:fldChar w:fldCharType="begin"/>
      </w:r>
      <w:r>
        <w:rPr>
          <w:noProof/>
        </w:rPr>
        <w:instrText xml:space="preserve"> PAGEREF _Toc382920253 \h </w:instrText>
      </w:r>
      <w:r>
        <w:rPr>
          <w:noProof/>
        </w:rPr>
      </w:r>
      <w:r>
        <w:rPr>
          <w:noProof/>
        </w:rPr>
        <w:fldChar w:fldCharType="separate"/>
      </w:r>
      <w:r w:rsidR="001C5EC1">
        <w:rPr>
          <w:noProof/>
        </w:rPr>
        <w:t>28</w:t>
      </w:r>
      <w:r>
        <w:rPr>
          <w:noProof/>
        </w:rPr>
        <w:fldChar w:fldCharType="end"/>
      </w:r>
    </w:p>
    <w:p w14:paraId="3D4FD869" w14:textId="2D148BF9" w:rsidR="00650AB9" w:rsidRDefault="00650AB9">
      <w:pPr>
        <w:pStyle w:val="TableofFigures"/>
        <w:tabs>
          <w:tab w:val="right" w:leader="dot" w:pos="9350"/>
        </w:tabs>
        <w:rPr>
          <w:rFonts w:asciiTheme="minorHAnsi" w:eastAsiaTheme="minorEastAsia" w:hAnsiTheme="minorHAnsi" w:cstheme="minorBidi"/>
          <w:noProof/>
        </w:rPr>
      </w:pPr>
      <w:r>
        <w:rPr>
          <w:noProof/>
        </w:rPr>
        <w:t>Fig. 3.13.  Linearized LEU Fuel Geometries</w:t>
      </w:r>
      <w:r>
        <w:rPr>
          <w:noProof/>
        </w:rPr>
        <w:tab/>
      </w:r>
      <w:r>
        <w:rPr>
          <w:noProof/>
        </w:rPr>
        <w:fldChar w:fldCharType="begin"/>
      </w:r>
      <w:r>
        <w:rPr>
          <w:noProof/>
        </w:rPr>
        <w:instrText xml:space="preserve"> PAGEREF _Toc382920254 \h </w:instrText>
      </w:r>
      <w:r>
        <w:rPr>
          <w:noProof/>
        </w:rPr>
      </w:r>
      <w:r>
        <w:rPr>
          <w:noProof/>
        </w:rPr>
        <w:fldChar w:fldCharType="separate"/>
      </w:r>
      <w:r w:rsidR="001C5EC1">
        <w:rPr>
          <w:noProof/>
        </w:rPr>
        <w:t>29</w:t>
      </w:r>
      <w:r>
        <w:rPr>
          <w:noProof/>
        </w:rPr>
        <w:fldChar w:fldCharType="end"/>
      </w:r>
    </w:p>
    <w:p w14:paraId="3B2E0D62" w14:textId="084AA33B" w:rsidR="00650AB9" w:rsidRDefault="00650AB9">
      <w:pPr>
        <w:pStyle w:val="TableofFigures"/>
        <w:tabs>
          <w:tab w:val="right" w:leader="dot" w:pos="9350"/>
        </w:tabs>
        <w:rPr>
          <w:rFonts w:asciiTheme="minorHAnsi" w:eastAsiaTheme="minorEastAsia" w:hAnsiTheme="minorHAnsi" w:cstheme="minorBidi"/>
          <w:noProof/>
        </w:rPr>
      </w:pPr>
      <w:r>
        <w:rPr>
          <w:noProof/>
        </w:rPr>
        <w:t>Fig. 3.14.  Coolant Channel and Side Plate Periodicity</w:t>
      </w:r>
      <w:r>
        <w:rPr>
          <w:noProof/>
        </w:rPr>
        <w:tab/>
      </w:r>
      <w:r>
        <w:rPr>
          <w:noProof/>
        </w:rPr>
        <w:fldChar w:fldCharType="begin"/>
      </w:r>
      <w:r>
        <w:rPr>
          <w:noProof/>
        </w:rPr>
        <w:instrText xml:space="preserve"> PAGEREF _Toc382920255 \h </w:instrText>
      </w:r>
      <w:r>
        <w:rPr>
          <w:noProof/>
        </w:rPr>
      </w:r>
      <w:r>
        <w:rPr>
          <w:noProof/>
        </w:rPr>
        <w:fldChar w:fldCharType="separate"/>
      </w:r>
      <w:r w:rsidR="001C5EC1">
        <w:rPr>
          <w:noProof/>
        </w:rPr>
        <w:t>30</w:t>
      </w:r>
      <w:r>
        <w:rPr>
          <w:noProof/>
        </w:rPr>
        <w:fldChar w:fldCharType="end"/>
      </w:r>
    </w:p>
    <w:p w14:paraId="70C44F40" w14:textId="3264C4C2" w:rsidR="00650AB9" w:rsidRDefault="00650AB9">
      <w:pPr>
        <w:pStyle w:val="TableofFigures"/>
        <w:tabs>
          <w:tab w:val="right" w:leader="dot" w:pos="9350"/>
        </w:tabs>
        <w:rPr>
          <w:rFonts w:asciiTheme="minorHAnsi" w:eastAsiaTheme="minorEastAsia" w:hAnsiTheme="minorHAnsi" w:cstheme="minorBidi"/>
          <w:noProof/>
        </w:rPr>
      </w:pPr>
      <w:r>
        <w:rPr>
          <w:noProof/>
        </w:rPr>
        <w:t>Fig. 5.1.  Assembled Coolant Components</w:t>
      </w:r>
      <w:r>
        <w:rPr>
          <w:noProof/>
        </w:rPr>
        <w:tab/>
      </w:r>
      <w:r>
        <w:rPr>
          <w:noProof/>
        </w:rPr>
        <w:fldChar w:fldCharType="begin"/>
      </w:r>
      <w:r>
        <w:rPr>
          <w:noProof/>
        </w:rPr>
        <w:instrText xml:space="preserve"> PAGEREF _Toc382920256 \h </w:instrText>
      </w:r>
      <w:r>
        <w:rPr>
          <w:noProof/>
        </w:rPr>
      </w:r>
      <w:r>
        <w:rPr>
          <w:noProof/>
        </w:rPr>
        <w:fldChar w:fldCharType="separate"/>
      </w:r>
      <w:r w:rsidR="001C5EC1">
        <w:rPr>
          <w:noProof/>
        </w:rPr>
        <w:t>35</w:t>
      </w:r>
      <w:r>
        <w:rPr>
          <w:noProof/>
        </w:rPr>
        <w:fldChar w:fldCharType="end"/>
      </w:r>
    </w:p>
    <w:p w14:paraId="3621449C" w14:textId="5EDD1467" w:rsidR="00650AB9" w:rsidRDefault="00650AB9">
      <w:pPr>
        <w:pStyle w:val="TableofFigures"/>
        <w:tabs>
          <w:tab w:val="right" w:leader="dot" w:pos="9350"/>
        </w:tabs>
        <w:rPr>
          <w:rFonts w:asciiTheme="minorHAnsi" w:eastAsiaTheme="minorEastAsia" w:hAnsiTheme="minorHAnsi" w:cstheme="minorBidi"/>
          <w:noProof/>
        </w:rPr>
      </w:pPr>
      <w:r>
        <w:rPr>
          <w:noProof/>
        </w:rPr>
        <w:t>Fig. 5.2.  COMSOL Assemblage Side Profile Diagram</w:t>
      </w:r>
      <w:r>
        <w:rPr>
          <w:noProof/>
        </w:rPr>
        <w:tab/>
      </w:r>
      <w:r>
        <w:rPr>
          <w:noProof/>
        </w:rPr>
        <w:fldChar w:fldCharType="begin"/>
      </w:r>
      <w:r>
        <w:rPr>
          <w:noProof/>
        </w:rPr>
        <w:instrText xml:space="preserve"> PAGEREF _Toc382920257 \h </w:instrText>
      </w:r>
      <w:r>
        <w:rPr>
          <w:noProof/>
        </w:rPr>
      </w:r>
      <w:r>
        <w:rPr>
          <w:noProof/>
        </w:rPr>
        <w:fldChar w:fldCharType="separate"/>
      </w:r>
      <w:r w:rsidR="001C5EC1">
        <w:rPr>
          <w:noProof/>
        </w:rPr>
        <w:t>36</w:t>
      </w:r>
      <w:r>
        <w:rPr>
          <w:noProof/>
        </w:rPr>
        <w:fldChar w:fldCharType="end"/>
      </w:r>
    </w:p>
    <w:p w14:paraId="3551DFFA" w14:textId="2458CDDF" w:rsidR="00650AB9" w:rsidRDefault="00650AB9">
      <w:pPr>
        <w:pStyle w:val="TableofFigures"/>
        <w:tabs>
          <w:tab w:val="right" w:leader="dot" w:pos="9350"/>
        </w:tabs>
        <w:rPr>
          <w:rFonts w:asciiTheme="minorHAnsi" w:eastAsiaTheme="minorEastAsia" w:hAnsiTheme="minorHAnsi" w:cstheme="minorBidi"/>
          <w:noProof/>
        </w:rPr>
      </w:pPr>
      <w:r>
        <w:rPr>
          <w:noProof/>
        </w:rPr>
        <w:t>Fig. 5.3.  Solid Geometry Assemblage</w:t>
      </w:r>
      <w:r>
        <w:rPr>
          <w:noProof/>
        </w:rPr>
        <w:tab/>
      </w:r>
      <w:r>
        <w:rPr>
          <w:noProof/>
        </w:rPr>
        <w:fldChar w:fldCharType="begin"/>
      </w:r>
      <w:r>
        <w:rPr>
          <w:noProof/>
        </w:rPr>
        <w:instrText xml:space="preserve"> PAGEREF _Toc382920258 \h </w:instrText>
      </w:r>
      <w:r>
        <w:rPr>
          <w:noProof/>
        </w:rPr>
      </w:r>
      <w:r>
        <w:rPr>
          <w:noProof/>
        </w:rPr>
        <w:fldChar w:fldCharType="separate"/>
      </w:r>
      <w:r w:rsidR="001C5EC1">
        <w:rPr>
          <w:noProof/>
        </w:rPr>
        <w:t>37</w:t>
      </w:r>
      <w:r>
        <w:rPr>
          <w:noProof/>
        </w:rPr>
        <w:fldChar w:fldCharType="end"/>
      </w:r>
    </w:p>
    <w:p w14:paraId="210A425A" w14:textId="61D06C46" w:rsidR="00650AB9" w:rsidRDefault="00650AB9">
      <w:pPr>
        <w:pStyle w:val="TableofFigures"/>
        <w:tabs>
          <w:tab w:val="right" w:leader="dot" w:pos="9350"/>
        </w:tabs>
        <w:rPr>
          <w:rFonts w:asciiTheme="minorHAnsi" w:eastAsiaTheme="minorEastAsia" w:hAnsiTheme="minorHAnsi" w:cstheme="minorBidi"/>
          <w:noProof/>
        </w:rPr>
      </w:pPr>
      <w:r>
        <w:rPr>
          <w:noProof/>
        </w:rPr>
        <w:t>Fig. 5.4.  Initial Pressure Profile</w:t>
      </w:r>
      <w:r>
        <w:rPr>
          <w:noProof/>
        </w:rPr>
        <w:tab/>
      </w:r>
      <w:r>
        <w:rPr>
          <w:noProof/>
        </w:rPr>
        <w:fldChar w:fldCharType="begin"/>
      </w:r>
      <w:r>
        <w:rPr>
          <w:noProof/>
        </w:rPr>
        <w:instrText xml:space="preserve"> PAGEREF _Toc382920259 \h </w:instrText>
      </w:r>
      <w:r>
        <w:rPr>
          <w:noProof/>
        </w:rPr>
      </w:r>
      <w:r>
        <w:rPr>
          <w:noProof/>
        </w:rPr>
        <w:fldChar w:fldCharType="separate"/>
      </w:r>
      <w:r w:rsidR="001C5EC1">
        <w:rPr>
          <w:noProof/>
        </w:rPr>
        <w:t>39</w:t>
      </w:r>
      <w:r>
        <w:rPr>
          <w:noProof/>
        </w:rPr>
        <w:fldChar w:fldCharType="end"/>
      </w:r>
    </w:p>
    <w:p w14:paraId="21A049F1" w14:textId="2F011482" w:rsidR="00650AB9" w:rsidRDefault="00650AB9">
      <w:pPr>
        <w:pStyle w:val="TableofFigures"/>
        <w:tabs>
          <w:tab w:val="right" w:leader="dot" w:pos="9350"/>
        </w:tabs>
        <w:rPr>
          <w:rFonts w:asciiTheme="minorHAnsi" w:eastAsiaTheme="minorEastAsia" w:hAnsiTheme="minorHAnsi" w:cstheme="minorBidi"/>
          <w:noProof/>
        </w:rPr>
      </w:pPr>
      <w:r>
        <w:rPr>
          <w:noProof/>
        </w:rPr>
        <w:t>Fig. 5.5.  Initial Temperature Profile</w:t>
      </w:r>
      <w:r>
        <w:rPr>
          <w:noProof/>
        </w:rPr>
        <w:tab/>
      </w:r>
      <w:r>
        <w:rPr>
          <w:noProof/>
        </w:rPr>
        <w:fldChar w:fldCharType="begin"/>
      </w:r>
      <w:r>
        <w:rPr>
          <w:noProof/>
        </w:rPr>
        <w:instrText xml:space="preserve"> PAGEREF _Toc382920260 \h </w:instrText>
      </w:r>
      <w:r>
        <w:rPr>
          <w:noProof/>
        </w:rPr>
      </w:r>
      <w:r>
        <w:rPr>
          <w:noProof/>
        </w:rPr>
        <w:fldChar w:fldCharType="separate"/>
      </w:r>
      <w:r w:rsidR="001C5EC1">
        <w:rPr>
          <w:noProof/>
        </w:rPr>
        <w:t>39</w:t>
      </w:r>
      <w:r>
        <w:rPr>
          <w:noProof/>
        </w:rPr>
        <w:fldChar w:fldCharType="end"/>
      </w:r>
    </w:p>
    <w:p w14:paraId="1D4174D3" w14:textId="60D280D0" w:rsidR="00650AB9" w:rsidRDefault="00650AB9">
      <w:pPr>
        <w:pStyle w:val="TableofFigures"/>
        <w:tabs>
          <w:tab w:val="right" w:leader="dot" w:pos="9350"/>
        </w:tabs>
        <w:rPr>
          <w:rFonts w:asciiTheme="minorHAnsi" w:eastAsiaTheme="minorEastAsia" w:hAnsiTheme="minorHAnsi" w:cstheme="minorBidi"/>
          <w:noProof/>
        </w:rPr>
      </w:pPr>
      <w:r>
        <w:rPr>
          <w:noProof/>
        </w:rPr>
        <w:t>Fig. 5.6.  Initial Velocity Profile</w:t>
      </w:r>
      <w:r>
        <w:rPr>
          <w:noProof/>
        </w:rPr>
        <w:tab/>
      </w:r>
      <w:r>
        <w:rPr>
          <w:noProof/>
        </w:rPr>
        <w:fldChar w:fldCharType="begin"/>
      </w:r>
      <w:r>
        <w:rPr>
          <w:noProof/>
        </w:rPr>
        <w:instrText xml:space="preserve"> PAGEREF _Toc382920261 \h </w:instrText>
      </w:r>
      <w:r>
        <w:rPr>
          <w:noProof/>
        </w:rPr>
      </w:r>
      <w:r>
        <w:rPr>
          <w:noProof/>
        </w:rPr>
        <w:fldChar w:fldCharType="separate"/>
      </w:r>
      <w:r w:rsidR="001C5EC1">
        <w:rPr>
          <w:noProof/>
        </w:rPr>
        <w:t>40</w:t>
      </w:r>
      <w:r>
        <w:rPr>
          <w:noProof/>
        </w:rPr>
        <w:fldChar w:fldCharType="end"/>
      </w:r>
    </w:p>
    <w:p w14:paraId="732B870F" w14:textId="06A49C09" w:rsidR="00650AB9" w:rsidRDefault="00650AB9">
      <w:pPr>
        <w:pStyle w:val="TableofFigures"/>
        <w:tabs>
          <w:tab w:val="right" w:leader="dot" w:pos="9350"/>
        </w:tabs>
        <w:rPr>
          <w:rFonts w:asciiTheme="minorHAnsi" w:eastAsiaTheme="minorEastAsia" w:hAnsiTheme="minorHAnsi" w:cstheme="minorBidi"/>
          <w:noProof/>
        </w:rPr>
      </w:pPr>
      <w:r>
        <w:rPr>
          <w:noProof/>
        </w:rPr>
        <w:t>Fig. 5.7.  MCNP Cells</w:t>
      </w:r>
      <w:r>
        <w:rPr>
          <w:noProof/>
        </w:rPr>
        <w:tab/>
      </w:r>
      <w:r>
        <w:rPr>
          <w:noProof/>
        </w:rPr>
        <w:fldChar w:fldCharType="begin"/>
      </w:r>
      <w:r>
        <w:rPr>
          <w:noProof/>
        </w:rPr>
        <w:instrText xml:space="preserve"> PAGEREF _Toc382920262 \h </w:instrText>
      </w:r>
      <w:r>
        <w:rPr>
          <w:noProof/>
        </w:rPr>
      </w:r>
      <w:r>
        <w:rPr>
          <w:noProof/>
        </w:rPr>
        <w:fldChar w:fldCharType="separate"/>
      </w:r>
      <w:r w:rsidR="001C5EC1">
        <w:rPr>
          <w:noProof/>
        </w:rPr>
        <w:t>41</w:t>
      </w:r>
      <w:r>
        <w:rPr>
          <w:noProof/>
        </w:rPr>
        <w:fldChar w:fldCharType="end"/>
      </w:r>
    </w:p>
    <w:p w14:paraId="67E9446E" w14:textId="7402AB08" w:rsidR="00650AB9" w:rsidRDefault="00650AB9">
      <w:pPr>
        <w:pStyle w:val="TableofFigures"/>
        <w:tabs>
          <w:tab w:val="right" w:leader="dot" w:pos="9350"/>
        </w:tabs>
        <w:rPr>
          <w:rFonts w:asciiTheme="minorHAnsi" w:eastAsiaTheme="minorEastAsia" w:hAnsiTheme="minorHAnsi" w:cstheme="minorBidi"/>
          <w:noProof/>
        </w:rPr>
      </w:pPr>
      <w:r>
        <w:rPr>
          <w:noProof/>
        </w:rPr>
        <w:t>Fig. 5.8.  MCNP Power Density Profile</w:t>
      </w:r>
      <w:r>
        <w:rPr>
          <w:noProof/>
        </w:rPr>
        <w:tab/>
      </w:r>
      <w:r>
        <w:rPr>
          <w:noProof/>
        </w:rPr>
        <w:fldChar w:fldCharType="begin"/>
      </w:r>
      <w:r>
        <w:rPr>
          <w:noProof/>
        </w:rPr>
        <w:instrText xml:space="preserve"> PAGEREF _Toc382920263 \h </w:instrText>
      </w:r>
      <w:r>
        <w:rPr>
          <w:noProof/>
        </w:rPr>
      </w:r>
      <w:r>
        <w:rPr>
          <w:noProof/>
        </w:rPr>
        <w:fldChar w:fldCharType="separate"/>
      </w:r>
      <w:r w:rsidR="001C5EC1">
        <w:rPr>
          <w:noProof/>
        </w:rPr>
        <w:t>42</w:t>
      </w:r>
      <w:r>
        <w:rPr>
          <w:noProof/>
        </w:rPr>
        <w:fldChar w:fldCharType="end"/>
      </w:r>
    </w:p>
    <w:p w14:paraId="7AF32512" w14:textId="256840BA" w:rsidR="00650AB9" w:rsidRDefault="00650AB9">
      <w:pPr>
        <w:pStyle w:val="TableofFigures"/>
        <w:tabs>
          <w:tab w:val="right" w:leader="dot" w:pos="9350"/>
        </w:tabs>
        <w:rPr>
          <w:rFonts w:asciiTheme="minorHAnsi" w:eastAsiaTheme="minorEastAsia" w:hAnsiTheme="minorHAnsi" w:cstheme="minorBidi"/>
          <w:noProof/>
        </w:rPr>
      </w:pPr>
      <w:r>
        <w:rPr>
          <w:noProof/>
        </w:rPr>
        <w:t>Fig. 5.9.  COMSOL Power Density Profile</w:t>
      </w:r>
      <w:r>
        <w:rPr>
          <w:noProof/>
        </w:rPr>
        <w:tab/>
      </w:r>
      <w:r>
        <w:rPr>
          <w:noProof/>
        </w:rPr>
        <w:fldChar w:fldCharType="begin"/>
      </w:r>
      <w:r>
        <w:rPr>
          <w:noProof/>
        </w:rPr>
        <w:instrText xml:space="preserve"> PAGEREF _Toc382920264 \h </w:instrText>
      </w:r>
      <w:r>
        <w:rPr>
          <w:noProof/>
        </w:rPr>
      </w:r>
      <w:r>
        <w:rPr>
          <w:noProof/>
        </w:rPr>
        <w:fldChar w:fldCharType="separate"/>
      </w:r>
      <w:r w:rsidR="001C5EC1">
        <w:rPr>
          <w:noProof/>
        </w:rPr>
        <w:t>43</w:t>
      </w:r>
      <w:r>
        <w:rPr>
          <w:noProof/>
        </w:rPr>
        <w:fldChar w:fldCharType="end"/>
      </w:r>
    </w:p>
    <w:p w14:paraId="5CE22012" w14:textId="2B87EBEC" w:rsidR="00650AB9" w:rsidRDefault="00650AB9">
      <w:pPr>
        <w:pStyle w:val="TableofFigures"/>
        <w:tabs>
          <w:tab w:val="right" w:leader="dot" w:pos="9350"/>
        </w:tabs>
        <w:rPr>
          <w:rFonts w:asciiTheme="minorHAnsi" w:eastAsiaTheme="minorEastAsia" w:hAnsiTheme="minorHAnsi" w:cstheme="minorBidi"/>
          <w:noProof/>
        </w:rPr>
      </w:pPr>
      <w:r>
        <w:rPr>
          <w:noProof/>
        </w:rPr>
        <w:lastRenderedPageBreak/>
        <w:t>Fig. 5.10.  Law of the Wall</w:t>
      </w:r>
      <w:r>
        <w:rPr>
          <w:noProof/>
        </w:rPr>
        <w:tab/>
      </w:r>
      <w:r>
        <w:rPr>
          <w:noProof/>
        </w:rPr>
        <w:fldChar w:fldCharType="begin"/>
      </w:r>
      <w:r>
        <w:rPr>
          <w:noProof/>
        </w:rPr>
        <w:instrText xml:space="preserve"> PAGEREF _Toc382920265 \h </w:instrText>
      </w:r>
      <w:r>
        <w:rPr>
          <w:noProof/>
        </w:rPr>
      </w:r>
      <w:r>
        <w:rPr>
          <w:noProof/>
        </w:rPr>
        <w:fldChar w:fldCharType="separate"/>
      </w:r>
      <w:r w:rsidR="001C5EC1">
        <w:rPr>
          <w:noProof/>
        </w:rPr>
        <w:t>51</w:t>
      </w:r>
      <w:r>
        <w:rPr>
          <w:noProof/>
        </w:rPr>
        <w:fldChar w:fldCharType="end"/>
      </w:r>
    </w:p>
    <w:p w14:paraId="69F52808" w14:textId="18729A19" w:rsidR="00650AB9" w:rsidRDefault="00650AB9">
      <w:pPr>
        <w:pStyle w:val="TableofFigures"/>
        <w:tabs>
          <w:tab w:val="right" w:leader="dot" w:pos="9350"/>
        </w:tabs>
        <w:rPr>
          <w:rFonts w:asciiTheme="minorHAnsi" w:eastAsiaTheme="minorEastAsia" w:hAnsiTheme="minorHAnsi" w:cstheme="minorBidi"/>
          <w:noProof/>
        </w:rPr>
      </w:pPr>
      <w:r>
        <w:rPr>
          <w:noProof/>
        </w:rPr>
        <w:t>Fig. 5.11.  3D Axial Mesh Distributions</w:t>
      </w:r>
      <w:r>
        <w:rPr>
          <w:noProof/>
        </w:rPr>
        <w:tab/>
      </w:r>
      <w:r>
        <w:rPr>
          <w:noProof/>
        </w:rPr>
        <w:fldChar w:fldCharType="begin"/>
      </w:r>
      <w:r>
        <w:rPr>
          <w:noProof/>
        </w:rPr>
        <w:instrText xml:space="preserve"> PAGEREF _Toc382920266 \h </w:instrText>
      </w:r>
      <w:r>
        <w:rPr>
          <w:noProof/>
        </w:rPr>
      </w:r>
      <w:r>
        <w:rPr>
          <w:noProof/>
        </w:rPr>
        <w:fldChar w:fldCharType="separate"/>
      </w:r>
      <w:r w:rsidR="001C5EC1">
        <w:rPr>
          <w:noProof/>
        </w:rPr>
        <w:t>54</w:t>
      </w:r>
      <w:r>
        <w:rPr>
          <w:noProof/>
        </w:rPr>
        <w:fldChar w:fldCharType="end"/>
      </w:r>
    </w:p>
    <w:p w14:paraId="7D0D9E68" w14:textId="7F8E70FE" w:rsidR="00650AB9" w:rsidRDefault="00650AB9">
      <w:pPr>
        <w:pStyle w:val="TableofFigures"/>
        <w:tabs>
          <w:tab w:val="right" w:leader="dot" w:pos="9350"/>
        </w:tabs>
        <w:rPr>
          <w:rFonts w:asciiTheme="minorHAnsi" w:eastAsiaTheme="minorEastAsia" w:hAnsiTheme="minorHAnsi" w:cstheme="minorBidi"/>
          <w:noProof/>
        </w:rPr>
      </w:pPr>
      <w:r>
        <w:rPr>
          <w:noProof/>
        </w:rPr>
        <w:t>Fig. 5.12.  Mesh Domains</w:t>
      </w:r>
      <w:r>
        <w:rPr>
          <w:noProof/>
        </w:rPr>
        <w:tab/>
      </w:r>
      <w:r>
        <w:rPr>
          <w:noProof/>
        </w:rPr>
        <w:fldChar w:fldCharType="begin"/>
      </w:r>
      <w:r>
        <w:rPr>
          <w:noProof/>
        </w:rPr>
        <w:instrText xml:space="preserve"> PAGEREF _Toc382920267 \h </w:instrText>
      </w:r>
      <w:r>
        <w:rPr>
          <w:noProof/>
        </w:rPr>
      </w:r>
      <w:r>
        <w:rPr>
          <w:noProof/>
        </w:rPr>
        <w:fldChar w:fldCharType="separate"/>
      </w:r>
      <w:r w:rsidR="001C5EC1">
        <w:rPr>
          <w:noProof/>
        </w:rPr>
        <w:t>55</w:t>
      </w:r>
      <w:r>
        <w:rPr>
          <w:noProof/>
        </w:rPr>
        <w:fldChar w:fldCharType="end"/>
      </w:r>
    </w:p>
    <w:p w14:paraId="0E830461" w14:textId="1691BE28" w:rsidR="00650AB9" w:rsidRDefault="00650AB9">
      <w:pPr>
        <w:pStyle w:val="TableofFigures"/>
        <w:tabs>
          <w:tab w:val="right" w:leader="dot" w:pos="9350"/>
        </w:tabs>
        <w:rPr>
          <w:rFonts w:asciiTheme="minorHAnsi" w:eastAsiaTheme="minorEastAsia" w:hAnsiTheme="minorHAnsi" w:cstheme="minorBidi"/>
          <w:noProof/>
        </w:rPr>
      </w:pPr>
      <w:r>
        <w:rPr>
          <w:noProof/>
        </w:rPr>
        <w:t>Fig. 5.13.  Fueled Section Cross-Sectional Mesh</w:t>
      </w:r>
      <w:r>
        <w:rPr>
          <w:noProof/>
        </w:rPr>
        <w:tab/>
      </w:r>
      <w:r>
        <w:rPr>
          <w:noProof/>
        </w:rPr>
        <w:fldChar w:fldCharType="begin"/>
      </w:r>
      <w:r>
        <w:rPr>
          <w:noProof/>
        </w:rPr>
        <w:instrText xml:space="preserve"> PAGEREF _Toc382920268 \h </w:instrText>
      </w:r>
      <w:r>
        <w:rPr>
          <w:noProof/>
        </w:rPr>
      </w:r>
      <w:r>
        <w:rPr>
          <w:noProof/>
        </w:rPr>
        <w:fldChar w:fldCharType="separate"/>
      </w:r>
      <w:r w:rsidR="001C5EC1">
        <w:rPr>
          <w:noProof/>
        </w:rPr>
        <w:t>55</w:t>
      </w:r>
      <w:r>
        <w:rPr>
          <w:noProof/>
        </w:rPr>
        <w:fldChar w:fldCharType="end"/>
      </w:r>
    </w:p>
    <w:p w14:paraId="534BB5CF" w14:textId="7038BE00" w:rsidR="00650AB9" w:rsidRDefault="00650AB9">
      <w:pPr>
        <w:pStyle w:val="TableofFigures"/>
        <w:tabs>
          <w:tab w:val="right" w:leader="dot" w:pos="9350"/>
        </w:tabs>
        <w:rPr>
          <w:rFonts w:asciiTheme="minorHAnsi" w:eastAsiaTheme="minorEastAsia" w:hAnsiTheme="minorHAnsi" w:cstheme="minorBidi"/>
          <w:noProof/>
        </w:rPr>
      </w:pPr>
      <w:r>
        <w:rPr>
          <w:noProof/>
        </w:rPr>
        <w:t>Fig. 5.14.  Free-Tetrahedral Mesh Domains</w:t>
      </w:r>
      <w:r>
        <w:rPr>
          <w:noProof/>
        </w:rPr>
        <w:tab/>
      </w:r>
      <w:r>
        <w:rPr>
          <w:noProof/>
        </w:rPr>
        <w:fldChar w:fldCharType="begin"/>
      </w:r>
      <w:r>
        <w:rPr>
          <w:noProof/>
        </w:rPr>
        <w:instrText xml:space="preserve"> PAGEREF _Toc382920269 \h </w:instrText>
      </w:r>
      <w:r>
        <w:rPr>
          <w:noProof/>
        </w:rPr>
      </w:r>
      <w:r>
        <w:rPr>
          <w:noProof/>
        </w:rPr>
        <w:fldChar w:fldCharType="separate"/>
      </w:r>
      <w:r w:rsidR="001C5EC1">
        <w:rPr>
          <w:noProof/>
        </w:rPr>
        <w:t>56</w:t>
      </w:r>
      <w:r>
        <w:rPr>
          <w:noProof/>
        </w:rPr>
        <w:fldChar w:fldCharType="end"/>
      </w:r>
    </w:p>
    <w:p w14:paraId="1A8AA55C" w14:textId="1BB597B3" w:rsidR="00650AB9" w:rsidRDefault="00650AB9">
      <w:pPr>
        <w:pStyle w:val="TableofFigures"/>
        <w:tabs>
          <w:tab w:val="right" w:leader="dot" w:pos="9350"/>
        </w:tabs>
        <w:rPr>
          <w:rFonts w:asciiTheme="minorHAnsi" w:eastAsiaTheme="minorEastAsia" w:hAnsiTheme="minorHAnsi" w:cstheme="minorBidi"/>
          <w:noProof/>
        </w:rPr>
      </w:pPr>
      <w:r>
        <w:rPr>
          <w:noProof/>
        </w:rPr>
        <w:t>Fig. 5.15.  Boundary Layer Mesh Detail</w:t>
      </w:r>
      <w:r>
        <w:rPr>
          <w:noProof/>
        </w:rPr>
        <w:tab/>
      </w:r>
      <w:r>
        <w:rPr>
          <w:noProof/>
        </w:rPr>
        <w:fldChar w:fldCharType="begin"/>
      </w:r>
      <w:r>
        <w:rPr>
          <w:noProof/>
        </w:rPr>
        <w:instrText xml:space="preserve"> PAGEREF _Toc382920270 \h </w:instrText>
      </w:r>
      <w:r>
        <w:rPr>
          <w:noProof/>
        </w:rPr>
      </w:r>
      <w:r>
        <w:rPr>
          <w:noProof/>
        </w:rPr>
        <w:fldChar w:fldCharType="separate"/>
      </w:r>
      <w:r w:rsidR="001C5EC1">
        <w:rPr>
          <w:noProof/>
        </w:rPr>
        <w:t>56</w:t>
      </w:r>
      <w:r>
        <w:rPr>
          <w:noProof/>
        </w:rPr>
        <w:fldChar w:fldCharType="end"/>
      </w:r>
    </w:p>
    <w:p w14:paraId="53F6881F" w14:textId="208973DD" w:rsidR="00650AB9" w:rsidRDefault="00650AB9">
      <w:pPr>
        <w:pStyle w:val="TableofFigures"/>
        <w:tabs>
          <w:tab w:val="right" w:leader="dot" w:pos="9350"/>
        </w:tabs>
        <w:rPr>
          <w:rFonts w:asciiTheme="minorHAnsi" w:eastAsiaTheme="minorEastAsia" w:hAnsiTheme="minorHAnsi" w:cstheme="minorBidi"/>
          <w:noProof/>
        </w:rPr>
      </w:pPr>
      <w:r>
        <w:rPr>
          <w:noProof/>
        </w:rPr>
        <w:t>Fig. 6.1.  Coupled Model Coolant Domain</w:t>
      </w:r>
      <w:r>
        <w:rPr>
          <w:noProof/>
        </w:rPr>
        <w:tab/>
      </w:r>
      <w:r>
        <w:rPr>
          <w:noProof/>
        </w:rPr>
        <w:fldChar w:fldCharType="begin"/>
      </w:r>
      <w:r>
        <w:rPr>
          <w:noProof/>
        </w:rPr>
        <w:instrText xml:space="preserve"> PAGEREF _Toc382920271 \h </w:instrText>
      </w:r>
      <w:r>
        <w:rPr>
          <w:noProof/>
        </w:rPr>
      </w:r>
      <w:r>
        <w:rPr>
          <w:noProof/>
        </w:rPr>
        <w:fldChar w:fldCharType="separate"/>
      </w:r>
      <w:r w:rsidR="001C5EC1">
        <w:rPr>
          <w:noProof/>
        </w:rPr>
        <w:t>58</w:t>
      </w:r>
      <w:r>
        <w:rPr>
          <w:noProof/>
        </w:rPr>
        <w:fldChar w:fldCharType="end"/>
      </w:r>
    </w:p>
    <w:p w14:paraId="33D0F4F7" w14:textId="542EA3D9" w:rsidR="00650AB9" w:rsidRDefault="00650AB9">
      <w:pPr>
        <w:pStyle w:val="TableofFigures"/>
        <w:tabs>
          <w:tab w:val="right" w:leader="dot" w:pos="9350"/>
        </w:tabs>
        <w:rPr>
          <w:rFonts w:asciiTheme="minorHAnsi" w:eastAsiaTheme="minorEastAsia" w:hAnsiTheme="minorHAnsi" w:cstheme="minorBidi"/>
          <w:noProof/>
        </w:rPr>
      </w:pPr>
      <w:r>
        <w:rPr>
          <w:noProof/>
        </w:rPr>
        <w:t>Fig. 6.2.  Involute Coordinate Contour Grid Points</w:t>
      </w:r>
      <w:r>
        <w:rPr>
          <w:noProof/>
        </w:rPr>
        <w:tab/>
      </w:r>
      <w:r>
        <w:rPr>
          <w:noProof/>
        </w:rPr>
        <w:fldChar w:fldCharType="begin"/>
      </w:r>
      <w:r>
        <w:rPr>
          <w:noProof/>
        </w:rPr>
        <w:instrText xml:space="preserve"> PAGEREF _Toc382920272 \h </w:instrText>
      </w:r>
      <w:r>
        <w:rPr>
          <w:noProof/>
        </w:rPr>
      </w:r>
      <w:r>
        <w:rPr>
          <w:noProof/>
        </w:rPr>
        <w:fldChar w:fldCharType="separate"/>
      </w:r>
      <w:r w:rsidR="001C5EC1">
        <w:rPr>
          <w:noProof/>
        </w:rPr>
        <w:t>59</w:t>
      </w:r>
      <w:r>
        <w:rPr>
          <w:noProof/>
        </w:rPr>
        <w:fldChar w:fldCharType="end"/>
      </w:r>
    </w:p>
    <w:p w14:paraId="72526A30" w14:textId="1C50AF60" w:rsidR="00650AB9" w:rsidRDefault="00650AB9">
      <w:pPr>
        <w:pStyle w:val="TableofFigures"/>
        <w:tabs>
          <w:tab w:val="right" w:leader="dot" w:pos="9350"/>
        </w:tabs>
        <w:rPr>
          <w:rFonts w:asciiTheme="minorHAnsi" w:eastAsiaTheme="minorEastAsia" w:hAnsiTheme="minorHAnsi" w:cstheme="minorBidi"/>
          <w:noProof/>
        </w:rPr>
      </w:pPr>
      <w:r>
        <w:rPr>
          <w:noProof/>
        </w:rPr>
        <w:t xml:space="preserve">Fig. 6.3.  </w:t>
      </w:r>
      <w:r w:rsidRPr="007624E5">
        <w:rPr>
          <w:i/>
          <w:noProof/>
        </w:rPr>
        <w:t>θ</w:t>
      </w:r>
      <w:r>
        <w:rPr>
          <w:noProof/>
        </w:rPr>
        <w:t>-Coordinate Contour Map</w:t>
      </w:r>
      <w:r>
        <w:rPr>
          <w:noProof/>
        </w:rPr>
        <w:tab/>
      </w:r>
      <w:r>
        <w:rPr>
          <w:noProof/>
        </w:rPr>
        <w:fldChar w:fldCharType="begin"/>
      </w:r>
      <w:r>
        <w:rPr>
          <w:noProof/>
        </w:rPr>
        <w:instrText xml:space="preserve"> PAGEREF _Toc382920273 \h </w:instrText>
      </w:r>
      <w:r>
        <w:rPr>
          <w:noProof/>
        </w:rPr>
      </w:r>
      <w:r>
        <w:rPr>
          <w:noProof/>
        </w:rPr>
        <w:fldChar w:fldCharType="separate"/>
      </w:r>
      <w:r w:rsidR="001C5EC1">
        <w:rPr>
          <w:noProof/>
        </w:rPr>
        <w:t>60</w:t>
      </w:r>
      <w:r>
        <w:rPr>
          <w:noProof/>
        </w:rPr>
        <w:fldChar w:fldCharType="end"/>
      </w:r>
    </w:p>
    <w:p w14:paraId="5EC0B80F" w14:textId="5E64ACCC" w:rsidR="00650AB9" w:rsidRDefault="00650AB9">
      <w:pPr>
        <w:pStyle w:val="TableofFigures"/>
        <w:tabs>
          <w:tab w:val="right" w:leader="dot" w:pos="9350"/>
        </w:tabs>
        <w:rPr>
          <w:rFonts w:asciiTheme="minorHAnsi" w:eastAsiaTheme="minorEastAsia" w:hAnsiTheme="minorHAnsi" w:cstheme="minorBidi"/>
          <w:noProof/>
        </w:rPr>
      </w:pPr>
      <w:r>
        <w:rPr>
          <w:noProof/>
        </w:rPr>
        <w:t xml:space="preserve">Fig. 6.4.  </w:t>
      </w:r>
      <w:r w:rsidRPr="007624E5">
        <w:rPr>
          <w:i/>
          <w:noProof/>
        </w:rPr>
        <w:t>t</w:t>
      </w:r>
      <w:r>
        <w:rPr>
          <w:noProof/>
        </w:rPr>
        <w:t>-Coordinate Contour Map</w:t>
      </w:r>
      <w:r>
        <w:rPr>
          <w:noProof/>
        </w:rPr>
        <w:tab/>
      </w:r>
      <w:r>
        <w:rPr>
          <w:noProof/>
        </w:rPr>
        <w:fldChar w:fldCharType="begin"/>
      </w:r>
      <w:r>
        <w:rPr>
          <w:noProof/>
        </w:rPr>
        <w:instrText xml:space="preserve"> PAGEREF _Toc382920274 \h </w:instrText>
      </w:r>
      <w:r>
        <w:rPr>
          <w:noProof/>
        </w:rPr>
      </w:r>
      <w:r>
        <w:rPr>
          <w:noProof/>
        </w:rPr>
        <w:fldChar w:fldCharType="separate"/>
      </w:r>
      <w:r w:rsidR="001C5EC1">
        <w:rPr>
          <w:noProof/>
        </w:rPr>
        <w:t>61</w:t>
      </w:r>
      <w:r>
        <w:rPr>
          <w:noProof/>
        </w:rPr>
        <w:fldChar w:fldCharType="end"/>
      </w:r>
    </w:p>
    <w:p w14:paraId="2262049F" w14:textId="5745ED6B" w:rsidR="00650AB9" w:rsidRDefault="00650AB9">
      <w:pPr>
        <w:pStyle w:val="TableofFigures"/>
        <w:tabs>
          <w:tab w:val="right" w:leader="dot" w:pos="9350"/>
        </w:tabs>
        <w:rPr>
          <w:rFonts w:asciiTheme="minorHAnsi" w:eastAsiaTheme="minorEastAsia" w:hAnsiTheme="minorHAnsi" w:cstheme="minorBidi"/>
          <w:noProof/>
        </w:rPr>
      </w:pPr>
      <w:r>
        <w:rPr>
          <w:noProof/>
        </w:rPr>
        <w:t>Fig. 6.5.  Axially-Dependent Leading Edge Width</w:t>
      </w:r>
      <w:r>
        <w:rPr>
          <w:noProof/>
        </w:rPr>
        <w:tab/>
      </w:r>
      <w:r>
        <w:rPr>
          <w:noProof/>
        </w:rPr>
        <w:fldChar w:fldCharType="begin"/>
      </w:r>
      <w:r>
        <w:rPr>
          <w:noProof/>
        </w:rPr>
        <w:instrText xml:space="preserve"> PAGEREF _Toc382920275 \h </w:instrText>
      </w:r>
      <w:r>
        <w:rPr>
          <w:noProof/>
        </w:rPr>
      </w:r>
      <w:r>
        <w:rPr>
          <w:noProof/>
        </w:rPr>
        <w:fldChar w:fldCharType="separate"/>
      </w:r>
      <w:r w:rsidR="001C5EC1">
        <w:rPr>
          <w:noProof/>
        </w:rPr>
        <w:t>62</w:t>
      </w:r>
      <w:r>
        <w:rPr>
          <w:noProof/>
        </w:rPr>
        <w:fldChar w:fldCharType="end"/>
      </w:r>
    </w:p>
    <w:p w14:paraId="25581431" w14:textId="30B1FD82" w:rsidR="00650AB9" w:rsidRDefault="00650AB9">
      <w:pPr>
        <w:pStyle w:val="TableofFigures"/>
        <w:tabs>
          <w:tab w:val="right" w:leader="dot" w:pos="9350"/>
        </w:tabs>
        <w:rPr>
          <w:rFonts w:asciiTheme="minorHAnsi" w:eastAsiaTheme="minorEastAsia" w:hAnsiTheme="minorHAnsi" w:cstheme="minorBidi"/>
          <w:noProof/>
        </w:rPr>
      </w:pPr>
      <w:r>
        <w:rPr>
          <w:noProof/>
        </w:rPr>
        <w:t>Fig. 6.6.  Axially-Dependent Leading Edge Void Width</w:t>
      </w:r>
      <w:r>
        <w:rPr>
          <w:noProof/>
        </w:rPr>
        <w:tab/>
      </w:r>
      <w:r>
        <w:rPr>
          <w:noProof/>
        </w:rPr>
        <w:fldChar w:fldCharType="begin"/>
      </w:r>
      <w:r>
        <w:rPr>
          <w:noProof/>
        </w:rPr>
        <w:instrText xml:space="preserve"> PAGEREF _Toc382920276 \h </w:instrText>
      </w:r>
      <w:r>
        <w:rPr>
          <w:noProof/>
        </w:rPr>
      </w:r>
      <w:r>
        <w:rPr>
          <w:noProof/>
        </w:rPr>
        <w:fldChar w:fldCharType="separate"/>
      </w:r>
      <w:r w:rsidR="001C5EC1">
        <w:rPr>
          <w:noProof/>
        </w:rPr>
        <w:t>63</w:t>
      </w:r>
      <w:r>
        <w:rPr>
          <w:noProof/>
        </w:rPr>
        <w:fldChar w:fldCharType="end"/>
      </w:r>
    </w:p>
    <w:p w14:paraId="3F0B59C4" w14:textId="375743B0" w:rsidR="00650AB9" w:rsidRDefault="00650AB9">
      <w:pPr>
        <w:pStyle w:val="TableofFigures"/>
        <w:tabs>
          <w:tab w:val="right" w:leader="dot" w:pos="9350"/>
        </w:tabs>
        <w:rPr>
          <w:rFonts w:asciiTheme="minorHAnsi" w:eastAsiaTheme="minorEastAsia" w:hAnsiTheme="minorHAnsi" w:cstheme="minorBidi"/>
          <w:noProof/>
        </w:rPr>
      </w:pPr>
      <w:r>
        <w:rPr>
          <w:noProof/>
        </w:rPr>
        <w:t>Fig. 6.7.  Channel Width Input Function</w:t>
      </w:r>
      <w:r>
        <w:rPr>
          <w:noProof/>
        </w:rPr>
        <w:tab/>
      </w:r>
      <w:r>
        <w:rPr>
          <w:noProof/>
        </w:rPr>
        <w:fldChar w:fldCharType="begin"/>
      </w:r>
      <w:r>
        <w:rPr>
          <w:noProof/>
        </w:rPr>
        <w:instrText xml:space="preserve"> PAGEREF _Toc382920277 \h </w:instrText>
      </w:r>
      <w:r>
        <w:rPr>
          <w:noProof/>
        </w:rPr>
      </w:r>
      <w:r>
        <w:rPr>
          <w:noProof/>
        </w:rPr>
        <w:fldChar w:fldCharType="separate"/>
      </w:r>
      <w:r w:rsidR="001C5EC1">
        <w:rPr>
          <w:noProof/>
        </w:rPr>
        <w:t>64</w:t>
      </w:r>
      <w:r>
        <w:rPr>
          <w:noProof/>
        </w:rPr>
        <w:fldChar w:fldCharType="end"/>
      </w:r>
    </w:p>
    <w:p w14:paraId="317F965C" w14:textId="2476DB06" w:rsidR="00650AB9" w:rsidRDefault="00650AB9">
      <w:pPr>
        <w:pStyle w:val="TableofFigures"/>
        <w:tabs>
          <w:tab w:val="right" w:leader="dot" w:pos="9350"/>
        </w:tabs>
        <w:rPr>
          <w:rFonts w:asciiTheme="minorHAnsi" w:eastAsiaTheme="minorEastAsia" w:hAnsiTheme="minorHAnsi" w:cstheme="minorBidi"/>
          <w:noProof/>
        </w:rPr>
      </w:pPr>
      <w:r>
        <w:rPr>
          <w:noProof/>
        </w:rPr>
        <w:t>Fig. 6.8.  3D-to-2D Coupling Mechanism Flow Chart</w:t>
      </w:r>
      <w:r>
        <w:rPr>
          <w:noProof/>
        </w:rPr>
        <w:tab/>
      </w:r>
      <w:r>
        <w:rPr>
          <w:noProof/>
        </w:rPr>
        <w:fldChar w:fldCharType="begin"/>
      </w:r>
      <w:r>
        <w:rPr>
          <w:noProof/>
        </w:rPr>
        <w:instrText xml:space="preserve"> PAGEREF _Toc382920278 \h </w:instrText>
      </w:r>
      <w:r>
        <w:rPr>
          <w:noProof/>
        </w:rPr>
      </w:r>
      <w:r>
        <w:rPr>
          <w:noProof/>
        </w:rPr>
        <w:fldChar w:fldCharType="separate"/>
      </w:r>
      <w:r w:rsidR="001C5EC1">
        <w:rPr>
          <w:noProof/>
        </w:rPr>
        <w:t>66</w:t>
      </w:r>
      <w:r>
        <w:rPr>
          <w:noProof/>
        </w:rPr>
        <w:fldChar w:fldCharType="end"/>
      </w:r>
    </w:p>
    <w:p w14:paraId="06B81F51" w14:textId="3C45EA40" w:rsidR="00650AB9" w:rsidRDefault="00650AB9">
      <w:pPr>
        <w:pStyle w:val="TableofFigures"/>
        <w:tabs>
          <w:tab w:val="right" w:leader="dot" w:pos="9350"/>
        </w:tabs>
        <w:rPr>
          <w:rFonts w:asciiTheme="minorHAnsi" w:eastAsiaTheme="minorEastAsia" w:hAnsiTheme="minorHAnsi" w:cstheme="minorBidi"/>
          <w:noProof/>
        </w:rPr>
      </w:pPr>
      <w:r>
        <w:rPr>
          <w:noProof/>
        </w:rPr>
        <w:t>Fig. 6.9.  2D-to-3D Coupling Mechanism Flow Chart</w:t>
      </w:r>
      <w:r>
        <w:rPr>
          <w:noProof/>
        </w:rPr>
        <w:tab/>
      </w:r>
      <w:r>
        <w:rPr>
          <w:noProof/>
        </w:rPr>
        <w:fldChar w:fldCharType="begin"/>
      </w:r>
      <w:r>
        <w:rPr>
          <w:noProof/>
        </w:rPr>
        <w:instrText xml:space="preserve"> PAGEREF _Toc382920279 \h </w:instrText>
      </w:r>
      <w:r>
        <w:rPr>
          <w:noProof/>
        </w:rPr>
      </w:r>
      <w:r>
        <w:rPr>
          <w:noProof/>
        </w:rPr>
        <w:fldChar w:fldCharType="separate"/>
      </w:r>
      <w:r w:rsidR="001C5EC1">
        <w:rPr>
          <w:noProof/>
        </w:rPr>
        <w:t>68</w:t>
      </w:r>
      <w:r>
        <w:rPr>
          <w:noProof/>
        </w:rPr>
        <w:fldChar w:fldCharType="end"/>
      </w:r>
    </w:p>
    <w:p w14:paraId="60961C5F" w14:textId="613880B9" w:rsidR="00650AB9" w:rsidRDefault="00650AB9">
      <w:pPr>
        <w:pStyle w:val="TableofFigures"/>
        <w:tabs>
          <w:tab w:val="right" w:leader="dot" w:pos="9350"/>
        </w:tabs>
        <w:rPr>
          <w:rFonts w:asciiTheme="minorHAnsi" w:eastAsiaTheme="minorEastAsia" w:hAnsiTheme="minorHAnsi" w:cstheme="minorBidi"/>
          <w:noProof/>
        </w:rPr>
      </w:pPr>
      <w:r>
        <w:rPr>
          <w:noProof/>
        </w:rPr>
        <w:t>Fig. 6.10.  Model Coupling Interdependency Loop</w:t>
      </w:r>
      <w:r>
        <w:rPr>
          <w:noProof/>
        </w:rPr>
        <w:tab/>
      </w:r>
      <w:r>
        <w:rPr>
          <w:noProof/>
        </w:rPr>
        <w:fldChar w:fldCharType="begin"/>
      </w:r>
      <w:r>
        <w:rPr>
          <w:noProof/>
        </w:rPr>
        <w:instrText xml:space="preserve"> PAGEREF _Toc382920280 \h </w:instrText>
      </w:r>
      <w:r>
        <w:rPr>
          <w:noProof/>
        </w:rPr>
      </w:r>
      <w:r>
        <w:rPr>
          <w:noProof/>
        </w:rPr>
        <w:fldChar w:fldCharType="separate"/>
      </w:r>
      <w:r w:rsidR="001C5EC1">
        <w:rPr>
          <w:noProof/>
        </w:rPr>
        <w:t>72</w:t>
      </w:r>
      <w:r>
        <w:rPr>
          <w:noProof/>
        </w:rPr>
        <w:fldChar w:fldCharType="end"/>
      </w:r>
    </w:p>
    <w:p w14:paraId="79CB6052" w14:textId="0F572D09" w:rsidR="00650AB9" w:rsidRDefault="00650AB9">
      <w:pPr>
        <w:pStyle w:val="TableofFigures"/>
        <w:tabs>
          <w:tab w:val="right" w:leader="dot" w:pos="9350"/>
        </w:tabs>
        <w:rPr>
          <w:rFonts w:asciiTheme="minorHAnsi" w:eastAsiaTheme="minorEastAsia" w:hAnsiTheme="minorHAnsi" w:cstheme="minorBidi"/>
          <w:noProof/>
        </w:rPr>
      </w:pPr>
      <w:r>
        <w:rPr>
          <w:noProof/>
        </w:rPr>
        <w:t>Fig. 6.11.  Coupled Model Solution Process Flow Chart</w:t>
      </w:r>
      <w:r>
        <w:rPr>
          <w:noProof/>
        </w:rPr>
        <w:tab/>
      </w:r>
      <w:r>
        <w:rPr>
          <w:noProof/>
        </w:rPr>
        <w:fldChar w:fldCharType="begin"/>
      </w:r>
      <w:r>
        <w:rPr>
          <w:noProof/>
        </w:rPr>
        <w:instrText xml:space="preserve"> PAGEREF _Toc382920281 \h </w:instrText>
      </w:r>
      <w:r>
        <w:rPr>
          <w:noProof/>
        </w:rPr>
      </w:r>
      <w:r>
        <w:rPr>
          <w:noProof/>
        </w:rPr>
        <w:fldChar w:fldCharType="separate"/>
      </w:r>
      <w:r w:rsidR="001C5EC1">
        <w:rPr>
          <w:noProof/>
        </w:rPr>
        <w:t>73</w:t>
      </w:r>
      <w:r>
        <w:rPr>
          <w:noProof/>
        </w:rPr>
        <w:fldChar w:fldCharType="end"/>
      </w:r>
    </w:p>
    <w:p w14:paraId="0A3B14A4" w14:textId="0271A2A3" w:rsidR="00650AB9" w:rsidRDefault="00650AB9">
      <w:pPr>
        <w:pStyle w:val="TableofFigures"/>
        <w:tabs>
          <w:tab w:val="right" w:leader="dot" w:pos="9350"/>
        </w:tabs>
        <w:rPr>
          <w:rFonts w:asciiTheme="minorHAnsi" w:eastAsiaTheme="minorEastAsia" w:hAnsiTheme="minorHAnsi" w:cstheme="minorBidi"/>
          <w:noProof/>
        </w:rPr>
      </w:pPr>
      <w:r>
        <w:rPr>
          <w:noProof/>
        </w:rPr>
        <w:t>Fig. 6.12.  Coupled Model Coolant Mesh Comparison</w:t>
      </w:r>
      <w:r>
        <w:rPr>
          <w:noProof/>
        </w:rPr>
        <w:tab/>
      </w:r>
      <w:r>
        <w:rPr>
          <w:noProof/>
        </w:rPr>
        <w:fldChar w:fldCharType="begin"/>
      </w:r>
      <w:r>
        <w:rPr>
          <w:noProof/>
        </w:rPr>
        <w:instrText xml:space="preserve"> PAGEREF _Toc382920282 \h </w:instrText>
      </w:r>
      <w:r>
        <w:rPr>
          <w:noProof/>
        </w:rPr>
      </w:r>
      <w:r>
        <w:rPr>
          <w:noProof/>
        </w:rPr>
        <w:fldChar w:fldCharType="separate"/>
      </w:r>
      <w:r w:rsidR="001C5EC1">
        <w:rPr>
          <w:noProof/>
        </w:rPr>
        <w:t>75</w:t>
      </w:r>
      <w:r>
        <w:rPr>
          <w:noProof/>
        </w:rPr>
        <w:fldChar w:fldCharType="end"/>
      </w:r>
    </w:p>
    <w:p w14:paraId="17938BCE" w14:textId="278C919B" w:rsidR="00650AB9" w:rsidRDefault="00650AB9">
      <w:pPr>
        <w:pStyle w:val="TableofFigures"/>
        <w:tabs>
          <w:tab w:val="right" w:leader="dot" w:pos="9350"/>
        </w:tabs>
        <w:rPr>
          <w:rFonts w:asciiTheme="minorHAnsi" w:eastAsiaTheme="minorEastAsia" w:hAnsiTheme="minorHAnsi" w:cstheme="minorBidi"/>
          <w:noProof/>
        </w:rPr>
      </w:pPr>
      <w:r>
        <w:rPr>
          <w:noProof/>
        </w:rPr>
        <w:t>Fig. 6.13.  Coupled Model Converted Boundary Layer Detail</w:t>
      </w:r>
      <w:r>
        <w:rPr>
          <w:noProof/>
        </w:rPr>
        <w:tab/>
      </w:r>
      <w:r>
        <w:rPr>
          <w:noProof/>
        </w:rPr>
        <w:fldChar w:fldCharType="begin"/>
      </w:r>
      <w:r>
        <w:rPr>
          <w:noProof/>
        </w:rPr>
        <w:instrText xml:space="preserve"> PAGEREF _Toc382920283 \h </w:instrText>
      </w:r>
      <w:r>
        <w:rPr>
          <w:noProof/>
        </w:rPr>
      </w:r>
      <w:r>
        <w:rPr>
          <w:noProof/>
        </w:rPr>
        <w:fldChar w:fldCharType="separate"/>
      </w:r>
      <w:r w:rsidR="001C5EC1">
        <w:rPr>
          <w:noProof/>
        </w:rPr>
        <w:t>76</w:t>
      </w:r>
      <w:r>
        <w:rPr>
          <w:noProof/>
        </w:rPr>
        <w:fldChar w:fldCharType="end"/>
      </w:r>
    </w:p>
    <w:p w14:paraId="12672878" w14:textId="56BABE4D" w:rsidR="00650AB9" w:rsidRDefault="00650AB9">
      <w:pPr>
        <w:pStyle w:val="TableofFigures"/>
        <w:tabs>
          <w:tab w:val="right" w:leader="dot" w:pos="9350"/>
        </w:tabs>
        <w:rPr>
          <w:rFonts w:asciiTheme="minorHAnsi" w:eastAsiaTheme="minorEastAsia" w:hAnsiTheme="minorHAnsi" w:cstheme="minorBidi"/>
          <w:noProof/>
        </w:rPr>
      </w:pPr>
      <w:r>
        <w:rPr>
          <w:noProof/>
        </w:rPr>
        <w:t>Fig. 6.14.  Fuel Plate Paneling</w:t>
      </w:r>
      <w:r>
        <w:rPr>
          <w:noProof/>
        </w:rPr>
        <w:tab/>
      </w:r>
      <w:r>
        <w:rPr>
          <w:noProof/>
        </w:rPr>
        <w:fldChar w:fldCharType="begin"/>
      </w:r>
      <w:r>
        <w:rPr>
          <w:noProof/>
        </w:rPr>
        <w:instrText xml:space="preserve"> PAGEREF _Toc382920284 \h </w:instrText>
      </w:r>
      <w:r>
        <w:rPr>
          <w:noProof/>
        </w:rPr>
      </w:r>
      <w:r>
        <w:rPr>
          <w:noProof/>
        </w:rPr>
        <w:fldChar w:fldCharType="separate"/>
      </w:r>
      <w:r w:rsidR="001C5EC1">
        <w:rPr>
          <w:noProof/>
        </w:rPr>
        <w:t>77</w:t>
      </w:r>
      <w:r>
        <w:rPr>
          <w:noProof/>
        </w:rPr>
        <w:fldChar w:fldCharType="end"/>
      </w:r>
    </w:p>
    <w:p w14:paraId="1A8833C6" w14:textId="0BCF7E57" w:rsidR="00650AB9" w:rsidRDefault="00650AB9">
      <w:pPr>
        <w:pStyle w:val="TableofFigures"/>
        <w:tabs>
          <w:tab w:val="right" w:leader="dot" w:pos="9350"/>
        </w:tabs>
        <w:rPr>
          <w:rFonts w:asciiTheme="minorHAnsi" w:eastAsiaTheme="minorEastAsia" w:hAnsiTheme="minorHAnsi" w:cstheme="minorBidi"/>
          <w:noProof/>
        </w:rPr>
      </w:pPr>
      <w:r>
        <w:rPr>
          <w:noProof/>
        </w:rPr>
        <w:t>Fig. 6.15.  Fuel Plate Paneling Diagram</w:t>
      </w:r>
      <w:r>
        <w:rPr>
          <w:noProof/>
        </w:rPr>
        <w:tab/>
      </w:r>
      <w:r>
        <w:rPr>
          <w:noProof/>
        </w:rPr>
        <w:fldChar w:fldCharType="begin"/>
      </w:r>
      <w:r>
        <w:rPr>
          <w:noProof/>
        </w:rPr>
        <w:instrText xml:space="preserve"> PAGEREF _Toc382920285 \h </w:instrText>
      </w:r>
      <w:r>
        <w:rPr>
          <w:noProof/>
        </w:rPr>
      </w:r>
      <w:r>
        <w:rPr>
          <w:noProof/>
        </w:rPr>
        <w:fldChar w:fldCharType="separate"/>
      </w:r>
      <w:r w:rsidR="001C5EC1">
        <w:rPr>
          <w:noProof/>
        </w:rPr>
        <w:t>78</w:t>
      </w:r>
      <w:r>
        <w:rPr>
          <w:noProof/>
        </w:rPr>
        <w:fldChar w:fldCharType="end"/>
      </w:r>
    </w:p>
    <w:p w14:paraId="763704E6" w14:textId="3D1FB189" w:rsidR="00650AB9" w:rsidRDefault="00650AB9">
      <w:pPr>
        <w:pStyle w:val="TableofFigures"/>
        <w:tabs>
          <w:tab w:val="right" w:leader="dot" w:pos="9350"/>
        </w:tabs>
        <w:rPr>
          <w:rFonts w:asciiTheme="minorHAnsi" w:eastAsiaTheme="minorEastAsia" w:hAnsiTheme="minorHAnsi" w:cstheme="minorBidi"/>
          <w:noProof/>
        </w:rPr>
      </w:pPr>
      <w:r>
        <w:rPr>
          <w:noProof/>
        </w:rPr>
        <w:t>Fig. 7.1.  Axial Cut Line Temperature Solution</w:t>
      </w:r>
      <w:r>
        <w:rPr>
          <w:noProof/>
        </w:rPr>
        <w:tab/>
      </w:r>
      <w:r>
        <w:rPr>
          <w:noProof/>
        </w:rPr>
        <w:fldChar w:fldCharType="begin"/>
      </w:r>
      <w:r>
        <w:rPr>
          <w:noProof/>
        </w:rPr>
        <w:instrText xml:space="preserve"> PAGEREF _Toc382920286 \h </w:instrText>
      </w:r>
      <w:r>
        <w:rPr>
          <w:noProof/>
        </w:rPr>
      </w:r>
      <w:r>
        <w:rPr>
          <w:noProof/>
        </w:rPr>
        <w:fldChar w:fldCharType="separate"/>
      </w:r>
      <w:r w:rsidR="001C5EC1">
        <w:rPr>
          <w:noProof/>
        </w:rPr>
        <w:t>83</w:t>
      </w:r>
      <w:r>
        <w:rPr>
          <w:noProof/>
        </w:rPr>
        <w:fldChar w:fldCharType="end"/>
      </w:r>
    </w:p>
    <w:p w14:paraId="37C3E0D1" w14:textId="03EAA219" w:rsidR="00650AB9" w:rsidRDefault="00650AB9">
      <w:pPr>
        <w:pStyle w:val="TableofFigures"/>
        <w:tabs>
          <w:tab w:val="right" w:leader="dot" w:pos="9350"/>
        </w:tabs>
        <w:rPr>
          <w:rFonts w:asciiTheme="minorHAnsi" w:eastAsiaTheme="minorEastAsia" w:hAnsiTheme="minorHAnsi" w:cstheme="minorBidi"/>
          <w:noProof/>
        </w:rPr>
      </w:pPr>
      <w:r>
        <w:rPr>
          <w:noProof/>
        </w:rPr>
        <w:t>Fig. 7.2.  Coupled Model Coolant Mesh Convergence—Coolant Channel Enthalpy</w:t>
      </w:r>
      <w:r>
        <w:rPr>
          <w:noProof/>
        </w:rPr>
        <w:tab/>
      </w:r>
      <w:r>
        <w:rPr>
          <w:noProof/>
        </w:rPr>
        <w:fldChar w:fldCharType="begin"/>
      </w:r>
      <w:r>
        <w:rPr>
          <w:noProof/>
        </w:rPr>
        <w:instrText xml:space="preserve"> PAGEREF _Toc382920287 \h </w:instrText>
      </w:r>
      <w:r>
        <w:rPr>
          <w:noProof/>
        </w:rPr>
      </w:r>
      <w:r>
        <w:rPr>
          <w:noProof/>
        </w:rPr>
        <w:fldChar w:fldCharType="separate"/>
      </w:r>
      <w:r w:rsidR="001C5EC1">
        <w:rPr>
          <w:noProof/>
        </w:rPr>
        <w:t>85</w:t>
      </w:r>
      <w:r>
        <w:rPr>
          <w:noProof/>
        </w:rPr>
        <w:fldChar w:fldCharType="end"/>
      </w:r>
    </w:p>
    <w:p w14:paraId="7094961A" w14:textId="0E75BD9F" w:rsidR="00650AB9" w:rsidRDefault="00650AB9">
      <w:pPr>
        <w:pStyle w:val="TableofFigures"/>
        <w:tabs>
          <w:tab w:val="right" w:leader="dot" w:pos="9350"/>
        </w:tabs>
        <w:rPr>
          <w:rFonts w:asciiTheme="minorHAnsi" w:eastAsiaTheme="minorEastAsia" w:hAnsiTheme="minorHAnsi" w:cstheme="minorBidi"/>
          <w:noProof/>
        </w:rPr>
      </w:pPr>
      <w:r>
        <w:rPr>
          <w:noProof/>
        </w:rPr>
        <w:t>Fig. 7.3.  Coupled Model Coolant Mesh Convergence—Logarithmic Coolant Error</w:t>
      </w:r>
      <w:r>
        <w:rPr>
          <w:noProof/>
        </w:rPr>
        <w:tab/>
      </w:r>
      <w:r>
        <w:rPr>
          <w:noProof/>
        </w:rPr>
        <w:fldChar w:fldCharType="begin"/>
      </w:r>
      <w:r>
        <w:rPr>
          <w:noProof/>
        </w:rPr>
        <w:instrText xml:space="preserve"> PAGEREF _Toc382920288 \h </w:instrText>
      </w:r>
      <w:r>
        <w:rPr>
          <w:noProof/>
        </w:rPr>
      </w:r>
      <w:r>
        <w:rPr>
          <w:noProof/>
        </w:rPr>
        <w:fldChar w:fldCharType="separate"/>
      </w:r>
      <w:r w:rsidR="001C5EC1">
        <w:rPr>
          <w:noProof/>
        </w:rPr>
        <w:t>86</w:t>
      </w:r>
      <w:r>
        <w:rPr>
          <w:noProof/>
        </w:rPr>
        <w:fldChar w:fldCharType="end"/>
      </w:r>
    </w:p>
    <w:p w14:paraId="0F4F5E08" w14:textId="55F832C9" w:rsidR="00650AB9" w:rsidRDefault="00650AB9">
      <w:pPr>
        <w:pStyle w:val="TableofFigures"/>
        <w:tabs>
          <w:tab w:val="right" w:leader="dot" w:pos="9350"/>
        </w:tabs>
        <w:rPr>
          <w:rFonts w:asciiTheme="minorHAnsi" w:eastAsiaTheme="minorEastAsia" w:hAnsiTheme="minorHAnsi" w:cstheme="minorBidi"/>
          <w:noProof/>
        </w:rPr>
      </w:pPr>
      <w:r>
        <w:rPr>
          <w:noProof/>
        </w:rPr>
        <w:t>Fig. 7.4.  Coupled Model Coolant Mesh Convergence—Max Fuel Meat Temperature</w:t>
      </w:r>
      <w:r>
        <w:rPr>
          <w:noProof/>
        </w:rPr>
        <w:tab/>
      </w:r>
      <w:r>
        <w:rPr>
          <w:noProof/>
        </w:rPr>
        <w:fldChar w:fldCharType="begin"/>
      </w:r>
      <w:r>
        <w:rPr>
          <w:noProof/>
        </w:rPr>
        <w:instrText xml:space="preserve"> PAGEREF _Toc382920289 \h </w:instrText>
      </w:r>
      <w:r>
        <w:rPr>
          <w:noProof/>
        </w:rPr>
      </w:r>
      <w:r>
        <w:rPr>
          <w:noProof/>
        </w:rPr>
        <w:fldChar w:fldCharType="separate"/>
      </w:r>
      <w:r w:rsidR="001C5EC1">
        <w:rPr>
          <w:noProof/>
        </w:rPr>
        <w:t>86</w:t>
      </w:r>
      <w:r>
        <w:rPr>
          <w:noProof/>
        </w:rPr>
        <w:fldChar w:fldCharType="end"/>
      </w:r>
    </w:p>
    <w:p w14:paraId="72D712AC"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t>Fig. 7.5.  Coupled Model Fuel Plate Mesh Convergence—Fuel Plate Error.</w:t>
      </w:r>
      <w:r>
        <w:rPr>
          <w:noProof/>
        </w:rPr>
        <w:tab/>
      </w:r>
      <w:r>
        <w:rPr>
          <w:noProof/>
        </w:rPr>
        <w:fldChar w:fldCharType="begin"/>
      </w:r>
      <w:r>
        <w:rPr>
          <w:noProof/>
        </w:rPr>
        <w:instrText xml:space="preserve"> PAGEREF _Toc382920290 \h </w:instrText>
      </w:r>
      <w:r>
        <w:rPr>
          <w:noProof/>
        </w:rPr>
      </w:r>
      <w:r>
        <w:rPr>
          <w:noProof/>
        </w:rPr>
        <w:fldChar w:fldCharType="separate"/>
      </w:r>
      <w:r w:rsidR="001C5EC1">
        <w:rPr>
          <w:noProof/>
        </w:rPr>
        <w:t>88</w:t>
      </w:r>
      <w:r>
        <w:rPr>
          <w:noProof/>
        </w:rPr>
        <w:fldChar w:fldCharType="end"/>
      </w:r>
    </w:p>
    <w:p w14:paraId="3FF45269" w14:textId="77777777" w:rsidR="00650AB9" w:rsidRDefault="00650AB9">
      <w:pPr>
        <w:pStyle w:val="TableofFigures"/>
        <w:tabs>
          <w:tab w:val="right" w:leader="dot" w:pos="9350"/>
        </w:tabs>
        <w:rPr>
          <w:rFonts w:asciiTheme="minorHAnsi" w:eastAsiaTheme="minorEastAsia" w:hAnsiTheme="minorHAnsi" w:cstheme="minorBidi"/>
          <w:noProof/>
        </w:rPr>
      </w:pPr>
      <w:r>
        <w:rPr>
          <w:noProof/>
        </w:rPr>
        <w:lastRenderedPageBreak/>
        <w:t>Fig. 7.6.  Coupled Model Fuel Plate Mesh Convergence—Global Error.</w:t>
      </w:r>
      <w:r>
        <w:rPr>
          <w:noProof/>
        </w:rPr>
        <w:tab/>
      </w:r>
      <w:r>
        <w:rPr>
          <w:noProof/>
        </w:rPr>
        <w:fldChar w:fldCharType="begin"/>
      </w:r>
      <w:r>
        <w:rPr>
          <w:noProof/>
        </w:rPr>
        <w:instrText xml:space="preserve"> PAGEREF _Toc382920291 \h </w:instrText>
      </w:r>
      <w:r>
        <w:rPr>
          <w:noProof/>
        </w:rPr>
      </w:r>
      <w:r>
        <w:rPr>
          <w:noProof/>
        </w:rPr>
        <w:fldChar w:fldCharType="separate"/>
      </w:r>
      <w:r w:rsidR="001C5EC1">
        <w:rPr>
          <w:noProof/>
        </w:rPr>
        <w:t>88</w:t>
      </w:r>
      <w:r>
        <w:rPr>
          <w:noProof/>
        </w:rPr>
        <w:fldChar w:fldCharType="end"/>
      </w:r>
    </w:p>
    <w:p w14:paraId="1B0A5EA3" w14:textId="2DC12170" w:rsidR="00650AB9" w:rsidRDefault="00650AB9">
      <w:pPr>
        <w:pStyle w:val="TableofFigures"/>
        <w:tabs>
          <w:tab w:val="right" w:leader="dot" w:pos="9350"/>
        </w:tabs>
        <w:rPr>
          <w:rFonts w:asciiTheme="minorHAnsi" w:eastAsiaTheme="minorEastAsia" w:hAnsiTheme="minorHAnsi" w:cstheme="minorBidi"/>
          <w:noProof/>
        </w:rPr>
      </w:pPr>
      <w:r>
        <w:rPr>
          <w:noProof/>
        </w:rPr>
        <w:t>Fig. 7.7.  Coupled Model Fuel Plate Mesh Convergence—Max Fuel Meat Temperature</w:t>
      </w:r>
      <w:r>
        <w:rPr>
          <w:noProof/>
        </w:rPr>
        <w:tab/>
      </w:r>
      <w:r>
        <w:rPr>
          <w:noProof/>
        </w:rPr>
        <w:fldChar w:fldCharType="begin"/>
      </w:r>
      <w:r>
        <w:rPr>
          <w:noProof/>
        </w:rPr>
        <w:instrText xml:space="preserve"> PAGEREF _Toc382920292 \h </w:instrText>
      </w:r>
      <w:r>
        <w:rPr>
          <w:noProof/>
        </w:rPr>
      </w:r>
      <w:r>
        <w:rPr>
          <w:noProof/>
        </w:rPr>
        <w:fldChar w:fldCharType="separate"/>
      </w:r>
      <w:r w:rsidR="001C5EC1">
        <w:rPr>
          <w:noProof/>
        </w:rPr>
        <w:t>89</w:t>
      </w:r>
      <w:r>
        <w:rPr>
          <w:noProof/>
        </w:rPr>
        <w:fldChar w:fldCharType="end"/>
      </w:r>
    </w:p>
    <w:p w14:paraId="77DD5A8B" w14:textId="652C860D" w:rsidR="00650AB9" w:rsidRDefault="00650AB9">
      <w:pPr>
        <w:pStyle w:val="TableofFigures"/>
        <w:tabs>
          <w:tab w:val="right" w:leader="dot" w:pos="9350"/>
        </w:tabs>
        <w:rPr>
          <w:rFonts w:asciiTheme="minorHAnsi" w:eastAsiaTheme="minorEastAsia" w:hAnsiTheme="minorHAnsi" w:cstheme="minorBidi"/>
          <w:noProof/>
        </w:rPr>
      </w:pPr>
      <w:r>
        <w:rPr>
          <w:noProof/>
        </w:rPr>
        <w:t>Fig. 7.8.  Coupled Model Fuel Plate Mesh p1</w:t>
      </w:r>
      <w:r>
        <w:rPr>
          <w:noProof/>
        </w:rPr>
        <w:tab/>
      </w:r>
      <w:r>
        <w:rPr>
          <w:noProof/>
        </w:rPr>
        <w:fldChar w:fldCharType="begin"/>
      </w:r>
      <w:r>
        <w:rPr>
          <w:noProof/>
        </w:rPr>
        <w:instrText xml:space="preserve"> PAGEREF _Toc382920293 \h </w:instrText>
      </w:r>
      <w:r>
        <w:rPr>
          <w:noProof/>
        </w:rPr>
      </w:r>
      <w:r>
        <w:rPr>
          <w:noProof/>
        </w:rPr>
        <w:fldChar w:fldCharType="separate"/>
      </w:r>
      <w:r w:rsidR="001C5EC1">
        <w:rPr>
          <w:noProof/>
        </w:rPr>
        <w:t>90</w:t>
      </w:r>
      <w:r>
        <w:rPr>
          <w:noProof/>
        </w:rPr>
        <w:fldChar w:fldCharType="end"/>
      </w:r>
    </w:p>
    <w:p w14:paraId="01E783B5" w14:textId="6AD8D60B" w:rsidR="00650AB9" w:rsidRDefault="00650AB9">
      <w:pPr>
        <w:pStyle w:val="TableofFigures"/>
        <w:tabs>
          <w:tab w:val="right" w:leader="dot" w:pos="9350"/>
        </w:tabs>
        <w:rPr>
          <w:rFonts w:asciiTheme="minorHAnsi" w:eastAsiaTheme="minorEastAsia" w:hAnsiTheme="minorHAnsi" w:cstheme="minorBidi"/>
          <w:noProof/>
        </w:rPr>
      </w:pPr>
      <w:r>
        <w:rPr>
          <w:noProof/>
        </w:rPr>
        <w:t>Fig. 7.9.  Coupled Model Fuel Plate Mesh Convergence—Max Fuel Meat T Error</w:t>
      </w:r>
      <w:r>
        <w:rPr>
          <w:noProof/>
        </w:rPr>
        <w:tab/>
      </w:r>
      <w:r>
        <w:rPr>
          <w:noProof/>
        </w:rPr>
        <w:fldChar w:fldCharType="begin"/>
      </w:r>
      <w:r>
        <w:rPr>
          <w:noProof/>
        </w:rPr>
        <w:instrText xml:space="preserve"> PAGEREF _Toc382920294 \h </w:instrText>
      </w:r>
      <w:r>
        <w:rPr>
          <w:noProof/>
        </w:rPr>
      </w:r>
      <w:r>
        <w:rPr>
          <w:noProof/>
        </w:rPr>
        <w:fldChar w:fldCharType="separate"/>
      </w:r>
      <w:r w:rsidR="001C5EC1">
        <w:rPr>
          <w:noProof/>
        </w:rPr>
        <w:t>91</w:t>
      </w:r>
      <w:r>
        <w:rPr>
          <w:noProof/>
        </w:rPr>
        <w:fldChar w:fldCharType="end"/>
      </w:r>
    </w:p>
    <w:p w14:paraId="29B457F3" w14:textId="3CB6B366" w:rsidR="00650AB9" w:rsidRDefault="00650AB9">
      <w:pPr>
        <w:pStyle w:val="TableofFigures"/>
        <w:tabs>
          <w:tab w:val="right" w:leader="dot" w:pos="9350"/>
        </w:tabs>
        <w:rPr>
          <w:rFonts w:asciiTheme="minorHAnsi" w:eastAsiaTheme="minorEastAsia" w:hAnsiTheme="minorHAnsi" w:cstheme="minorBidi"/>
          <w:noProof/>
        </w:rPr>
      </w:pPr>
      <w:r>
        <w:rPr>
          <w:noProof/>
        </w:rPr>
        <w:t>Fig. 7.10.  Coupled Model Alternate Coolant Mesh Study—Max Fuel Meat T Error</w:t>
      </w:r>
      <w:r>
        <w:rPr>
          <w:noProof/>
        </w:rPr>
        <w:tab/>
      </w:r>
      <w:r>
        <w:rPr>
          <w:noProof/>
        </w:rPr>
        <w:fldChar w:fldCharType="begin"/>
      </w:r>
      <w:r>
        <w:rPr>
          <w:noProof/>
        </w:rPr>
        <w:instrText xml:space="preserve"> PAGEREF _Toc382920295 \h </w:instrText>
      </w:r>
      <w:r>
        <w:rPr>
          <w:noProof/>
        </w:rPr>
      </w:r>
      <w:r>
        <w:rPr>
          <w:noProof/>
        </w:rPr>
        <w:fldChar w:fldCharType="separate"/>
      </w:r>
      <w:r w:rsidR="001C5EC1">
        <w:rPr>
          <w:noProof/>
        </w:rPr>
        <w:t>93</w:t>
      </w:r>
      <w:r>
        <w:rPr>
          <w:noProof/>
        </w:rPr>
        <w:fldChar w:fldCharType="end"/>
      </w:r>
    </w:p>
    <w:p w14:paraId="069ECAAB" w14:textId="3DF2D202" w:rsidR="00650AB9" w:rsidRDefault="00650AB9">
      <w:pPr>
        <w:pStyle w:val="TableofFigures"/>
        <w:tabs>
          <w:tab w:val="right" w:leader="dot" w:pos="9350"/>
        </w:tabs>
        <w:rPr>
          <w:rFonts w:asciiTheme="minorHAnsi" w:eastAsiaTheme="minorEastAsia" w:hAnsiTheme="minorHAnsi" w:cstheme="minorBidi"/>
          <w:noProof/>
        </w:rPr>
      </w:pPr>
      <w:r>
        <w:rPr>
          <w:noProof/>
        </w:rPr>
        <w:t>Fig. 7.11.  Coupled Model Alternate Coolant Mesh Study—Max Fuel Meat T</w:t>
      </w:r>
      <w:r>
        <w:rPr>
          <w:noProof/>
        </w:rPr>
        <w:tab/>
      </w:r>
      <w:r>
        <w:rPr>
          <w:noProof/>
        </w:rPr>
        <w:fldChar w:fldCharType="begin"/>
      </w:r>
      <w:r>
        <w:rPr>
          <w:noProof/>
        </w:rPr>
        <w:instrText xml:space="preserve"> PAGEREF _Toc382920296 \h </w:instrText>
      </w:r>
      <w:r>
        <w:rPr>
          <w:noProof/>
        </w:rPr>
      </w:r>
      <w:r>
        <w:rPr>
          <w:noProof/>
        </w:rPr>
        <w:fldChar w:fldCharType="separate"/>
      </w:r>
      <w:r w:rsidR="001C5EC1">
        <w:rPr>
          <w:noProof/>
        </w:rPr>
        <w:t>93</w:t>
      </w:r>
      <w:r>
        <w:rPr>
          <w:noProof/>
        </w:rPr>
        <w:fldChar w:fldCharType="end"/>
      </w:r>
    </w:p>
    <w:p w14:paraId="14D1ADE2" w14:textId="7849E756" w:rsidR="00650AB9" w:rsidRDefault="00650AB9">
      <w:pPr>
        <w:pStyle w:val="TableofFigures"/>
        <w:tabs>
          <w:tab w:val="right" w:leader="dot" w:pos="9350"/>
        </w:tabs>
        <w:rPr>
          <w:rFonts w:asciiTheme="minorHAnsi" w:eastAsiaTheme="minorEastAsia" w:hAnsiTheme="minorHAnsi" w:cstheme="minorBidi"/>
          <w:noProof/>
        </w:rPr>
      </w:pPr>
      <w:r>
        <w:rPr>
          <w:noProof/>
        </w:rPr>
        <w:t>Fig. 7.12.  Mesh alt3 Distribution Comparison</w:t>
      </w:r>
      <w:r>
        <w:rPr>
          <w:noProof/>
        </w:rPr>
        <w:tab/>
      </w:r>
      <w:r>
        <w:rPr>
          <w:noProof/>
        </w:rPr>
        <w:fldChar w:fldCharType="begin"/>
      </w:r>
      <w:r>
        <w:rPr>
          <w:noProof/>
        </w:rPr>
        <w:instrText xml:space="preserve"> PAGEREF _Toc382920297 \h </w:instrText>
      </w:r>
      <w:r>
        <w:rPr>
          <w:noProof/>
        </w:rPr>
      </w:r>
      <w:r>
        <w:rPr>
          <w:noProof/>
        </w:rPr>
        <w:fldChar w:fldCharType="separate"/>
      </w:r>
      <w:r w:rsidR="001C5EC1">
        <w:rPr>
          <w:noProof/>
        </w:rPr>
        <w:t>95</w:t>
      </w:r>
      <w:r>
        <w:rPr>
          <w:noProof/>
        </w:rPr>
        <w:fldChar w:fldCharType="end"/>
      </w:r>
    </w:p>
    <w:p w14:paraId="4B086D93" w14:textId="463CD304" w:rsidR="00650AB9" w:rsidRDefault="00650AB9">
      <w:pPr>
        <w:pStyle w:val="TableofFigures"/>
        <w:tabs>
          <w:tab w:val="right" w:leader="dot" w:pos="9350"/>
        </w:tabs>
        <w:rPr>
          <w:rFonts w:asciiTheme="minorHAnsi" w:eastAsiaTheme="minorEastAsia" w:hAnsiTheme="minorHAnsi" w:cstheme="minorBidi"/>
          <w:noProof/>
        </w:rPr>
      </w:pPr>
      <w:r>
        <w:rPr>
          <w:noProof/>
        </w:rPr>
        <w:t>Fig. 7.13.  3D Model Inner Side Plate Inward Heat Flux</w:t>
      </w:r>
      <w:r>
        <w:rPr>
          <w:noProof/>
        </w:rPr>
        <w:tab/>
      </w:r>
      <w:r>
        <w:rPr>
          <w:noProof/>
        </w:rPr>
        <w:fldChar w:fldCharType="begin"/>
      </w:r>
      <w:r>
        <w:rPr>
          <w:noProof/>
        </w:rPr>
        <w:instrText xml:space="preserve"> PAGEREF _Toc382920298 \h </w:instrText>
      </w:r>
      <w:r>
        <w:rPr>
          <w:noProof/>
        </w:rPr>
      </w:r>
      <w:r>
        <w:rPr>
          <w:noProof/>
        </w:rPr>
        <w:fldChar w:fldCharType="separate"/>
      </w:r>
      <w:r w:rsidR="001C5EC1">
        <w:rPr>
          <w:noProof/>
        </w:rPr>
        <w:t>96</w:t>
      </w:r>
      <w:r>
        <w:rPr>
          <w:noProof/>
        </w:rPr>
        <w:fldChar w:fldCharType="end"/>
      </w:r>
    </w:p>
    <w:p w14:paraId="1D607C44" w14:textId="67D209B6" w:rsidR="00650AB9" w:rsidRDefault="00650AB9">
      <w:pPr>
        <w:pStyle w:val="TableofFigures"/>
        <w:tabs>
          <w:tab w:val="right" w:leader="dot" w:pos="9350"/>
        </w:tabs>
        <w:rPr>
          <w:rFonts w:asciiTheme="minorHAnsi" w:eastAsiaTheme="minorEastAsia" w:hAnsiTheme="minorHAnsi" w:cstheme="minorBidi"/>
          <w:noProof/>
        </w:rPr>
      </w:pPr>
      <w:r>
        <w:rPr>
          <w:noProof/>
        </w:rPr>
        <w:t>Fig. 7.14.  Coupled Model Hydrodynamic Entrance Region Velocity Profiles</w:t>
      </w:r>
      <w:r>
        <w:rPr>
          <w:noProof/>
        </w:rPr>
        <w:tab/>
      </w:r>
      <w:r>
        <w:rPr>
          <w:noProof/>
        </w:rPr>
        <w:fldChar w:fldCharType="begin"/>
      </w:r>
      <w:r>
        <w:rPr>
          <w:noProof/>
        </w:rPr>
        <w:instrText xml:space="preserve"> PAGEREF _Toc382920299 \h </w:instrText>
      </w:r>
      <w:r>
        <w:rPr>
          <w:noProof/>
        </w:rPr>
      </w:r>
      <w:r>
        <w:rPr>
          <w:noProof/>
        </w:rPr>
        <w:fldChar w:fldCharType="separate"/>
      </w:r>
      <w:r w:rsidR="001C5EC1">
        <w:rPr>
          <w:noProof/>
        </w:rPr>
        <w:t>97</w:t>
      </w:r>
      <w:r>
        <w:rPr>
          <w:noProof/>
        </w:rPr>
        <w:fldChar w:fldCharType="end"/>
      </w:r>
    </w:p>
    <w:p w14:paraId="198C0AB5" w14:textId="3A9C0947" w:rsidR="00650AB9" w:rsidRDefault="00650AB9">
      <w:pPr>
        <w:pStyle w:val="TableofFigures"/>
        <w:tabs>
          <w:tab w:val="right" w:leader="dot" w:pos="9350"/>
        </w:tabs>
        <w:rPr>
          <w:rFonts w:asciiTheme="minorHAnsi" w:eastAsiaTheme="minorEastAsia" w:hAnsiTheme="minorHAnsi" w:cstheme="minorBidi"/>
          <w:noProof/>
        </w:rPr>
      </w:pPr>
      <w:r>
        <w:rPr>
          <w:noProof/>
        </w:rPr>
        <w:t>Fig. 7.15.  Coupled Model Entrance Region Reynolds Number Profile</w:t>
      </w:r>
      <w:r>
        <w:rPr>
          <w:noProof/>
        </w:rPr>
        <w:tab/>
      </w:r>
      <w:r>
        <w:rPr>
          <w:noProof/>
        </w:rPr>
        <w:fldChar w:fldCharType="begin"/>
      </w:r>
      <w:r>
        <w:rPr>
          <w:noProof/>
        </w:rPr>
        <w:instrText xml:space="preserve"> PAGEREF _Toc382920300 \h </w:instrText>
      </w:r>
      <w:r>
        <w:rPr>
          <w:noProof/>
        </w:rPr>
      </w:r>
      <w:r>
        <w:rPr>
          <w:noProof/>
        </w:rPr>
        <w:fldChar w:fldCharType="separate"/>
      </w:r>
      <w:r w:rsidR="001C5EC1">
        <w:rPr>
          <w:noProof/>
        </w:rPr>
        <w:t>97</w:t>
      </w:r>
      <w:r>
        <w:rPr>
          <w:noProof/>
        </w:rPr>
        <w:fldChar w:fldCharType="end"/>
      </w:r>
    </w:p>
    <w:p w14:paraId="2C83789A" w14:textId="5CAB9ACD" w:rsidR="00650AB9" w:rsidRDefault="00650AB9">
      <w:pPr>
        <w:pStyle w:val="TableofFigures"/>
        <w:tabs>
          <w:tab w:val="right" w:leader="dot" w:pos="9350"/>
        </w:tabs>
        <w:rPr>
          <w:rFonts w:asciiTheme="minorHAnsi" w:eastAsiaTheme="minorEastAsia" w:hAnsiTheme="minorHAnsi" w:cstheme="minorBidi"/>
          <w:noProof/>
        </w:rPr>
      </w:pPr>
      <w:r>
        <w:rPr>
          <w:noProof/>
        </w:rPr>
        <w:t>Fig. 7.16.  Coupled Model Thermal Entrance Region Temperature Profiles</w:t>
      </w:r>
      <w:r>
        <w:rPr>
          <w:noProof/>
        </w:rPr>
        <w:tab/>
      </w:r>
      <w:r>
        <w:rPr>
          <w:noProof/>
        </w:rPr>
        <w:fldChar w:fldCharType="begin"/>
      </w:r>
      <w:r>
        <w:rPr>
          <w:noProof/>
        </w:rPr>
        <w:instrText xml:space="preserve"> PAGEREF _Toc382920301 \h </w:instrText>
      </w:r>
      <w:r>
        <w:rPr>
          <w:noProof/>
        </w:rPr>
      </w:r>
      <w:r>
        <w:rPr>
          <w:noProof/>
        </w:rPr>
        <w:fldChar w:fldCharType="separate"/>
      </w:r>
      <w:r w:rsidR="001C5EC1">
        <w:rPr>
          <w:noProof/>
        </w:rPr>
        <w:t>98</w:t>
      </w:r>
      <w:r>
        <w:rPr>
          <w:noProof/>
        </w:rPr>
        <w:fldChar w:fldCharType="end"/>
      </w:r>
    </w:p>
    <w:p w14:paraId="4AB68449" w14:textId="4A3D8BC9" w:rsidR="00650AB9" w:rsidRDefault="00650AB9">
      <w:pPr>
        <w:pStyle w:val="TableofFigures"/>
        <w:tabs>
          <w:tab w:val="right" w:leader="dot" w:pos="9350"/>
        </w:tabs>
        <w:rPr>
          <w:rFonts w:asciiTheme="minorHAnsi" w:eastAsiaTheme="minorEastAsia" w:hAnsiTheme="minorHAnsi" w:cstheme="minorBidi"/>
          <w:noProof/>
        </w:rPr>
      </w:pPr>
      <w:r>
        <w:rPr>
          <w:noProof/>
        </w:rPr>
        <w:t>Fig. 7.17.  Conceptual Paneling Model Diagram</w:t>
      </w:r>
      <w:r>
        <w:rPr>
          <w:noProof/>
        </w:rPr>
        <w:tab/>
      </w:r>
      <w:r>
        <w:rPr>
          <w:noProof/>
        </w:rPr>
        <w:fldChar w:fldCharType="begin"/>
      </w:r>
      <w:r>
        <w:rPr>
          <w:noProof/>
        </w:rPr>
        <w:instrText xml:space="preserve"> PAGEREF _Toc382920302 \h </w:instrText>
      </w:r>
      <w:r>
        <w:rPr>
          <w:noProof/>
        </w:rPr>
      </w:r>
      <w:r>
        <w:rPr>
          <w:noProof/>
        </w:rPr>
        <w:fldChar w:fldCharType="separate"/>
      </w:r>
      <w:r w:rsidR="001C5EC1">
        <w:rPr>
          <w:noProof/>
        </w:rPr>
        <w:t>99</w:t>
      </w:r>
      <w:r>
        <w:rPr>
          <w:noProof/>
        </w:rPr>
        <w:fldChar w:fldCharType="end"/>
      </w:r>
    </w:p>
    <w:p w14:paraId="56FDC447" w14:textId="4C7662F8" w:rsidR="00650AB9" w:rsidRDefault="00650AB9">
      <w:pPr>
        <w:pStyle w:val="TableofFigures"/>
        <w:tabs>
          <w:tab w:val="right" w:leader="dot" w:pos="9350"/>
        </w:tabs>
        <w:rPr>
          <w:rFonts w:asciiTheme="minorHAnsi" w:eastAsiaTheme="minorEastAsia" w:hAnsiTheme="minorHAnsi" w:cstheme="minorBidi"/>
          <w:noProof/>
        </w:rPr>
      </w:pPr>
      <w:r>
        <w:rPr>
          <w:noProof/>
        </w:rPr>
        <w:t>Fig. 7.18.  Conceptual Paneling Model Bulk Temperature Projections</w:t>
      </w:r>
      <w:r>
        <w:rPr>
          <w:noProof/>
        </w:rPr>
        <w:tab/>
      </w:r>
      <w:r>
        <w:rPr>
          <w:noProof/>
        </w:rPr>
        <w:fldChar w:fldCharType="begin"/>
      </w:r>
      <w:r>
        <w:rPr>
          <w:noProof/>
        </w:rPr>
        <w:instrText xml:space="preserve"> PAGEREF _Toc382920303 \h </w:instrText>
      </w:r>
      <w:r>
        <w:rPr>
          <w:noProof/>
        </w:rPr>
      </w:r>
      <w:r>
        <w:rPr>
          <w:noProof/>
        </w:rPr>
        <w:fldChar w:fldCharType="separate"/>
      </w:r>
      <w:r w:rsidR="001C5EC1">
        <w:rPr>
          <w:noProof/>
        </w:rPr>
        <w:t>100</w:t>
      </w:r>
      <w:r>
        <w:rPr>
          <w:noProof/>
        </w:rPr>
        <w:fldChar w:fldCharType="end"/>
      </w:r>
    </w:p>
    <w:p w14:paraId="605FB6E0" w14:textId="74BFA02D" w:rsidR="00650AB9" w:rsidRDefault="00650AB9">
      <w:pPr>
        <w:pStyle w:val="TableofFigures"/>
        <w:tabs>
          <w:tab w:val="right" w:leader="dot" w:pos="9350"/>
        </w:tabs>
        <w:rPr>
          <w:rFonts w:asciiTheme="minorHAnsi" w:eastAsiaTheme="minorEastAsia" w:hAnsiTheme="minorHAnsi" w:cstheme="minorBidi"/>
          <w:noProof/>
        </w:rPr>
      </w:pPr>
      <w:r>
        <w:rPr>
          <w:noProof/>
        </w:rPr>
        <w:t>Fig. 7.19.  Conceptual Paneling Model Surface and Midplane Temperature Profiles</w:t>
      </w:r>
      <w:r>
        <w:rPr>
          <w:noProof/>
        </w:rPr>
        <w:tab/>
      </w:r>
      <w:r>
        <w:rPr>
          <w:noProof/>
        </w:rPr>
        <w:fldChar w:fldCharType="begin"/>
      </w:r>
      <w:r>
        <w:rPr>
          <w:noProof/>
        </w:rPr>
        <w:instrText xml:space="preserve"> PAGEREF _Toc382920304 \h </w:instrText>
      </w:r>
      <w:r>
        <w:rPr>
          <w:noProof/>
        </w:rPr>
      </w:r>
      <w:r>
        <w:rPr>
          <w:noProof/>
        </w:rPr>
        <w:fldChar w:fldCharType="separate"/>
      </w:r>
      <w:r w:rsidR="001C5EC1">
        <w:rPr>
          <w:noProof/>
        </w:rPr>
        <w:t>100</w:t>
      </w:r>
      <w:r>
        <w:rPr>
          <w:noProof/>
        </w:rPr>
        <w:fldChar w:fldCharType="end"/>
      </w:r>
    </w:p>
    <w:p w14:paraId="52F79C78" w14:textId="6472693F" w:rsidR="00650AB9" w:rsidRDefault="00650AB9">
      <w:pPr>
        <w:pStyle w:val="TableofFigures"/>
        <w:tabs>
          <w:tab w:val="right" w:leader="dot" w:pos="9350"/>
        </w:tabs>
        <w:rPr>
          <w:rFonts w:asciiTheme="minorHAnsi" w:eastAsiaTheme="minorEastAsia" w:hAnsiTheme="minorHAnsi" w:cstheme="minorBidi"/>
          <w:noProof/>
        </w:rPr>
      </w:pPr>
      <w:r>
        <w:rPr>
          <w:noProof/>
        </w:rPr>
        <w:t>Fig. 7.20.  Coupled Paneled Model Concave Fuel Plate Surface Temperature Profile</w:t>
      </w:r>
      <w:r>
        <w:rPr>
          <w:noProof/>
        </w:rPr>
        <w:tab/>
      </w:r>
      <w:r>
        <w:rPr>
          <w:noProof/>
        </w:rPr>
        <w:fldChar w:fldCharType="begin"/>
      </w:r>
      <w:r>
        <w:rPr>
          <w:noProof/>
        </w:rPr>
        <w:instrText xml:space="preserve"> PAGEREF _Toc382920305 \h </w:instrText>
      </w:r>
      <w:r>
        <w:rPr>
          <w:noProof/>
        </w:rPr>
      </w:r>
      <w:r>
        <w:rPr>
          <w:noProof/>
        </w:rPr>
        <w:fldChar w:fldCharType="separate"/>
      </w:r>
      <w:r w:rsidR="001C5EC1">
        <w:rPr>
          <w:noProof/>
        </w:rPr>
        <w:t>101</w:t>
      </w:r>
      <w:r>
        <w:rPr>
          <w:noProof/>
        </w:rPr>
        <w:fldChar w:fldCharType="end"/>
      </w:r>
    </w:p>
    <w:p w14:paraId="003A936B" w14:textId="6D8B84C2" w:rsidR="00650AB9" w:rsidRDefault="00650AB9">
      <w:pPr>
        <w:pStyle w:val="TableofFigures"/>
        <w:tabs>
          <w:tab w:val="right" w:leader="dot" w:pos="9350"/>
        </w:tabs>
        <w:rPr>
          <w:rFonts w:asciiTheme="minorHAnsi" w:eastAsiaTheme="minorEastAsia" w:hAnsiTheme="minorHAnsi" w:cstheme="minorBidi"/>
          <w:noProof/>
        </w:rPr>
      </w:pPr>
      <w:r>
        <w:rPr>
          <w:noProof/>
        </w:rPr>
        <w:t>Fig. 7.21.  Fuel Meat Concave Surface Temperature Profile Comparison</w:t>
      </w:r>
      <w:r>
        <w:rPr>
          <w:noProof/>
        </w:rPr>
        <w:tab/>
      </w:r>
      <w:r>
        <w:rPr>
          <w:noProof/>
        </w:rPr>
        <w:fldChar w:fldCharType="begin"/>
      </w:r>
      <w:r>
        <w:rPr>
          <w:noProof/>
        </w:rPr>
        <w:instrText xml:space="preserve"> PAGEREF _Toc382920306 \h </w:instrText>
      </w:r>
      <w:r>
        <w:rPr>
          <w:noProof/>
        </w:rPr>
      </w:r>
      <w:r>
        <w:rPr>
          <w:noProof/>
        </w:rPr>
        <w:fldChar w:fldCharType="separate"/>
      </w:r>
      <w:r w:rsidR="001C5EC1">
        <w:rPr>
          <w:noProof/>
        </w:rPr>
        <w:t>102</w:t>
      </w:r>
      <w:r>
        <w:rPr>
          <w:noProof/>
        </w:rPr>
        <w:fldChar w:fldCharType="end"/>
      </w:r>
    </w:p>
    <w:p w14:paraId="623631F5" w14:textId="33C1797F" w:rsidR="00650AB9" w:rsidRDefault="00650AB9">
      <w:pPr>
        <w:pStyle w:val="TableofFigures"/>
        <w:tabs>
          <w:tab w:val="right" w:leader="dot" w:pos="9350"/>
        </w:tabs>
        <w:rPr>
          <w:rFonts w:asciiTheme="minorHAnsi" w:eastAsiaTheme="minorEastAsia" w:hAnsiTheme="minorHAnsi" w:cstheme="minorBidi"/>
          <w:noProof/>
        </w:rPr>
      </w:pPr>
      <w:r>
        <w:rPr>
          <w:noProof/>
        </w:rPr>
        <w:t>Fig. 7.22.  Fuel Meat Concave Surface Axial 1D Temperature Profiles</w:t>
      </w:r>
      <w:r>
        <w:rPr>
          <w:noProof/>
        </w:rPr>
        <w:tab/>
      </w:r>
      <w:r>
        <w:rPr>
          <w:noProof/>
        </w:rPr>
        <w:fldChar w:fldCharType="begin"/>
      </w:r>
      <w:r>
        <w:rPr>
          <w:noProof/>
        </w:rPr>
        <w:instrText xml:space="preserve"> PAGEREF _Toc382920307 \h </w:instrText>
      </w:r>
      <w:r>
        <w:rPr>
          <w:noProof/>
        </w:rPr>
      </w:r>
      <w:r>
        <w:rPr>
          <w:noProof/>
        </w:rPr>
        <w:fldChar w:fldCharType="separate"/>
      </w:r>
      <w:r w:rsidR="001C5EC1">
        <w:rPr>
          <w:noProof/>
        </w:rPr>
        <w:t>102</w:t>
      </w:r>
      <w:r>
        <w:rPr>
          <w:noProof/>
        </w:rPr>
        <w:fldChar w:fldCharType="end"/>
      </w:r>
    </w:p>
    <w:p w14:paraId="542765C9" w14:textId="72755A76" w:rsidR="00650AB9" w:rsidRDefault="00650AB9">
      <w:pPr>
        <w:pStyle w:val="TableofFigures"/>
        <w:tabs>
          <w:tab w:val="right" w:leader="dot" w:pos="9350"/>
        </w:tabs>
        <w:rPr>
          <w:rFonts w:asciiTheme="minorHAnsi" w:eastAsiaTheme="minorEastAsia" w:hAnsiTheme="minorHAnsi" w:cstheme="minorBidi"/>
          <w:noProof/>
        </w:rPr>
      </w:pPr>
      <w:r>
        <w:rPr>
          <w:noProof/>
        </w:rPr>
        <w:t>Fig. 7.23.  Fuel Meat Concave Surface Spanwise 1D Temperature Profiles</w:t>
      </w:r>
      <w:r>
        <w:rPr>
          <w:noProof/>
        </w:rPr>
        <w:tab/>
      </w:r>
      <w:r>
        <w:rPr>
          <w:noProof/>
        </w:rPr>
        <w:fldChar w:fldCharType="begin"/>
      </w:r>
      <w:r>
        <w:rPr>
          <w:noProof/>
        </w:rPr>
        <w:instrText xml:space="preserve"> PAGEREF _Toc382920308 \h </w:instrText>
      </w:r>
      <w:r>
        <w:rPr>
          <w:noProof/>
        </w:rPr>
      </w:r>
      <w:r>
        <w:rPr>
          <w:noProof/>
        </w:rPr>
        <w:fldChar w:fldCharType="separate"/>
      </w:r>
      <w:r w:rsidR="001C5EC1">
        <w:rPr>
          <w:noProof/>
        </w:rPr>
        <w:t>103</w:t>
      </w:r>
      <w:r>
        <w:rPr>
          <w:noProof/>
        </w:rPr>
        <w:fldChar w:fldCharType="end"/>
      </w:r>
    </w:p>
    <w:p w14:paraId="0678B9D2" w14:textId="1B1C60FF" w:rsidR="00650AB9" w:rsidRDefault="00650AB9">
      <w:pPr>
        <w:pStyle w:val="TableofFigures"/>
        <w:tabs>
          <w:tab w:val="right" w:leader="dot" w:pos="9350"/>
        </w:tabs>
        <w:rPr>
          <w:rFonts w:asciiTheme="minorHAnsi" w:eastAsiaTheme="minorEastAsia" w:hAnsiTheme="minorHAnsi" w:cstheme="minorBidi"/>
          <w:noProof/>
        </w:rPr>
      </w:pPr>
      <w:r>
        <w:rPr>
          <w:noProof/>
        </w:rPr>
        <w:t>Fig. 7.24.  Cross-Sectional Cut-Out Temperature Profile Comparison</w:t>
      </w:r>
      <w:r>
        <w:rPr>
          <w:noProof/>
        </w:rPr>
        <w:tab/>
      </w:r>
      <w:r>
        <w:rPr>
          <w:noProof/>
        </w:rPr>
        <w:fldChar w:fldCharType="begin"/>
      </w:r>
      <w:r>
        <w:rPr>
          <w:noProof/>
        </w:rPr>
        <w:instrText xml:space="preserve"> PAGEREF _Toc382920309 \h </w:instrText>
      </w:r>
      <w:r>
        <w:rPr>
          <w:noProof/>
        </w:rPr>
      </w:r>
      <w:r>
        <w:rPr>
          <w:noProof/>
        </w:rPr>
        <w:fldChar w:fldCharType="separate"/>
      </w:r>
      <w:r w:rsidR="001C5EC1">
        <w:rPr>
          <w:noProof/>
        </w:rPr>
        <w:t>104</w:t>
      </w:r>
      <w:r>
        <w:rPr>
          <w:noProof/>
        </w:rPr>
        <w:fldChar w:fldCharType="end"/>
      </w:r>
    </w:p>
    <w:p w14:paraId="607D730C" w14:textId="2AC1E158" w:rsidR="00650AB9" w:rsidRDefault="00650AB9">
      <w:pPr>
        <w:pStyle w:val="TableofFigures"/>
        <w:tabs>
          <w:tab w:val="right" w:leader="dot" w:pos="9350"/>
        </w:tabs>
        <w:rPr>
          <w:rFonts w:asciiTheme="minorHAnsi" w:eastAsiaTheme="minorEastAsia" w:hAnsiTheme="minorHAnsi" w:cstheme="minorBidi"/>
          <w:noProof/>
        </w:rPr>
      </w:pPr>
      <w:r>
        <w:rPr>
          <w:noProof/>
        </w:rPr>
        <w:t>Fig. 7.25.  Cross-Sectional Cut-Out Widthwise Line 1 1D Temperature Profiles</w:t>
      </w:r>
      <w:r>
        <w:rPr>
          <w:noProof/>
        </w:rPr>
        <w:tab/>
      </w:r>
      <w:r>
        <w:rPr>
          <w:noProof/>
        </w:rPr>
        <w:fldChar w:fldCharType="begin"/>
      </w:r>
      <w:r>
        <w:rPr>
          <w:noProof/>
        </w:rPr>
        <w:instrText xml:space="preserve"> PAGEREF _Toc382920310 \h </w:instrText>
      </w:r>
      <w:r>
        <w:rPr>
          <w:noProof/>
        </w:rPr>
      </w:r>
      <w:r>
        <w:rPr>
          <w:noProof/>
        </w:rPr>
        <w:fldChar w:fldCharType="separate"/>
      </w:r>
      <w:r w:rsidR="001C5EC1">
        <w:rPr>
          <w:noProof/>
        </w:rPr>
        <w:t>105</w:t>
      </w:r>
      <w:r>
        <w:rPr>
          <w:noProof/>
        </w:rPr>
        <w:fldChar w:fldCharType="end"/>
      </w:r>
    </w:p>
    <w:p w14:paraId="47B37152" w14:textId="6AEEA41D" w:rsidR="00650AB9" w:rsidRDefault="00650AB9">
      <w:pPr>
        <w:pStyle w:val="TableofFigures"/>
        <w:tabs>
          <w:tab w:val="right" w:leader="dot" w:pos="9350"/>
        </w:tabs>
        <w:rPr>
          <w:rFonts w:asciiTheme="minorHAnsi" w:eastAsiaTheme="minorEastAsia" w:hAnsiTheme="minorHAnsi" w:cstheme="minorBidi"/>
          <w:noProof/>
        </w:rPr>
      </w:pPr>
      <w:r>
        <w:rPr>
          <w:noProof/>
        </w:rPr>
        <w:t>Fig. 7.26.  Cross-Sectional Cut-Out Widthwise Line 2 1D Temperature Profiles</w:t>
      </w:r>
      <w:r>
        <w:rPr>
          <w:noProof/>
        </w:rPr>
        <w:tab/>
      </w:r>
      <w:r>
        <w:rPr>
          <w:noProof/>
        </w:rPr>
        <w:fldChar w:fldCharType="begin"/>
      </w:r>
      <w:r>
        <w:rPr>
          <w:noProof/>
        </w:rPr>
        <w:instrText xml:space="preserve"> PAGEREF _Toc382920311 \h </w:instrText>
      </w:r>
      <w:r>
        <w:rPr>
          <w:noProof/>
        </w:rPr>
      </w:r>
      <w:r>
        <w:rPr>
          <w:noProof/>
        </w:rPr>
        <w:fldChar w:fldCharType="separate"/>
      </w:r>
      <w:r w:rsidR="001C5EC1">
        <w:rPr>
          <w:noProof/>
        </w:rPr>
        <w:t>105</w:t>
      </w:r>
      <w:r>
        <w:rPr>
          <w:noProof/>
        </w:rPr>
        <w:fldChar w:fldCharType="end"/>
      </w:r>
    </w:p>
    <w:p w14:paraId="4A0F2816" w14:textId="601AE0BF" w:rsidR="00650AB9" w:rsidRDefault="00650AB9">
      <w:pPr>
        <w:pStyle w:val="TableofFigures"/>
        <w:tabs>
          <w:tab w:val="right" w:leader="dot" w:pos="9350"/>
        </w:tabs>
        <w:rPr>
          <w:rFonts w:asciiTheme="minorHAnsi" w:eastAsiaTheme="minorEastAsia" w:hAnsiTheme="minorHAnsi" w:cstheme="minorBidi"/>
          <w:noProof/>
        </w:rPr>
      </w:pPr>
      <w:r>
        <w:rPr>
          <w:noProof/>
        </w:rPr>
        <w:t>Fig. 7.27.  Coolant Channel Leading Edge Velocity Profile Comparison</w:t>
      </w:r>
      <w:r>
        <w:rPr>
          <w:noProof/>
        </w:rPr>
        <w:tab/>
      </w:r>
      <w:r>
        <w:rPr>
          <w:noProof/>
        </w:rPr>
        <w:fldChar w:fldCharType="begin"/>
      </w:r>
      <w:r>
        <w:rPr>
          <w:noProof/>
        </w:rPr>
        <w:instrText xml:space="preserve"> PAGEREF _Toc382920312 \h </w:instrText>
      </w:r>
      <w:r>
        <w:rPr>
          <w:noProof/>
        </w:rPr>
      </w:r>
      <w:r>
        <w:rPr>
          <w:noProof/>
        </w:rPr>
        <w:fldChar w:fldCharType="separate"/>
      </w:r>
      <w:r w:rsidR="001C5EC1">
        <w:rPr>
          <w:noProof/>
        </w:rPr>
        <w:t>107</w:t>
      </w:r>
      <w:r>
        <w:rPr>
          <w:noProof/>
        </w:rPr>
        <w:fldChar w:fldCharType="end"/>
      </w:r>
    </w:p>
    <w:p w14:paraId="4281B0E7" w14:textId="022CF51A" w:rsidR="00650AB9" w:rsidRDefault="00650AB9">
      <w:pPr>
        <w:pStyle w:val="TableofFigures"/>
        <w:tabs>
          <w:tab w:val="right" w:leader="dot" w:pos="9350"/>
        </w:tabs>
        <w:rPr>
          <w:rFonts w:asciiTheme="minorHAnsi" w:eastAsiaTheme="minorEastAsia" w:hAnsiTheme="minorHAnsi" w:cstheme="minorBidi"/>
          <w:noProof/>
        </w:rPr>
      </w:pPr>
      <w:r>
        <w:rPr>
          <w:noProof/>
        </w:rPr>
        <w:t>Fig. 7.28.  Coolant Channel Trailing Edge Velocity Profile Comparison</w:t>
      </w:r>
      <w:r>
        <w:rPr>
          <w:noProof/>
        </w:rPr>
        <w:tab/>
      </w:r>
      <w:r>
        <w:rPr>
          <w:noProof/>
        </w:rPr>
        <w:fldChar w:fldCharType="begin"/>
      </w:r>
      <w:r>
        <w:rPr>
          <w:noProof/>
        </w:rPr>
        <w:instrText xml:space="preserve"> PAGEREF _Toc382920313 \h </w:instrText>
      </w:r>
      <w:r>
        <w:rPr>
          <w:noProof/>
        </w:rPr>
      </w:r>
      <w:r>
        <w:rPr>
          <w:noProof/>
        </w:rPr>
        <w:fldChar w:fldCharType="separate"/>
      </w:r>
      <w:r w:rsidR="001C5EC1">
        <w:rPr>
          <w:noProof/>
        </w:rPr>
        <w:t>108</w:t>
      </w:r>
      <w:r>
        <w:rPr>
          <w:noProof/>
        </w:rPr>
        <w:fldChar w:fldCharType="end"/>
      </w:r>
    </w:p>
    <w:p w14:paraId="046C70C1" w14:textId="11C3A7A3" w:rsidR="00650AB9" w:rsidRDefault="00650AB9">
      <w:pPr>
        <w:pStyle w:val="TableofFigures"/>
        <w:tabs>
          <w:tab w:val="right" w:leader="dot" w:pos="9350"/>
        </w:tabs>
        <w:rPr>
          <w:rFonts w:asciiTheme="minorHAnsi" w:eastAsiaTheme="minorEastAsia" w:hAnsiTheme="minorHAnsi" w:cstheme="minorBidi"/>
          <w:noProof/>
        </w:rPr>
      </w:pPr>
      <w:r>
        <w:rPr>
          <w:noProof/>
        </w:rPr>
        <w:t>Fig. 7.29.  Coupled Model Non-symmetric Trailing Edge Pressure Profile</w:t>
      </w:r>
      <w:r>
        <w:rPr>
          <w:noProof/>
        </w:rPr>
        <w:tab/>
      </w:r>
      <w:r>
        <w:rPr>
          <w:noProof/>
        </w:rPr>
        <w:fldChar w:fldCharType="begin"/>
      </w:r>
      <w:r>
        <w:rPr>
          <w:noProof/>
        </w:rPr>
        <w:instrText xml:space="preserve"> PAGEREF _Toc382920314 \h </w:instrText>
      </w:r>
      <w:r>
        <w:rPr>
          <w:noProof/>
        </w:rPr>
      </w:r>
      <w:r>
        <w:rPr>
          <w:noProof/>
        </w:rPr>
        <w:fldChar w:fldCharType="separate"/>
      </w:r>
      <w:r w:rsidR="001C5EC1">
        <w:rPr>
          <w:noProof/>
        </w:rPr>
        <w:t>109</w:t>
      </w:r>
      <w:r>
        <w:rPr>
          <w:noProof/>
        </w:rPr>
        <w:fldChar w:fldCharType="end"/>
      </w:r>
    </w:p>
    <w:p w14:paraId="4AA94583" w14:textId="77777777" w:rsidR="00B07475" w:rsidRDefault="00650AB9" w:rsidP="00B07475">
      <w:pPr>
        <w:pStyle w:val="TableofFigures"/>
        <w:tabs>
          <w:tab w:val="right" w:leader="dot" w:pos="9350"/>
        </w:tabs>
        <w:ind w:firstLine="0"/>
      </w:pPr>
      <w:r>
        <w:fldChar w:fldCharType="end"/>
      </w:r>
    </w:p>
    <w:p w14:paraId="6A9D41BE" w14:textId="215F873B" w:rsidR="000C3216" w:rsidRPr="00595774" w:rsidRDefault="00595774">
      <w:pPr>
        <w:spacing w:line="276" w:lineRule="auto"/>
        <w:ind w:firstLine="0"/>
        <w:jc w:val="left"/>
      </w:pPr>
      <w:r>
        <w:br w:type="page"/>
      </w:r>
    </w:p>
    <w:p w14:paraId="2940C2EB" w14:textId="323D22C4" w:rsidR="00BF3A8C" w:rsidRPr="00E40352" w:rsidRDefault="00BF3A8C" w:rsidP="00E40352">
      <w:pPr>
        <w:ind w:firstLine="0"/>
        <w:jc w:val="center"/>
        <w:rPr>
          <w:b/>
        </w:rPr>
        <w:sectPr w:rsidR="00BF3A8C" w:rsidRPr="00E40352" w:rsidSect="003620D0">
          <w:footerReference w:type="default" r:id="rId9"/>
          <w:footerReference w:type="first" r:id="rId10"/>
          <w:endnotePr>
            <w:numFmt w:val="decimal"/>
          </w:endnotePr>
          <w:pgSz w:w="12240" w:h="15840"/>
          <w:pgMar w:top="1440" w:right="1440" w:bottom="1440" w:left="1440" w:header="720" w:footer="720" w:gutter="0"/>
          <w:pgNumType w:fmt="lowerRoman" w:start="1"/>
          <w:cols w:space="720"/>
          <w:titlePg/>
          <w:docGrid w:linePitch="360"/>
        </w:sectPr>
      </w:pPr>
      <w:r w:rsidRPr="00E40352">
        <w:rPr>
          <w:b/>
        </w:rPr>
        <w:lastRenderedPageBreak/>
        <w:t>Nomenclature</w:t>
      </w:r>
    </w:p>
    <w:tbl>
      <w:tblPr>
        <w:tblStyle w:val="TableGrid"/>
        <w:tblW w:w="46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6"/>
        <w:gridCol w:w="3069"/>
        <w:gridCol w:w="983"/>
      </w:tblGrid>
      <w:tr w:rsidR="00AD799C" w:rsidRPr="00F44E6D" w14:paraId="3A8F33A4" w14:textId="77777777" w:rsidTr="00BF2228">
        <w:tc>
          <w:tcPr>
            <w:tcW w:w="646" w:type="dxa"/>
            <w:vAlign w:val="center"/>
          </w:tcPr>
          <w:p w14:paraId="618A7E83" w14:textId="3BEC7D43" w:rsidR="00AD799C" w:rsidRPr="00F44E6D" w:rsidRDefault="00316000" w:rsidP="00BF2228">
            <w:pPr>
              <w:pStyle w:val="Nomenclature"/>
              <w:jc w:val="left"/>
              <w:rPr>
                <w:sz w:val="20"/>
                <w:szCs w:val="20"/>
              </w:rPr>
            </w:pPr>
            <w:r w:rsidRPr="00F44E6D">
              <w:rPr>
                <w:i/>
                <w:sz w:val="20"/>
                <w:szCs w:val="20"/>
              </w:rPr>
              <w:lastRenderedPageBreak/>
              <w:t>A</w:t>
            </w:r>
          </w:p>
        </w:tc>
        <w:tc>
          <w:tcPr>
            <w:tcW w:w="3069" w:type="dxa"/>
            <w:vAlign w:val="center"/>
          </w:tcPr>
          <w:p w14:paraId="1924524A" w14:textId="68FD133F" w:rsidR="00AD799C" w:rsidRPr="00F44E6D" w:rsidRDefault="00AD799C" w:rsidP="00BF2228">
            <w:pPr>
              <w:pStyle w:val="Nomenclature"/>
              <w:jc w:val="left"/>
              <w:rPr>
                <w:sz w:val="20"/>
                <w:szCs w:val="20"/>
              </w:rPr>
            </w:pPr>
            <w:r w:rsidRPr="00F44E6D">
              <w:rPr>
                <w:sz w:val="20"/>
                <w:szCs w:val="20"/>
              </w:rPr>
              <w:t>involute base circle arc length</w:t>
            </w:r>
          </w:p>
        </w:tc>
        <w:tc>
          <w:tcPr>
            <w:tcW w:w="983" w:type="dxa"/>
            <w:vAlign w:val="center"/>
          </w:tcPr>
          <w:p w14:paraId="2175AD89" w14:textId="69FCCDDE" w:rsidR="00AD799C" w:rsidRPr="00F44E6D" w:rsidRDefault="00AD799C" w:rsidP="00BF2228">
            <w:pPr>
              <w:pStyle w:val="Nomenclature"/>
              <w:ind w:left="-51"/>
              <w:jc w:val="left"/>
              <w:rPr>
                <w:sz w:val="20"/>
                <w:szCs w:val="20"/>
              </w:rPr>
            </w:pPr>
            <w:r w:rsidRPr="00F44E6D">
              <w:rPr>
                <w:sz w:val="20"/>
                <w:szCs w:val="20"/>
              </w:rPr>
              <w:t>(m)</w:t>
            </w:r>
          </w:p>
        </w:tc>
      </w:tr>
      <w:tr w:rsidR="009E2226" w:rsidRPr="00F44E6D" w14:paraId="2C3314CE" w14:textId="77777777" w:rsidTr="00BF2228">
        <w:tc>
          <w:tcPr>
            <w:tcW w:w="646" w:type="dxa"/>
            <w:vAlign w:val="center"/>
          </w:tcPr>
          <w:p w14:paraId="5F4E1E67" w14:textId="3160FF76" w:rsidR="009E2226" w:rsidRPr="009E2226" w:rsidRDefault="009E2226" w:rsidP="00BF2228">
            <w:pPr>
              <w:pStyle w:val="Nomenclature"/>
              <w:jc w:val="left"/>
              <w:rPr>
                <w:i/>
                <w:sz w:val="20"/>
                <w:szCs w:val="20"/>
                <w:vertAlign w:val="subscript"/>
              </w:rPr>
            </w:pPr>
            <w:r>
              <w:rPr>
                <w:i/>
                <w:sz w:val="20"/>
                <w:szCs w:val="20"/>
              </w:rPr>
              <w:t>A</w:t>
            </w:r>
            <w:r>
              <w:rPr>
                <w:i/>
                <w:sz w:val="20"/>
                <w:szCs w:val="20"/>
                <w:vertAlign w:val="subscript"/>
              </w:rPr>
              <w:t>p</w:t>
            </w:r>
          </w:p>
        </w:tc>
        <w:tc>
          <w:tcPr>
            <w:tcW w:w="3069" w:type="dxa"/>
            <w:vAlign w:val="center"/>
          </w:tcPr>
          <w:p w14:paraId="52F14B48" w14:textId="71350D22" w:rsidR="009E2226" w:rsidRPr="00F44E6D" w:rsidRDefault="009E2226" w:rsidP="00BF2228">
            <w:pPr>
              <w:pStyle w:val="Nomenclature"/>
              <w:jc w:val="left"/>
              <w:rPr>
                <w:sz w:val="20"/>
                <w:szCs w:val="20"/>
              </w:rPr>
            </w:pPr>
            <w:r>
              <w:rPr>
                <w:sz w:val="20"/>
                <w:szCs w:val="20"/>
              </w:rPr>
              <w:t>fuel plate surface area</w:t>
            </w:r>
          </w:p>
        </w:tc>
        <w:tc>
          <w:tcPr>
            <w:tcW w:w="983" w:type="dxa"/>
            <w:vAlign w:val="center"/>
          </w:tcPr>
          <w:p w14:paraId="0DE1D849" w14:textId="56EBAB68" w:rsidR="009E2226" w:rsidRPr="00F44E6D" w:rsidRDefault="009E2226" w:rsidP="00BF2228">
            <w:pPr>
              <w:pStyle w:val="Nomenclature"/>
              <w:ind w:left="-51"/>
              <w:jc w:val="left"/>
              <w:rPr>
                <w:sz w:val="20"/>
                <w:szCs w:val="20"/>
              </w:rPr>
            </w:pPr>
            <w:r>
              <w:rPr>
                <w:sz w:val="20"/>
                <w:szCs w:val="20"/>
              </w:rPr>
              <w:t>(m</w:t>
            </w:r>
            <w:r>
              <w:rPr>
                <w:sz w:val="20"/>
                <w:szCs w:val="20"/>
                <w:vertAlign w:val="superscript"/>
              </w:rPr>
              <w:t>2</w:t>
            </w:r>
            <w:r>
              <w:rPr>
                <w:sz w:val="20"/>
                <w:szCs w:val="20"/>
              </w:rPr>
              <w:t>)</w:t>
            </w:r>
          </w:p>
        </w:tc>
      </w:tr>
      <w:tr w:rsidR="00927DDA" w:rsidRPr="00F44E6D" w14:paraId="39F885B2" w14:textId="77777777" w:rsidTr="00BF2228">
        <w:tc>
          <w:tcPr>
            <w:tcW w:w="646" w:type="dxa"/>
            <w:vAlign w:val="center"/>
          </w:tcPr>
          <w:p w14:paraId="212473D9" w14:textId="282AE6E8" w:rsidR="00927DDA" w:rsidRPr="00F44E6D" w:rsidRDefault="00927DDA" w:rsidP="00BF2228">
            <w:pPr>
              <w:pStyle w:val="Nomenclature"/>
              <w:jc w:val="left"/>
              <w:rPr>
                <w:i/>
                <w:sz w:val="20"/>
                <w:szCs w:val="20"/>
              </w:rPr>
            </w:pPr>
            <w:r>
              <w:rPr>
                <w:i/>
                <w:sz w:val="20"/>
                <w:szCs w:val="20"/>
              </w:rPr>
              <w:t>B</w:t>
            </w:r>
          </w:p>
        </w:tc>
        <w:tc>
          <w:tcPr>
            <w:tcW w:w="3069" w:type="dxa"/>
            <w:vAlign w:val="center"/>
          </w:tcPr>
          <w:p w14:paraId="0E7D1770" w14:textId="10E928E7" w:rsidR="00927DDA" w:rsidRPr="00F44E6D" w:rsidRDefault="00927DDA" w:rsidP="00BF2228">
            <w:pPr>
              <w:pStyle w:val="Nomenclature"/>
              <w:jc w:val="left"/>
              <w:rPr>
                <w:sz w:val="20"/>
                <w:szCs w:val="20"/>
              </w:rPr>
            </w:pPr>
            <w:r>
              <w:rPr>
                <w:sz w:val="20"/>
                <w:szCs w:val="20"/>
              </w:rPr>
              <w:t>Spalding coefficient</w:t>
            </w:r>
          </w:p>
        </w:tc>
        <w:tc>
          <w:tcPr>
            <w:tcW w:w="983" w:type="dxa"/>
            <w:vAlign w:val="center"/>
          </w:tcPr>
          <w:p w14:paraId="6FF8E1BA" w14:textId="77777777" w:rsidR="00927DDA" w:rsidRPr="00F44E6D" w:rsidRDefault="00927DDA" w:rsidP="00BF2228">
            <w:pPr>
              <w:pStyle w:val="Nomenclature"/>
              <w:ind w:left="-51"/>
              <w:jc w:val="left"/>
              <w:rPr>
                <w:sz w:val="20"/>
                <w:szCs w:val="20"/>
              </w:rPr>
            </w:pPr>
          </w:p>
        </w:tc>
      </w:tr>
      <w:tr w:rsidR="0087415D" w:rsidRPr="00F44E6D" w14:paraId="6B2E69A2" w14:textId="77777777" w:rsidTr="00BF2228">
        <w:tc>
          <w:tcPr>
            <w:tcW w:w="646" w:type="dxa"/>
            <w:vAlign w:val="center"/>
          </w:tcPr>
          <w:p w14:paraId="5B4A6A36" w14:textId="2F95863F" w:rsidR="0087415D" w:rsidRPr="0087415D" w:rsidRDefault="0087415D" w:rsidP="00BF2228">
            <w:pPr>
              <w:pStyle w:val="Nomenclature"/>
              <w:jc w:val="left"/>
              <w:rPr>
                <w:i/>
                <w:sz w:val="20"/>
                <w:szCs w:val="20"/>
                <w:vertAlign w:val="subscript"/>
              </w:rPr>
            </w:pPr>
            <w:r>
              <w:rPr>
                <w:i/>
                <w:sz w:val="20"/>
                <w:szCs w:val="20"/>
              </w:rPr>
              <w:t>c</w:t>
            </w:r>
            <w:r>
              <w:rPr>
                <w:i/>
                <w:sz w:val="20"/>
                <w:szCs w:val="20"/>
                <w:vertAlign w:val="subscript"/>
              </w:rPr>
              <w:t>p</w:t>
            </w:r>
          </w:p>
        </w:tc>
        <w:tc>
          <w:tcPr>
            <w:tcW w:w="3069" w:type="dxa"/>
            <w:vAlign w:val="center"/>
          </w:tcPr>
          <w:p w14:paraId="50D981EB" w14:textId="164BD942" w:rsidR="0087415D" w:rsidRDefault="0087415D" w:rsidP="00BF2228">
            <w:pPr>
              <w:pStyle w:val="Nomenclature"/>
              <w:jc w:val="left"/>
              <w:rPr>
                <w:sz w:val="20"/>
                <w:szCs w:val="20"/>
              </w:rPr>
            </w:pPr>
            <w:r>
              <w:rPr>
                <w:sz w:val="20"/>
                <w:szCs w:val="20"/>
              </w:rPr>
              <w:t>specific heat at constant pressure</w:t>
            </w:r>
          </w:p>
        </w:tc>
        <w:tc>
          <w:tcPr>
            <w:tcW w:w="983" w:type="dxa"/>
            <w:vAlign w:val="center"/>
          </w:tcPr>
          <w:p w14:paraId="4359E837" w14:textId="1350A4BB" w:rsidR="0087415D" w:rsidRPr="00F44E6D" w:rsidRDefault="009C2456" w:rsidP="00BF2228">
            <w:pPr>
              <w:pStyle w:val="Nomenclature"/>
              <w:ind w:left="-51"/>
              <w:jc w:val="left"/>
              <w:rPr>
                <w:sz w:val="20"/>
                <w:szCs w:val="20"/>
              </w:rPr>
            </w:pPr>
            <w:r>
              <w:rPr>
                <w:sz w:val="20"/>
                <w:szCs w:val="20"/>
              </w:rPr>
              <w:t>(J/kg-K</w:t>
            </w:r>
            <w:r w:rsidR="0087415D">
              <w:rPr>
                <w:sz w:val="20"/>
                <w:szCs w:val="20"/>
              </w:rPr>
              <w:t>)</w:t>
            </w:r>
          </w:p>
        </w:tc>
      </w:tr>
      <w:tr w:rsidR="009C2456" w:rsidRPr="00F44E6D" w14:paraId="5ADCF49B" w14:textId="77777777" w:rsidTr="00BF2228">
        <w:tc>
          <w:tcPr>
            <w:tcW w:w="646" w:type="dxa"/>
            <w:vAlign w:val="center"/>
          </w:tcPr>
          <w:p w14:paraId="77BAF05E" w14:textId="38AEA672" w:rsidR="009C2456" w:rsidRPr="009C2456" w:rsidRDefault="009C2456" w:rsidP="00BF2228">
            <w:pPr>
              <w:pStyle w:val="Nomenclature"/>
              <w:jc w:val="left"/>
              <w:rPr>
                <w:i/>
                <w:sz w:val="20"/>
                <w:szCs w:val="20"/>
                <w:vertAlign w:val="subscript"/>
              </w:rPr>
            </w:pPr>
            <w:r>
              <w:rPr>
                <w:i/>
                <w:sz w:val="20"/>
                <w:szCs w:val="20"/>
              </w:rPr>
              <w:t>C</w:t>
            </w:r>
            <w:r>
              <w:rPr>
                <w:i/>
                <w:sz w:val="20"/>
                <w:szCs w:val="20"/>
                <w:vertAlign w:val="subscript"/>
              </w:rPr>
              <w:t>p</w:t>
            </w:r>
          </w:p>
        </w:tc>
        <w:tc>
          <w:tcPr>
            <w:tcW w:w="3069" w:type="dxa"/>
            <w:vAlign w:val="center"/>
          </w:tcPr>
          <w:p w14:paraId="59A4368A" w14:textId="1F343204" w:rsidR="009C2456" w:rsidRDefault="009C2456" w:rsidP="00BF2228">
            <w:pPr>
              <w:pStyle w:val="Nomenclature"/>
              <w:jc w:val="left"/>
              <w:rPr>
                <w:sz w:val="20"/>
                <w:szCs w:val="20"/>
              </w:rPr>
            </w:pPr>
            <w:r>
              <w:rPr>
                <w:sz w:val="20"/>
                <w:szCs w:val="20"/>
              </w:rPr>
              <w:t>heat capacity at constant pressure</w:t>
            </w:r>
          </w:p>
        </w:tc>
        <w:tc>
          <w:tcPr>
            <w:tcW w:w="983" w:type="dxa"/>
            <w:vAlign w:val="center"/>
          </w:tcPr>
          <w:p w14:paraId="0BCD37A9" w14:textId="306F8BAF" w:rsidR="009C2456" w:rsidRDefault="009C2456" w:rsidP="00BF2228">
            <w:pPr>
              <w:pStyle w:val="Nomenclature"/>
              <w:ind w:left="-51"/>
              <w:jc w:val="left"/>
              <w:rPr>
                <w:sz w:val="20"/>
                <w:szCs w:val="20"/>
              </w:rPr>
            </w:pPr>
            <w:r>
              <w:rPr>
                <w:sz w:val="20"/>
                <w:szCs w:val="20"/>
              </w:rPr>
              <w:t>(J/K)</w:t>
            </w:r>
          </w:p>
        </w:tc>
      </w:tr>
      <w:tr w:rsidR="00F44E6D" w:rsidRPr="00F44E6D" w14:paraId="6E911B28" w14:textId="77777777" w:rsidTr="00BF2228">
        <w:tc>
          <w:tcPr>
            <w:tcW w:w="646" w:type="dxa"/>
            <w:vAlign w:val="center"/>
          </w:tcPr>
          <w:p w14:paraId="16DFA418" w14:textId="2C47F0CE" w:rsidR="00F44E6D" w:rsidRPr="00F44E6D" w:rsidRDefault="00F44E6D" w:rsidP="00BF2228">
            <w:pPr>
              <w:pStyle w:val="Nomenclature"/>
              <w:jc w:val="left"/>
              <w:rPr>
                <w:i/>
                <w:sz w:val="20"/>
                <w:szCs w:val="20"/>
              </w:rPr>
            </w:pPr>
            <w:r w:rsidRPr="00F44E6D">
              <w:rPr>
                <w:i/>
                <w:sz w:val="20"/>
                <w:szCs w:val="20"/>
              </w:rPr>
              <w:t>C</w:t>
            </w:r>
            <w:r w:rsidRPr="00F44E6D">
              <w:rPr>
                <w:sz w:val="20"/>
                <w:szCs w:val="20"/>
                <w:vertAlign w:val="subscript"/>
              </w:rPr>
              <w:t>1</w:t>
            </w:r>
          </w:p>
        </w:tc>
        <w:tc>
          <w:tcPr>
            <w:tcW w:w="3069" w:type="dxa"/>
            <w:vAlign w:val="center"/>
          </w:tcPr>
          <w:p w14:paraId="1CA6F40E" w14:textId="62BF3E5A" w:rsidR="00F44E6D" w:rsidRPr="00F44E6D" w:rsidRDefault="00F44E6D" w:rsidP="00BF2228">
            <w:pPr>
              <w:pStyle w:val="Nomenclature"/>
              <w:jc w:val="left"/>
              <w:rPr>
                <w:sz w:val="20"/>
                <w:szCs w:val="20"/>
              </w:rPr>
            </w:pPr>
            <w:r w:rsidRPr="00F44E6D">
              <w:rPr>
                <w:sz w:val="20"/>
                <w:szCs w:val="20"/>
              </w:rPr>
              <w:t>power profile correction factor</w:t>
            </w:r>
          </w:p>
        </w:tc>
        <w:tc>
          <w:tcPr>
            <w:tcW w:w="983" w:type="dxa"/>
            <w:vAlign w:val="center"/>
          </w:tcPr>
          <w:p w14:paraId="4BED6D90" w14:textId="77777777" w:rsidR="00F44E6D" w:rsidRPr="00F44E6D" w:rsidRDefault="00F44E6D" w:rsidP="00BF2228">
            <w:pPr>
              <w:pStyle w:val="Nomenclature"/>
              <w:ind w:left="-51"/>
              <w:jc w:val="left"/>
              <w:rPr>
                <w:sz w:val="20"/>
                <w:szCs w:val="20"/>
              </w:rPr>
            </w:pPr>
          </w:p>
        </w:tc>
      </w:tr>
      <w:tr w:rsidR="00F44E6D" w:rsidRPr="00F44E6D" w14:paraId="7F90D3DE" w14:textId="77777777" w:rsidTr="00BF2228">
        <w:tc>
          <w:tcPr>
            <w:tcW w:w="646" w:type="dxa"/>
            <w:vAlign w:val="center"/>
          </w:tcPr>
          <w:p w14:paraId="3702DFF3" w14:textId="24D6FDDE" w:rsidR="00F44E6D" w:rsidRPr="00F44E6D" w:rsidRDefault="00F44E6D" w:rsidP="00BF2228">
            <w:pPr>
              <w:pStyle w:val="Nomenclature"/>
              <w:jc w:val="left"/>
              <w:rPr>
                <w:i/>
                <w:sz w:val="20"/>
                <w:szCs w:val="20"/>
              </w:rPr>
            </w:pPr>
            <w:r w:rsidRPr="00F44E6D">
              <w:rPr>
                <w:i/>
                <w:sz w:val="20"/>
                <w:szCs w:val="20"/>
              </w:rPr>
              <w:t>C</w:t>
            </w:r>
            <w:r w:rsidR="000F4BCC">
              <w:rPr>
                <w:i/>
                <w:sz w:val="20"/>
                <w:szCs w:val="20"/>
                <w:vertAlign w:val="subscript"/>
              </w:rPr>
              <w:t>μ</w:t>
            </w:r>
          </w:p>
        </w:tc>
        <w:tc>
          <w:tcPr>
            <w:tcW w:w="3069" w:type="dxa"/>
            <w:vAlign w:val="center"/>
          </w:tcPr>
          <w:p w14:paraId="04565069" w14:textId="78E8EF56" w:rsidR="00F44E6D" w:rsidRPr="00F44E6D" w:rsidRDefault="00F44E6D" w:rsidP="00BF2228">
            <w:pPr>
              <w:pStyle w:val="Nomenclature"/>
              <w:jc w:val="left"/>
              <w:rPr>
                <w:sz w:val="20"/>
                <w:szCs w:val="20"/>
              </w:rPr>
            </w:pPr>
            <w:r w:rsidRPr="00F44E6D">
              <w:rPr>
                <w:sz w:val="20"/>
                <w:szCs w:val="20"/>
              </w:rPr>
              <w:t>eddy viscosity constant</w:t>
            </w:r>
          </w:p>
        </w:tc>
        <w:tc>
          <w:tcPr>
            <w:tcW w:w="983" w:type="dxa"/>
            <w:vAlign w:val="center"/>
          </w:tcPr>
          <w:p w14:paraId="7E578B88" w14:textId="77777777" w:rsidR="00F44E6D" w:rsidRPr="00F44E6D" w:rsidRDefault="00F44E6D" w:rsidP="00BF2228">
            <w:pPr>
              <w:pStyle w:val="Nomenclature"/>
              <w:ind w:left="-51"/>
              <w:jc w:val="left"/>
              <w:rPr>
                <w:sz w:val="20"/>
                <w:szCs w:val="20"/>
              </w:rPr>
            </w:pPr>
          </w:p>
        </w:tc>
      </w:tr>
      <w:tr w:rsidR="00F44E6D" w:rsidRPr="00F44E6D" w14:paraId="41D5C3B5" w14:textId="77777777" w:rsidTr="00BF2228">
        <w:tc>
          <w:tcPr>
            <w:tcW w:w="646" w:type="dxa"/>
            <w:vAlign w:val="center"/>
          </w:tcPr>
          <w:p w14:paraId="1C41074B" w14:textId="7F74440F" w:rsidR="00F44E6D" w:rsidRPr="00F44E6D" w:rsidRDefault="00F44E6D" w:rsidP="00BF2228">
            <w:pPr>
              <w:pStyle w:val="Nomenclature"/>
              <w:jc w:val="left"/>
              <w:rPr>
                <w:i/>
                <w:sz w:val="20"/>
                <w:szCs w:val="20"/>
              </w:rPr>
            </w:pPr>
            <w:r w:rsidRPr="00F44E6D">
              <w:rPr>
                <w:i/>
                <w:sz w:val="20"/>
                <w:szCs w:val="20"/>
              </w:rPr>
              <w:t>C</w:t>
            </w:r>
            <w:r w:rsidRPr="00F44E6D">
              <w:rPr>
                <w:i/>
                <w:sz w:val="20"/>
                <w:szCs w:val="20"/>
                <w:vertAlign w:val="subscript"/>
              </w:rPr>
              <w:t>ε</w:t>
            </w:r>
            <w:r w:rsidRPr="00F44E6D">
              <w:rPr>
                <w:sz w:val="20"/>
                <w:szCs w:val="20"/>
                <w:vertAlign w:val="subscript"/>
              </w:rPr>
              <w:t>1,2</w:t>
            </w:r>
          </w:p>
        </w:tc>
        <w:tc>
          <w:tcPr>
            <w:tcW w:w="3069" w:type="dxa"/>
            <w:vAlign w:val="center"/>
          </w:tcPr>
          <w:p w14:paraId="05C198CC" w14:textId="681B89D1" w:rsidR="00F44E6D" w:rsidRPr="00F44E6D" w:rsidRDefault="00F44E6D" w:rsidP="00BF2228">
            <w:pPr>
              <w:pStyle w:val="Nomenclature"/>
              <w:jc w:val="left"/>
              <w:rPr>
                <w:sz w:val="20"/>
                <w:szCs w:val="20"/>
              </w:rPr>
            </w:pPr>
            <w:r w:rsidRPr="00F44E6D">
              <w:rPr>
                <w:sz w:val="20"/>
                <w:szCs w:val="20"/>
              </w:rPr>
              <w:t>dissipation constants</w:t>
            </w:r>
          </w:p>
        </w:tc>
        <w:tc>
          <w:tcPr>
            <w:tcW w:w="983" w:type="dxa"/>
            <w:vAlign w:val="center"/>
          </w:tcPr>
          <w:p w14:paraId="6F0F87B3" w14:textId="77777777" w:rsidR="00F44E6D" w:rsidRPr="00F44E6D" w:rsidRDefault="00F44E6D" w:rsidP="00BF2228">
            <w:pPr>
              <w:pStyle w:val="Nomenclature"/>
              <w:ind w:left="-51"/>
              <w:jc w:val="left"/>
              <w:rPr>
                <w:sz w:val="20"/>
                <w:szCs w:val="20"/>
              </w:rPr>
            </w:pPr>
          </w:p>
        </w:tc>
      </w:tr>
      <w:tr w:rsidR="008A1AE4" w:rsidRPr="00F44E6D" w14:paraId="0C0185FD" w14:textId="77777777" w:rsidTr="00BF2228">
        <w:tc>
          <w:tcPr>
            <w:tcW w:w="646" w:type="dxa"/>
            <w:vAlign w:val="center"/>
          </w:tcPr>
          <w:p w14:paraId="384AF1F6" w14:textId="08F681A3" w:rsidR="008A1AE4" w:rsidRPr="00F44E6D" w:rsidRDefault="009C2456" w:rsidP="00CE4D7E">
            <w:pPr>
              <w:pStyle w:val="Nomenclature"/>
              <w:spacing w:after="0"/>
              <w:ind w:left="-54"/>
              <w:jc w:val="left"/>
              <w:rPr>
                <w:i/>
                <w:sz w:val="20"/>
                <w:szCs w:val="20"/>
              </w:rPr>
            </w:pPr>
            <w:r w:rsidRPr="009C2456">
              <w:rPr>
                <w:position w:val="-6"/>
              </w:rPr>
              <w:object w:dxaOrig="240" w:dyaOrig="320" w14:anchorId="664F3D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15.6pt" o:ole="">
                  <v:imagedata r:id="rId11" o:title=""/>
                </v:shape>
                <o:OLEObject Type="Embed" ProgID="Equation.3" ShapeID="_x0000_i1025" DrawAspect="Content" ObjectID="_1457171678" r:id="rId12"/>
              </w:object>
            </w:r>
          </w:p>
        </w:tc>
        <w:tc>
          <w:tcPr>
            <w:tcW w:w="3069" w:type="dxa"/>
            <w:vAlign w:val="center"/>
          </w:tcPr>
          <w:p w14:paraId="2E313D04" w14:textId="1CA99E42" w:rsidR="008A1AE4" w:rsidRPr="00F44E6D" w:rsidRDefault="00F27371" w:rsidP="00BF2228">
            <w:pPr>
              <w:pStyle w:val="Nomenclature"/>
              <w:jc w:val="left"/>
              <w:rPr>
                <w:sz w:val="20"/>
                <w:szCs w:val="20"/>
              </w:rPr>
            </w:pPr>
            <w:r>
              <w:rPr>
                <w:sz w:val="20"/>
                <w:szCs w:val="20"/>
              </w:rPr>
              <w:t>heat capacity</w:t>
            </w:r>
            <w:r w:rsidR="000D32A3">
              <w:rPr>
                <w:sz w:val="20"/>
                <w:szCs w:val="20"/>
              </w:rPr>
              <w:t xml:space="preserve"> flow rate</w:t>
            </w:r>
          </w:p>
        </w:tc>
        <w:tc>
          <w:tcPr>
            <w:tcW w:w="983" w:type="dxa"/>
            <w:vAlign w:val="center"/>
          </w:tcPr>
          <w:p w14:paraId="31FE8358" w14:textId="15CEFEEC" w:rsidR="008A1AE4" w:rsidRPr="00F44E6D" w:rsidRDefault="009C2456" w:rsidP="00BF2228">
            <w:pPr>
              <w:pStyle w:val="Nomenclature"/>
              <w:ind w:left="-51"/>
              <w:jc w:val="left"/>
              <w:rPr>
                <w:sz w:val="20"/>
                <w:szCs w:val="20"/>
              </w:rPr>
            </w:pPr>
            <w:r>
              <w:rPr>
                <w:sz w:val="20"/>
                <w:szCs w:val="20"/>
              </w:rPr>
              <w:t>(W/K)</w:t>
            </w:r>
          </w:p>
        </w:tc>
      </w:tr>
      <w:tr w:rsidR="00966585" w:rsidRPr="00F44E6D" w14:paraId="2DD024AB" w14:textId="77777777" w:rsidTr="00BF2228">
        <w:tc>
          <w:tcPr>
            <w:tcW w:w="646" w:type="dxa"/>
            <w:vAlign w:val="center"/>
          </w:tcPr>
          <w:p w14:paraId="318AAFC8" w14:textId="3375B323" w:rsidR="00966585" w:rsidRPr="00966585" w:rsidRDefault="00966585" w:rsidP="00BF2228">
            <w:pPr>
              <w:pStyle w:val="Nomenclature"/>
              <w:spacing w:after="0"/>
              <w:jc w:val="left"/>
              <w:rPr>
                <w:i/>
                <w:vertAlign w:val="subscript"/>
              </w:rPr>
            </w:pPr>
            <w:r>
              <w:rPr>
                <w:i/>
              </w:rPr>
              <w:t>D</w:t>
            </w:r>
            <w:r>
              <w:rPr>
                <w:i/>
                <w:vertAlign w:val="subscript"/>
              </w:rPr>
              <w:t>h</w:t>
            </w:r>
          </w:p>
        </w:tc>
        <w:tc>
          <w:tcPr>
            <w:tcW w:w="3069" w:type="dxa"/>
            <w:vAlign w:val="center"/>
          </w:tcPr>
          <w:p w14:paraId="30866413" w14:textId="7610605C" w:rsidR="00966585" w:rsidRDefault="00966585" w:rsidP="00BF2228">
            <w:pPr>
              <w:pStyle w:val="Nomenclature"/>
              <w:jc w:val="left"/>
              <w:rPr>
                <w:sz w:val="20"/>
                <w:szCs w:val="20"/>
              </w:rPr>
            </w:pPr>
            <w:r>
              <w:rPr>
                <w:sz w:val="20"/>
                <w:szCs w:val="20"/>
              </w:rPr>
              <w:t>hydraulic diameter</w:t>
            </w:r>
          </w:p>
        </w:tc>
        <w:tc>
          <w:tcPr>
            <w:tcW w:w="983" w:type="dxa"/>
            <w:vAlign w:val="center"/>
          </w:tcPr>
          <w:p w14:paraId="2EB9ED44" w14:textId="6D4D8ECC" w:rsidR="00966585" w:rsidRPr="00F44E6D" w:rsidRDefault="00966585" w:rsidP="00BF2228">
            <w:pPr>
              <w:pStyle w:val="Nomenclature"/>
              <w:ind w:left="-51"/>
              <w:jc w:val="left"/>
              <w:rPr>
                <w:sz w:val="20"/>
                <w:szCs w:val="20"/>
              </w:rPr>
            </w:pPr>
            <w:r>
              <w:rPr>
                <w:sz w:val="20"/>
                <w:szCs w:val="20"/>
              </w:rPr>
              <w:t>(m)</w:t>
            </w:r>
          </w:p>
        </w:tc>
      </w:tr>
      <w:tr w:rsidR="009D6B66" w:rsidRPr="00F44E6D" w14:paraId="7EB39463" w14:textId="77777777" w:rsidTr="00BF2228">
        <w:tc>
          <w:tcPr>
            <w:tcW w:w="646" w:type="dxa"/>
            <w:vAlign w:val="center"/>
          </w:tcPr>
          <w:p w14:paraId="5C152B7C" w14:textId="40C648CA" w:rsidR="009D6B66" w:rsidRDefault="00316000" w:rsidP="00BF2228">
            <w:pPr>
              <w:pStyle w:val="Nomenclature"/>
              <w:spacing w:after="0"/>
              <w:jc w:val="left"/>
              <w:rPr>
                <w:i/>
              </w:rPr>
            </w:pPr>
            <w:r>
              <w:rPr>
                <w:i/>
              </w:rPr>
              <w:t>E</w:t>
            </w:r>
          </w:p>
        </w:tc>
        <w:tc>
          <w:tcPr>
            <w:tcW w:w="3069" w:type="dxa"/>
            <w:vAlign w:val="center"/>
          </w:tcPr>
          <w:p w14:paraId="3332153B" w14:textId="58517779" w:rsidR="009D6B66" w:rsidRDefault="00062E71" w:rsidP="00BF2228">
            <w:pPr>
              <w:pStyle w:val="Nomenclature"/>
              <w:jc w:val="left"/>
              <w:rPr>
                <w:sz w:val="20"/>
                <w:szCs w:val="20"/>
              </w:rPr>
            </w:pPr>
            <w:r>
              <w:rPr>
                <w:sz w:val="20"/>
                <w:szCs w:val="20"/>
              </w:rPr>
              <w:t>E</w:t>
            </w:r>
            <w:r w:rsidR="009D6B66">
              <w:rPr>
                <w:sz w:val="20"/>
                <w:szCs w:val="20"/>
              </w:rPr>
              <w:t>rror</w:t>
            </w:r>
          </w:p>
        </w:tc>
        <w:tc>
          <w:tcPr>
            <w:tcW w:w="983" w:type="dxa"/>
            <w:vAlign w:val="center"/>
          </w:tcPr>
          <w:p w14:paraId="23654277" w14:textId="77777777" w:rsidR="009D6B66" w:rsidRDefault="009D6B66" w:rsidP="00BF2228">
            <w:pPr>
              <w:pStyle w:val="Nomenclature"/>
              <w:ind w:left="-51"/>
              <w:jc w:val="left"/>
              <w:rPr>
                <w:sz w:val="20"/>
                <w:szCs w:val="20"/>
              </w:rPr>
            </w:pPr>
          </w:p>
        </w:tc>
      </w:tr>
      <w:tr w:rsidR="00C61020" w:rsidRPr="00F44E6D" w14:paraId="1EEE22C2" w14:textId="77777777" w:rsidTr="00BF2228">
        <w:tc>
          <w:tcPr>
            <w:tcW w:w="646" w:type="dxa"/>
            <w:vAlign w:val="center"/>
          </w:tcPr>
          <w:p w14:paraId="5554B88A" w14:textId="17A25319" w:rsidR="00C61020" w:rsidRPr="00C61020" w:rsidRDefault="00C61020" w:rsidP="00BF2228">
            <w:pPr>
              <w:pStyle w:val="Nomenclature"/>
              <w:spacing w:after="0"/>
              <w:jc w:val="left"/>
              <w:rPr>
                <w:i/>
              </w:rPr>
            </w:pPr>
            <w:r>
              <w:t>%</w:t>
            </w:r>
            <w:r>
              <w:rPr>
                <w:i/>
              </w:rPr>
              <w:t>e</w:t>
            </w:r>
          </w:p>
        </w:tc>
        <w:tc>
          <w:tcPr>
            <w:tcW w:w="3069" w:type="dxa"/>
            <w:vAlign w:val="center"/>
          </w:tcPr>
          <w:p w14:paraId="2E386691" w14:textId="495A9B81" w:rsidR="00C61020" w:rsidRDefault="00C61020" w:rsidP="00BF2228">
            <w:pPr>
              <w:pStyle w:val="Nomenclature"/>
              <w:jc w:val="left"/>
              <w:rPr>
                <w:sz w:val="20"/>
                <w:szCs w:val="20"/>
              </w:rPr>
            </w:pPr>
            <w:r>
              <w:rPr>
                <w:sz w:val="20"/>
                <w:szCs w:val="20"/>
              </w:rPr>
              <w:t>percent error</w:t>
            </w:r>
          </w:p>
        </w:tc>
        <w:tc>
          <w:tcPr>
            <w:tcW w:w="983" w:type="dxa"/>
            <w:vAlign w:val="center"/>
          </w:tcPr>
          <w:p w14:paraId="44C399C0" w14:textId="340C9142" w:rsidR="00C61020" w:rsidRDefault="00C61020" w:rsidP="00BF2228">
            <w:pPr>
              <w:pStyle w:val="Nomenclature"/>
              <w:ind w:left="-51"/>
              <w:jc w:val="left"/>
              <w:rPr>
                <w:sz w:val="20"/>
                <w:szCs w:val="20"/>
              </w:rPr>
            </w:pPr>
            <w:r>
              <w:rPr>
                <w:sz w:val="20"/>
                <w:szCs w:val="20"/>
              </w:rPr>
              <w:t>(%)</w:t>
            </w:r>
          </w:p>
        </w:tc>
      </w:tr>
      <w:tr w:rsidR="00C61020" w:rsidRPr="00F44E6D" w14:paraId="2EBC561A" w14:textId="77777777" w:rsidTr="00BF2228">
        <w:tc>
          <w:tcPr>
            <w:tcW w:w="646" w:type="dxa"/>
            <w:vAlign w:val="center"/>
          </w:tcPr>
          <w:p w14:paraId="5795EDF5" w14:textId="536B66A4" w:rsidR="00C61020" w:rsidRPr="006617CD" w:rsidRDefault="00117CE7" w:rsidP="00CE4D7E">
            <w:pPr>
              <w:pStyle w:val="Nomenclature"/>
              <w:spacing w:after="0"/>
              <w:ind w:left="-54"/>
              <w:jc w:val="left"/>
            </w:pPr>
            <w:r w:rsidRPr="009E115F">
              <w:rPr>
                <w:position w:val="-4"/>
              </w:rPr>
              <w:object w:dxaOrig="279" w:dyaOrig="260" w14:anchorId="4B2CBAA9">
                <v:shape id="_x0000_i1026" type="#_x0000_t75" style="width:12.35pt;height:13.45pt" o:ole="">
                  <v:imagedata r:id="rId13" o:title=""/>
                </v:shape>
                <o:OLEObject Type="Embed" ProgID="Equation.3" ShapeID="_x0000_i1026" DrawAspect="Content" ObjectID="_1457171679" r:id="rId14"/>
              </w:object>
            </w:r>
          </w:p>
        </w:tc>
        <w:tc>
          <w:tcPr>
            <w:tcW w:w="3069" w:type="dxa"/>
            <w:vAlign w:val="center"/>
          </w:tcPr>
          <w:p w14:paraId="2DD6BB3A" w14:textId="6E2564A6" w:rsidR="00C61020" w:rsidRDefault="00C61020" w:rsidP="009E115F">
            <w:pPr>
              <w:pStyle w:val="Nomenclature"/>
              <w:spacing w:after="0"/>
              <w:jc w:val="left"/>
              <w:rPr>
                <w:sz w:val="20"/>
                <w:szCs w:val="20"/>
              </w:rPr>
            </w:pPr>
            <w:r>
              <w:rPr>
                <w:sz w:val="20"/>
                <w:szCs w:val="20"/>
              </w:rPr>
              <w:t>normalized</w:t>
            </w:r>
            <w:r w:rsidR="00117CE7">
              <w:rPr>
                <w:sz w:val="20"/>
                <w:szCs w:val="20"/>
              </w:rPr>
              <w:t xml:space="preserve"> </w:t>
            </w:r>
            <w:r>
              <w:rPr>
                <w:sz w:val="20"/>
                <w:szCs w:val="20"/>
              </w:rPr>
              <w:t>e</w:t>
            </w:r>
            <w:r w:rsidR="00117CE7">
              <w:rPr>
                <w:sz w:val="20"/>
                <w:szCs w:val="20"/>
              </w:rPr>
              <w:t>nergy flow rate</w:t>
            </w:r>
          </w:p>
        </w:tc>
        <w:tc>
          <w:tcPr>
            <w:tcW w:w="983" w:type="dxa"/>
            <w:vAlign w:val="center"/>
          </w:tcPr>
          <w:p w14:paraId="21D97724" w14:textId="1E2C3071" w:rsidR="00C61020" w:rsidRDefault="00C61020" w:rsidP="00C61020">
            <w:pPr>
              <w:pStyle w:val="Nomenclature"/>
              <w:spacing w:after="0"/>
              <w:jc w:val="left"/>
              <w:rPr>
                <w:sz w:val="20"/>
                <w:szCs w:val="20"/>
              </w:rPr>
            </w:pPr>
          </w:p>
        </w:tc>
      </w:tr>
      <w:tr w:rsidR="00C61020" w:rsidRPr="00F44E6D" w14:paraId="0ACDCC79" w14:textId="77777777" w:rsidTr="00BF2228">
        <w:tc>
          <w:tcPr>
            <w:tcW w:w="646" w:type="dxa"/>
            <w:vAlign w:val="center"/>
          </w:tcPr>
          <w:p w14:paraId="18327986" w14:textId="137DA8A6" w:rsidR="00C61020" w:rsidRDefault="00C61020" w:rsidP="00CE4D7E">
            <w:pPr>
              <w:pStyle w:val="Nomenclature"/>
              <w:spacing w:after="0"/>
              <w:ind w:left="-54"/>
              <w:jc w:val="left"/>
              <w:rPr>
                <w:i/>
              </w:rPr>
            </w:pPr>
            <w:r w:rsidRPr="009E115F">
              <w:rPr>
                <w:position w:val="-4"/>
              </w:rPr>
              <w:object w:dxaOrig="240" w:dyaOrig="279" w14:anchorId="47409414">
                <v:shape id="_x0000_i1027" type="#_x0000_t75" style="width:11.8pt;height:14.5pt" o:ole="">
                  <v:imagedata r:id="rId15" o:title=""/>
                </v:shape>
                <o:OLEObject Type="Embed" ProgID="Equation.3" ShapeID="_x0000_i1027" DrawAspect="Content" ObjectID="_1457171680" r:id="rId16"/>
              </w:object>
            </w:r>
          </w:p>
        </w:tc>
        <w:tc>
          <w:tcPr>
            <w:tcW w:w="3069" w:type="dxa"/>
            <w:vAlign w:val="center"/>
          </w:tcPr>
          <w:p w14:paraId="636CC073" w14:textId="26B57D5C" w:rsidR="00C61020" w:rsidRDefault="00C61020" w:rsidP="009E115F">
            <w:pPr>
              <w:pStyle w:val="Nomenclature"/>
              <w:spacing w:after="0"/>
              <w:jc w:val="left"/>
              <w:rPr>
                <w:sz w:val="20"/>
                <w:szCs w:val="20"/>
              </w:rPr>
            </w:pPr>
            <w:r>
              <w:rPr>
                <w:sz w:val="20"/>
                <w:szCs w:val="20"/>
              </w:rPr>
              <w:t>energy flow rate (power)</w:t>
            </w:r>
          </w:p>
        </w:tc>
        <w:tc>
          <w:tcPr>
            <w:tcW w:w="983" w:type="dxa"/>
            <w:vAlign w:val="center"/>
          </w:tcPr>
          <w:p w14:paraId="5E1FF383" w14:textId="1FEAA73E" w:rsidR="00C61020" w:rsidRDefault="00C61020" w:rsidP="009E115F">
            <w:pPr>
              <w:pStyle w:val="Nomenclature"/>
              <w:spacing w:after="0"/>
              <w:ind w:left="-51"/>
              <w:jc w:val="left"/>
              <w:rPr>
                <w:sz w:val="20"/>
                <w:szCs w:val="20"/>
              </w:rPr>
            </w:pPr>
            <w:r>
              <w:rPr>
                <w:sz w:val="20"/>
                <w:szCs w:val="20"/>
              </w:rPr>
              <w:t>(W)</w:t>
            </w:r>
          </w:p>
        </w:tc>
      </w:tr>
      <w:tr w:rsidR="00C61020" w:rsidRPr="00F44E6D" w14:paraId="0369B6EC" w14:textId="77777777" w:rsidTr="00BF2228">
        <w:tc>
          <w:tcPr>
            <w:tcW w:w="646" w:type="dxa"/>
            <w:vAlign w:val="center"/>
          </w:tcPr>
          <w:p w14:paraId="321AF972" w14:textId="3B9EC5B7" w:rsidR="00C61020" w:rsidRPr="00F44E6D" w:rsidRDefault="00C61020" w:rsidP="00BF2228">
            <w:pPr>
              <w:pStyle w:val="Nomenclature"/>
              <w:jc w:val="left"/>
              <w:rPr>
                <w:i/>
                <w:sz w:val="20"/>
                <w:szCs w:val="20"/>
              </w:rPr>
            </w:pPr>
            <w:r w:rsidRPr="00F44E6D">
              <w:rPr>
                <w:i/>
                <w:sz w:val="20"/>
                <w:szCs w:val="20"/>
              </w:rPr>
              <w:t>f</w:t>
            </w:r>
            <w:r w:rsidRPr="00F44E6D">
              <w:rPr>
                <w:i/>
                <w:sz w:val="20"/>
                <w:szCs w:val="20"/>
                <w:vertAlign w:val="subscript"/>
              </w:rPr>
              <w:t>IFE</w:t>
            </w:r>
          </w:p>
        </w:tc>
        <w:tc>
          <w:tcPr>
            <w:tcW w:w="3069" w:type="dxa"/>
            <w:vAlign w:val="center"/>
          </w:tcPr>
          <w:p w14:paraId="4FE0581E" w14:textId="214F8DC2" w:rsidR="00C61020" w:rsidRPr="00F44E6D" w:rsidRDefault="00C61020" w:rsidP="00BF2228">
            <w:pPr>
              <w:tabs>
                <w:tab w:val="left" w:pos="540"/>
                <w:tab w:val="right" w:pos="4320"/>
              </w:tabs>
              <w:spacing w:after="80" w:line="240" w:lineRule="auto"/>
              <w:ind w:firstLine="0"/>
              <w:jc w:val="left"/>
              <w:rPr>
                <w:sz w:val="20"/>
                <w:szCs w:val="20"/>
              </w:rPr>
            </w:pPr>
            <w:r w:rsidRPr="00F44E6D">
              <w:rPr>
                <w:sz w:val="20"/>
                <w:szCs w:val="20"/>
              </w:rPr>
              <w:t>fraction of total power that comes from inner fuel plates</w:t>
            </w:r>
          </w:p>
        </w:tc>
        <w:tc>
          <w:tcPr>
            <w:tcW w:w="983" w:type="dxa"/>
            <w:vAlign w:val="center"/>
          </w:tcPr>
          <w:p w14:paraId="6CA14F3D" w14:textId="77777777" w:rsidR="00C61020" w:rsidRPr="00F44E6D" w:rsidRDefault="00C61020" w:rsidP="00BF2228">
            <w:pPr>
              <w:pStyle w:val="Nomenclature"/>
              <w:ind w:left="-51"/>
              <w:jc w:val="left"/>
              <w:rPr>
                <w:sz w:val="20"/>
                <w:szCs w:val="20"/>
              </w:rPr>
            </w:pPr>
          </w:p>
        </w:tc>
      </w:tr>
      <w:tr w:rsidR="00C61020" w:rsidRPr="00F44E6D" w14:paraId="11A6405A" w14:textId="77777777" w:rsidTr="00BF2228">
        <w:tc>
          <w:tcPr>
            <w:tcW w:w="646" w:type="dxa"/>
            <w:vAlign w:val="center"/>
          </w:tcPr>
          <w:p w14:paraId="4D58D46D" w14:textId="546187B6" w:rsidR="00C61020" w:rsidRPr="00F44E6D" w:rsidRDefault="00316000" w:rsidP="00BF2228">
            <w:pPr>
              <w:pStyle w:val="Nomenclature"/>
              <w:jc w:val="left"/>
              <w:rPr>
                <w:i/>
                <w:sz w:val="20"/>
                <w:szCs w:val="20"/>
              </w:rPr>
            </w:pPr>
            <w:r>
              <w:rPr>
                <w:i/>
                <w:sz w:val="20"/>
                <w:szCs w:val="20"/>
              </w:rPr>
              <w:t>H</w:t>
            </w:r>
          </w:p>
        </w:tc>
        <w:tc>
          <w:tcPr>
            <w:tcW w:w="3069" w:type="dxa"/>
            <w:vAlign w:val="center"/>
          </w:tcPr>
          <w:p w14:paraId="63DA40C6" w14:textId="438AA9AD" w:rsidR="00C61020" w:rsidRPr="00F44E6D" w:rsidRDefault="00C61020" w:rsidP="00BF2228">
            <w:pPr>
              <w:tabs>
                <w:tab w:val="left" w:pos="540"/>
                <w:tab w:val="right" w:pos="4320"/>
              </w:tabs>
              <w:spacing w:after="80" w:line="240" w:lineRule="auto"/>
              <w:ind w:firstLine="0"/>
              <w:jc w:val="left"/>
              <w:rPr>
                <w:sz w:val="20"/>
                <w:szCs w:val="20"/>
              </w:rPr>
            </w:pPr>
            <w:r>
              <w:rPr>
                <w:sz w:val="20"/>
                <w:szCs w:val="20"/>
              </w:rPr>
              <w:t>heat transfer coefficient</w:t>
            </w:r>
          </w:p>
        </w:tc>
        <w:tc>
          <w:tcPr>
            <w:tcW w:w="983" w:type="dxa"/>
            <w:vAlign w:val="center"/>
          </w:tcPr>
          <w:p w14:paraId="46F3CA57" w14:textId="26D81EFD" w:rsidR="00C61020" w:rsidRPr="00F44E6D" w:rsidRDefault="00C61020" w:rsidP="00BF2228">
            <w:pPr>
              <w:pStyle w:val="Nomenclature"/>
              <w:ind w:left="-51"/>
              <w:jc w:val="left"/>
              <w:rPr>
                <w:sz w:val="20"/>
                <w:szCs w:val="20"/>
              </w:rPr>
            </w:pPr>
            <w:r>
              <w:rPr>
                <w:sz w:val="20"/>
                <w:szCs w:val="20"/>
              </w:rPr>
              <w:t>(W/m</w:t>
            </w:r>
            <w:r>
              <w:rPr>
                <w:sz w:val="20"/>
                <w:szCs w:val="20"/>
                <w:vertAlign w:val="superscript"/>
              </w:rPr>
              <w:t>2</w:t>
            </w:r>
            <w:r>
              <w:rPr>
                <w:sz w:val="20"/>
                <w:szCs w:val="20"/>
              </w:rPr>
              <w:t>-K)</w:t>
            </w:r>
          </w:p>
        </w:tc>
      </w:tr>
      <w:tr w:rsidR="00117CE7" w:rsidRPr="00F44E6D" w14:paraId="3A4C7A02" w14:textId="77777777" w:rsidTr="00BF2228">
        <w:tc>
          <w:tcPr>
            <w:tcW w:w="646" w:type="dxa"/>
            <w:vAlign w:val="center"/>
          </w:tcPr>
          <w:p w14:paraId="7C5DBD92" w14:textId="3ADBE565" w:rsidR="00117CE7" w:rsidRDefault="00117CE7" w:rsidP="00CE4D7E">
            <w:pPr>
              <w:pStyle w:val="Nomenclature"/>
              <w:ind w:left="-54"/>
              <w:jc w:val="left"/>
            </w:pPr>
            <w:r w:rsidRPr="009C2456">
              <w:rPr>
                <w:position w:val="-4"/>
              </w:rPr>
              <w:object w:dxaOrig="320" w:dyaOrig="260" w14:anchorId="7851DFD2">
                <v:shape id="_x0000_i1028" type="#_x0000_t75" style="width:17.75pt;height:12.35pt" o:ole="">
                  <v:imagedata r:id="rId17" o:title=""/>
                </v:shape>
                <o:OLEObject Type="Embed" ProgID="Equation.3" ShapeID="_x0000_i1028" DrawAspect="Content" ObjectID="_1457171681" r:id="rId18"/>
              </w:object>
            </w:r>
          </w:p>
        </w:tc>
        <w:tc>
          <w:tcPr>
            <w:tcW w:w="3069" w:type="dxa"/>
            <w:vAlign w:val="center"/>
          </w:tcPr>
          <w:p w14:paraId="333E73EA" w14:textId="45434E4C" w:rsidR="00117CE7" w:rsidRDefault="00117CE7" w:rsidP="00BF2228">
            <w:pPr>
              <w:tabs>
                <w:tab w:val="left" w:pos="540"/>
                <w:tab w:val="right" w:pos="4320"/>
              </w:tabs>
              <w:spacing w:after="80" w:line="240" w:lineRule="auto"/>
              <w:ind w:firstLine="0"/>
              <w:jc w:val="left"/>
              <w:rPr>
                <w:sz w:val="20"/>
                <w:szCs w:val="20"/>
              </w:rPr>
            </w:pPr>
            <w:r>
              <w:rPr>
                <w:sz w:val="20"/>
                <w:szCs w:val="20"/>
              </w:rPr>
              <w:t>normalized enthalpy flow rate</w:t>
            </w:r>
          </w:p>
        </w:tc>
        <w:tc>
          <w:tcPr>
            <w:tcW w:w="983" w:type="dxa"/>
            <w:vAlign w:val="center"/>
          </w:tcPr>
          <w:p w14:paraId="7DF1A4CE" w14:textId="686D0EC1" w:rsidR="00117CE7" w:rsidRDefault="00117CE7" w:rsidP="00BF2228">
            <w:pPr>
              <w:pStyle w:val="Nomenclature"/>
              <w:ind w:left="-51"/>
              <w:jc w:val="left"/>
              <w:rPr>
                <w:sz w:val="20"/>
                <w:szCs w:val="20"/>
              </w:rPr>
            </w:pPr>
          </w:p>
        </w:tc>
      </w:tr>
      <w:tr w:rsidR="00117CE7" w:rsidRPr="00F44E6D" w14:paraId="5457AE03" w14:textId="77777777" w:rsidTr="00BF2228">
        <w:tc>
          <w:tcPr>
            <w:tcW w:w="646" w:type="dxa"/>
            <w:vAlign w:val="center"/>
          </w:tcPr>
          <w:p w14:paraId="09F90842" w14:textId="41EAD152" w:rsidR="00117CE7" w:rsidRDefault="00117CE7" w:rsidP="00CE4D7E">
            <w:pPr>
              <w:pStyle w:val="Nomenclature"/>
              <w:ind w:left="-54"/>
              <w:jc w:val="left"/>
              <w:rPr>
                <w:i/>
                <w:sz w:val="20"/>
                <w:szCs w:val="20"/>
              </w:rPr>
            </w:pPr>
            <w:r w:rsidRPr="009C2456">
              <w:rPr>
                <w:position w:val="-4"/>
              </w:rPr>
              <w:object w:dxaOrig="279" w:dyaOrig="279" w14:anchorId="70BB9876">
                <v:shape id="_x0000_i1029" type="#_x0000_t75" style="width:15.05pt;height:13.45pt" o:ole="">
                  <v:imagedata r:id="rId19" o:title=""/>
                </v:shape>
                <o:OLEObject Type="Embed" ProgID="Equation.3" ShapeID="_x0000_i1029" DrawAspect="Content" ObjectID="_1457171682" r:id="rId20"/>
              </w:object>
            </w:r>
          </w:p>
        </w:tc>
        <w:tc>
          <w:tcPr>
            <w:tcW w:w="3069" w:type="dxa"/>
            <w:vAlign w:val="center"/>
          </w:tcPr>
          <w:p w14:paraId="31BE7D5B" w14:textId="4D9198CD" w:rsidR="00117CE7" w:rsidRDefault="00117CE7" w:rsidP="00BF2228">
            <w:pPr>
              <w:tabs>
                <w:tab w:val="left" w:pos="540"/>
                <w:tab w:val="right" w:pos="4320"/>
              </w:tabs>
              <w:spacing w:after="80" w:line="240" w:lineRule="auto"/>
              <w:ind w:firstLine="0"/>
              <w:jc w:val="left"/>
              <w:rPr>
                <w:sz w:val="20"/>
                <w:szCs w:val="20"/>
              </w:rPr>
            </w:pPr>
            <w:r>
              <w:rPr>
                <w:sz w:val="20"/>
                <w:szCs w:val="20"/>
              </w:rPr>
              <w:t>total enthalpy flow rate</w:t>
            </w:r>
          </w:p>
        </w:tc>
        <w:tc>
          <w:tcPr>
            <w:tcW w:w="983" w:type="dxa"/>
            <w:vAlign w:val="center"/>
          </w:tcPr>
          <w:p w14:paraId="73DBDA6E" w14:textId="3EF11621" w:rsidR="00117CE7" w:rsidRDefault="00117CE7" w:rsidP="00BF2228">
            <w:pPr>
              <w:pStyle w:val="Nomenclature"/>
              <w:ind w:left="-51"/>
              <w:jc w:val="left"/>
              <w:rPr>
                <w:sz w:val="20"/>
                <w:szCs w:val="20"/>
              </w:rPr>
            </w:pPr>
            <w:r>
              <w:rPr>
                <w:sz w:val="20"/>
                <w:szCs w:val="20"/>
              </w:rPr>
              <w:t>(W)</w:t>
            </w:r>
          </w:p>
        </w:tc>
      </w:tr>
      <w:tr w:rsidR="00117CE7" w:rsidRPr="00F44E6D" w14:paraId="69110F54" w14:textId="77777777" w:rsidTr="00BF2228">
        <w:tc>
          <w:tcPr>
            <w:tcW w:w="646" w:type="dxa"/>
            <w:vAlign w:val="center"/>
          </w:tcPr>
          <w:p w14:paraId="1B7745DA" w14:textId="6E9756FD" w:rsidR="00117CE7" w:rsidRPr="00F44E6D" w:rsidRDefault="00117CE7" w:rsidP="00BF2228">
            <w:pPr>
              <w:pStyle w:val="Nomenclature"/>
              <w:jc w:val="left"/>
              <w:rPr>
                <w:i/>
                <w:sz w:val="20"/>
                <w:szCs w:val="20"/>
              </w:rPr>
            </w:pPr>
            <w:r w:rsidRPr="00F44E6D">
              <w:rPr>
                <w:i/>
                <w:sz w:val="20"/>
                <w:szCs w:val="20"/>
              </w:rPr>
              <w:t>I</w:t>
            </w:r>
          </w:p>
        </w:tc>
        <w:tc>
          <w:tcPr>
            <w:tcW w:w="3069" w:type="dxa"/>
            <w:vAlign w:val="center"/>
          </w:tcPr>
          <w:p w14:paraId="49BF779D" w14:textId="3C46734F" w:rsidR="00117CE7" w:rsidRPr="00F44E6D" w:rsidRDefault="00117CE7" w:rsidP="00BF2228">
            <w:pPr>
              <w:pStyle w:val="Nomenclature"/>
              <w:jc w:val="left"/>
              <w:rPr>
                <w:sz w:val="20"/>
                <w:szCs w:val="20"/>
              </w:rPr>
            </w:pPr>
            <w:r w:rsidRPr="00F44E6D">
              <w:rPr>
                <w:sz w:val="20"/>
                <w:szCs w:val="20"/>
              </w:rPr>
              <w:t>total number of MCNP cells</w:t>
            </w:r>
          </w:p>
        </w:tc>
        <w:tc>
          <w:tcPr>
            <w:tcW w:w="983" w:type="dxa"/>
            <w:vAlign w:val="center"/>
          </w:tcPr>
          <w:p w14:paraId="515C9D72" w14:textId="27652709" w:rsidR="00117CE7" w:rsidRPr="00F44E6D" w:rsidRDefault="00117CE7" w:rsidP="00BF2228">
            <w:pPr>
              <w:pStyle w:val="Nomenclature"/>
              <w:ind w:left="-51"/>
              <w:jc w:val="left"/>
              <w:rPr>
                <w:sz w:val="20"/>
                <w:szCs w:val="20"/>
              </w:rPr>
            </w:pPr>
          </w:p>
        </w:tc>
      </w:tr>
      <w:tr w:rsidR="00117CE7" w:rsidRPr="00F44E6D" w14:paraId="0D4CA622" w14:textId="77777777" w:rsidTr="00BF2228">
        <w:tc>
          <w:tcPr>
            <w:tcW w:w="646" w:type="dxa"/>
            <w:vAlign w:val="center"/>
          </w:tcPr>
          <w:p w14:paraId="75344069" w14:textId="66B6D505" w:rsidR="00117CE7" w:rsidRPr="00F44E6D" w:rsidRDefault="00316000" w:rsidP="00BF2228">
            <w:pPr>
              <w:pStyle w:val="Nomenclature"/>
              <w:jc w:val="left"/>
              <w:rPr>
                <w:i/>
                <w:sz w:val="20"/>
                <w:szCs w:val="20"/>
              </w:rPr>
            </w:pPr>
            <w:r w:rsidRPr="00F44E6D">
              <w:rPr>
                <w:i/>
                <w:sz w:val="20"/>
                <w:szCs w:val="20"/>
              </w:rPr>
              <w:t>K</w:t>
            </w:r>
          </w:p>
        </w:tc>
        <w:tc>
          <w:tcPr>
            <w:tcW w:w="3069" w:type="dxa"/>
            <w:vAlign w:val="center"/>
          </w:tcPr>
          <w:p w14:paraId="7098045D" w14:textId="081392CA" w:rsidR="00117CE7" w:rsidRPr="00F44E6D" w:rsidRDefault="00117CE7" w:rsidP="00BF2228">
            <w:pPr>
              <w:pStyle w:val="Nomenclature"/>
              <w:jc w:val="left"/>
              <w:rPr>
                <w:sz w:val="20"/>
                <w:szCs w:val="20"/>
              </w:rPr>
            </w:pPr>
            <w:r w:rsidRPr="00F44E6D">
              <w:rPr>
                <w:sz w:val="20"/>
                <w:szCs w:val="20"/>
              </w:rPr>
              <w:t>specific turbulent kinetic energy</w:t>
            </w:r>
          </w:p>
        </w:tc>
        <w:tc>
          <w:tcPr>
            <w:tcW w:w="983" w:type="dxa"/>
            <w:vAlign w:val="center"/>
          </w:tcPr>
          <w:p w14:paraId="12EC462B" w14:textId="19F5D118" w:rsidR="00117CE7" w:rsidRPr="00F44E6D" w:rsidRDefault="00117CE7" w:rsidP="00BF2228">
            <w:pPr>
              <w:pStyle w:val="Nomenclature"/>
              <w:ind w:left="-51"/>
              <w:jc w:val="left"/>
              <w:rPr>
                <w:sz w:val="20"/>
                <w:szCs w:val="20"/>
              </w:rPr>
            </w:pPr>
            <w:r w:rsidRPr="00F44E6D">
              <w:rPr>
                <w:sz w:val="20"/>
                <w:szCs w:val="20"/>
              </w:rPr>
              <w:t>(m</w:t>
            </w:r>
            <w:r w:rsidRPr="00F44E6D">
              <w:rPr>
                <w:sz w:val="20"/>
                <w:szCs w:val="20"/>
                <w:vertAlign w:val="superscript"/>
              </w:rPr>
              <w:t>2</w:t>
            </w:r>
            <w:r w:rsidRPr="00F44E6D">
              <w:rPr>
                <w:sz w:val="20"/>
                <w:szCs w:val="20"/>
              </w:rPr>
              <w:t>/s</w:t>
            </w:r>
            <w:r w:rsidRPr="00F44E6D">
              <w:rPr>
                <w:sz w:val="20"/>
                <w:szCs w:val="20"/>
                <w:vertAlign w:val="superscript"/>
              </w:rPr>
              <w:t>2</w:t>
            </w:r>
            <w:r w:rsidRPr="00F44E6D">
              <w:rPr>
                <w:sz w:val="20"/>
                <w:szCs w:val="20"/>
              </w:rPr>
              <w:t>)</w:t>
            </w:r>
          </w:p>
        </w:tc>
      </w:tr>
      <w:tr w:rsidR="00117CE7" w:rsidRPr="00F44E6D" w14:paraId="0309C14A" w14:textId="77777777" w:rsidTr="00BF2228">
        <w:tc>
          <w:tcPr>
            <w:tcW w:w="646" w:type="dxa"/>
            <w:vAlign w:val="center"/>
          </w:tcPr>
          <w:p w14:paraId="1043EB84" w14:textId="44B97622" w:rsidR="00117CE7" w:rsidRPr="00124043" w:rsidRDefault="00117CE7" w:rsidP="00BF2228">
            <w:pPr>
              <w:pStyle w:val="Nomenclature"/>
              <w:jc w:val="left"/>
              <w:rPr>
                <w:i/>
                <w:sz w:val="20"/>
                <w:szCs w:val="20"/>
                <w:vertAlign w:val="subscript"/>
              </w:rPr>
            </w:pPr>
            <w:r>
              <w:rPr>
                <w:i/>
                <w:sz w:val="20"/>
                <w:szCs w:val="20"/>
              </w:rPr>
              <w:t>L</w:t>
            </w:r>
            <w:r>
              <w:rPr>
                <w:i/>
                <w:sz w:val="20"/>
                <w:szCs w:val="20"/>
                <w:vertAlign w:val="subscript"/>
              </w:rPr>
              <w:t>h</w:t>
            </w:r>
          </w:p>
        </w:tc>
        <w:tc>
          <w:tcPr>
            <w:tcW w:w="3069" w:type="dxa"/>
            <w:vAlign w:val="center"/>
          </w:tcPr>
          <w:p w14:paraId="18AEF08A" w14:textId="0B1F3041" w:rsidR="00117CE7" w:rsidRDefault="00117CE7" w:rsidP="00BF2228">
            <w:pPr>
              <w:pStyle w:val="Nomenclature"/>
              <w:jc w:val="left"/>
              <w:rPr>
                <w:sz w:val="20"/>
                <w:szCs w:val="20"/>
              </w:rPr>
            </w:pPr>
            <w:r>
              <w:rPr>
                <w:sz w:val="20"/>
                <w:szCs w:val="20"/>
              </w:rPr>
              <w:t>heated length</w:t>
            </w:r>
          </w:p>
        </w:tc>
        <w:tc>
          <w:tcPr>
            <w:tcW w:w="983" w:type="dxa"/>
            <w:vAlign w:val="center"/>
          </w:tcPr>
          <w:p w14:paraId="0A4E907D" w14:textId="32DC33BC" w:rsidR="00117CE7" w:rsidRDefault="00117CE7" w:rsidP="00BF2228">
            <w:pPr>
              <w:pStyle w:val="Nomenclature"/>
              <w:ind w:left="-51"/>
              <w:jc w:val="left"/>
              <w:rPr>
                <w:sz w:val="20"/>
                <w:szCs w:val="20"/>
              </w:rPr>
            </w:pPr>
            <w:r>
              <w:rPr>
                <w:sz w:val="20"/>
                <w:szCs w:val="20"/>
              </w:rPr>
              <w:t>(m)</w:t>
            </w:r>
          </w:p>
        </w:tc>
      </w:tr>
      <w:tr w:rsidR="00117CE7" w:rsidRPr="00F44E6D" w14:paraId="7C45DCB8" w14:textId="77777777" w:rsidTr="00BF2228">
        <w:tc>
          <w:tcPr>
            <w:tcW w:w="646" w:type="dxa"/>
            <w:vAlign w:val="center"/>
          </w:tcPr>
          <w:p w14:paraId="36FBE907" w14:textId="58E06053" w:rsidR="00117CE7" w:rsidRPr="00025780" w:rsidRDefault="00117CE7" w:rsidP="00CE4D7E">
            <w:pPr>
              <w:pStyle w:val="Nomenclature"/>
              <w:ind w:left="-72"/>
              <w:jc w:val="left"/>
              <w:rPr>
                <w:i/>
                <w:sz w:val="20"/>
                <w:szCs w:val="20"/>
                <w:vertAlign w:val="subscript"/>
              </w:rPr>
            </w:pPr>
            <w:r w:rsidRPr="00F44E6D">
              <w:rPr>
                <w:position w:val="-6"/>
                <w:sz w:val="20"/>
                <w:szCs w:val="20"/>
              </w:rPr>
              <w:object w:dxaOrig="200" w:dyaOrig="279" w14:anchorId="22B16EE0">
                <v:shape id="_x0000_i1030" type="#_x0000_t75" style="width:10.2pt;height:12.35pt" o:ole="">
                  <v:imagedata r:id="rId21" o:title=""/>
                </v:shape>
                <o:OLEObject Type="Embed" ProgID="Equation.3" ShapeID="_x0000_i1030" DrawAspect="Content" ObjectID="_1457171683" r:id="rId22"/>
              </w:object>
            </w:r>
          </w:p>
        </w:tc>
        <w:tc>
          <w:tcPr>
            <w:tcW w:w="3069" w:type="dxa"/>
            <w:vAlign w:val="center"/>
          </w:tcPr>
          <w:p w14:paraId="792788C2" w14:textId="2A5C935E" w:rsidR="00117CE7" w:rsidRPr="00F44E6D" w:rsidRDefault="00117CE7" w:rsidP="00BF2228">
            <w:pPr>
              <w:pStyle w:val="Nomenclature"/>
              <w:jc w:val="left"/>
              <w:rPr>
                <w:sz w:val="20"/>
                <w:szCs w:val="20"/>
              </w:rPr>
            </w:pPr>
            <w:r w:rsidRPr="00F44E6D">
              <w:rPr>
                <w:sz w:val="20"/>
                <w:szCs w:val="20"/>
              </w:rPr>
              <w:t>boundary normal vector</w:t>
            </w:r>
          </w:p>
        </w:tc>
        <w:tc>
          <w:tcPr>
            <w:tcW w:w="983" w:type="dxa"/>
            <w:vAlign w:val="center"/>
          </w:tcPr>
          <w:p w14:paraId="7CB664CC" w14:textId="7017B750" w:rsidR="00117CE7" w:rsidRPr="00F44E6D" w:rsidRDefault="00117CE7" w:rsidP="00BF2228">
            <w:pPr>
              <w:pStyle w:val="Nomenclature"/>
              <w:ind w:left="-51"/>
              <w:jc w:val="left"/>
              <w:rPr>
                <w:sz w:val="20"/>
                <w:szCs w:val="20"/>
              </w:rPr>
            </w:pPr>
          </w:p>
        </w:tc>
      </w:tr>
      <w:tr w:rsidR="00117CE7" w:rsidRPr="00F44E6D" w14:paraId="19AA87ED" w14:textId="77777777" w:rsidTr="00BF2228">
        <w:tc>
          <w:tcPr>
            <w:tcW w:w="646" w:type="dxa"/>
            <w:vAlign w:val="center"/>
          </w:tcPr>
          <w:p w14:paraId="263D24D6" w14:textId="10D5AB42" w:rsidR="00117CE7" w:rsidRPr="00F44E6D" w:rsidRDefault="00117CE7" w:rsidP="00BF2228">
            <w:pPr>
              <w:pStyle w:val="Nomenclature"/>
              <w:spacing w:after="0"/>
              <w:jc w:val="left"/>
              <w:rPr>
                <w:b/>
                <w:i/>
                <w:sz w:val="20"/>
                <w:szCs w:val="20"/>
              </w:rPr>
            </w:pPr>
            <w:r w:rsidRPr="00F44E6D">
              <w:rPr>
                <w:i/>
                <w:sz w:val="20"/>
                <w:szCs w:val="20"/>
              </w:rPr>
              <w:t>n</w:t>
            </w:r>
            <w:r w:rsidRPr="00F44E6D">
              <w:rPr>
                <w:i/>
                <w:sz w:val="20"/>
                <w:szCs w:val="20"/>
                <w:vertAlign w:val="subscript"/>
              </w:rPr>
              <w:t>IFE</w:t>
            </w:r>
          </w:p>
        </w:tc>
        <w:tc>
          <w:tcPr>
            <w:tcW w:w="3069" w:type="dxa"/>
            <w:vAlign w:val="center"/>
          </w:tcPr>
          <w:p w14:paraId="12BAE163" w14:textId="0A288EB0" w:rsidR="00117CE7" w:rsidRPr="00F44E6D" w:rsidRDefault="00117CE7" w:rsidP="00BF2228">
            <w:pPr>
              <w:pStyle w:val="Nomenclature"/>
              <w:jc w:val="left"/>
              <w:rPr>
                <w:sz w:val="20"/>
                <w:szCs w:val="20"/>
              </w:rPr>
            </w:pPr>
            <w:r w:rsidRPr="00F44E6D">
              <w:rPr>
                <w:sz w:val="20"/>
                <w:szCs w:val="20"/>
              </w:rPr>
              <w:t>total number of inner fuel plates</w:t>
            </w:r>
          </w:p>
        </w:tc>
        <w:tc>
          <w:tcPr>
            <w:tcW w:w="983" w:type="dxa"/>
            <w:vAlign w:val="center"/>
          </w:tcPr>
          <w:p w14:paraId="26655CEC" w14:textId="2AFB96D1" w:rsidR="00117CE7" w:rsidRPr="00F44E6D" w:rsidRDefault="00117CE7" w:rsidP="00BF2228">
            <w:pPr>
              <w:pStyle w:val="Nomenclature"/>
              <w:ind w:left="-51"/>
              <w:jc w:val="left"/>
              <w:rPr>
                <w:sz w:val="20"/>
                <w:szCs w:val="20"/>
              </w:rPr>
            </w:pPr>
          </w:p>
        </w:tc>
      </w:tr>
      <w:tr w:rsidR="00117CE7" w:rsidRPr="00F44E6D" w14:paraId="439E050B" w14:textId="77777777" w:rsidTr="00BF2228">
        <w:tc>
          <w:tcPr>
            <w:tcW w:w="646" w:type="dxa"/>
            <w:vAlign w:val="center"/>
          </w:tcPr>
          <w:p w14:paraId="327D8FA0" w14:textId="0B2F2719" w:rsidR="00117CE7" w:rsidRPr="00F44E6D" w:rsidRDefault="00117CE7" w:rsidP="00BF2228">
            <w:pPr>
              <w:pStyle w:val="Nomenclature"/>
              <w:jc w:val="left"/>
              <w:rPr>
                <w:sz w:val="20"/>
                <w:szCs w:val="20"/>
              </w:rPr>
            </w:pPr>
            <w:r w:rsidRPr="00F44E6D">
              <w:rPr>
                <w:sz w:val="20"/>
                <w:szCs w:val="20"/>
              </w:rPr>
              <w:t>N</w:t>
            </w:r>
          </w:p>
        </w:tc>
        <w:tc>
          <w:tcPr>
            <w:tcW w:w="3069" w:type="dxa"/>
            <w:vAlign w:val="center"/>
          </w:tcPr>
          <w:p w14:paraId="15FBC77E" w14:textId="59720CE2" w:rsidR="00117CE7" w:rsidRPr="00F44E6D" w:rsidRDefault="00117CE7" w:rsidP="00BF2228">
            <w:pPr>
              <w:pStyle w:val="Nomenclature"/>
              <w:jc w:val="left"/>
              <w:rPr>
                <w:sz w:val="20"/>
                <w:szCs w:val="20"/>
              </w:rPr>
            </w:pPr>
            <w:r w:rsidRPr="00F44E6D">
              <w:rPr>
                <w:sz w:val="20"/>
                <w:szCs w:val="20"/>
              </w:rPr>
              <w:t>Navier-Stokes operator</w:t>
            </w:r>
          </w:p>
        </w:tc>
        <w:tc>
          <w:tcPr>
            <w:tcW w:w="983" w:type="dxa"/>
            <w:vAlign w:val="center"/>
          </w:tcPr>
          <w:p w14:paraId="7720E27E" w14:textId="02C2EDF3" w:rsidR="00117CE7" w:rsidRPr="00F44E6D" w:rsidRDefault="00117CE7" w:rsidP="00BF2228">
            <w:pPr>
              <w:pStyle w:val="Nomenclature"/>
              <w:ind w:left="-51"/>
              <w:jc w:val="left"/>
              <w:rPr>
                <w:sz w:val="20"/>
                <w:szCs w:val="20"/>
              </w:rPr>
            </w:pPr>
          </w:p>
        </w:tc>
      </w:tr>
      <w:tr w:rsidR="00117CE7" w:rsidRPr="00F44E6D" w14:paraId="28139A8E" w14:textId="77777777" w:rsidTr="00BF2228">
        <w:tc>
          <w:tcPr>
            <w:tcW w:w="646" w:type="dxa"/>
            <w:vAlign w:val="center"/>
          </w:tcPr>
          <w:p w14:paraId="72F66772" w14:textId="20F56F7E" w:rsidR="00117CE7" w:rsidRPr="00F44E6D" w:rsidRDefault="00117CE7" w:rsidP="00BF2228">
            <w:pPr>
              <w:pStyle w:val="Nomenclature"/>
              <w:jc w:val="left"/>
              <w:rPr>
                <w:sz w:val="20"/>
                <w:szCs w:val="20"/>
              </w:rPr>
            </w:pPr>
            <w:r>
              <w:rPr>
                <w:sz w:val="20"/>
                <w:szCs w:val="20"/>
              </w:rPr>
              <w:t>Nu</w:t>
            </w:r>
          </w:p>
        </w:tc>
        <w:tc>
          <w:tcPr>
            <w:tcW w:w="3069" w:type="dxa"/>
            <w:vAlign w:val="center"/>
          </w:tcPr>
          <w:p w14:paraId="71EB7320" w14:textId="5B49DA54" w:rsidR="00117CE7" w:rsidRPr="00F44E6D" w:rsidRDefault="00117CE7" w:rsidP="00BF2228">
            <w:pPr>
              <w:pStyle w:val="Nomenclature"/>
              <w:jc w:val="left"/>
              <w:rPr>
                <w:sz w:val="20"/>
                <w:szCs w:val="20"/>
              </w:rPr>
            </w:pPr>
            <w:r>
              <w:rPr>
                <w:sz w:val="20"/>
                <w:szCs w:val="20"/>
              </w:rPr>
              <w:t>Nusselt number</w:t>
            </w:r>
          </w:p>
        </w:tc>
        <w:tc>
          <w:tcPr>
            <w:tcW w:w="983" w:type="dxa"/>
            <w:vAlign w:val="center"/>
          </w:tcPr>
          <w:p w14:paraId="70AC966C" w14:textId="32FCA291" w:rsidR="00117CE7" w:rsidRPr="00F44E6D" w:rsidRDefault="00117CE7" w:rsidP="00BF2228">
            <w:pPr>
              <w:pStyle w:val="Nomenclature"/>
              <w:ind w:left="-51"/>
              <w:jc w:val="left"/>
              <w:rPr>
                <w:sz w:val="20"/>
                <w:szCs w:val="20"/>
              </w:rPr>
            </w:pPr>
          </w:p>
        </w:tc>
      </w:tr>
      <w:tr w:rsidR="00117CE7" w:rsidRPr="00F44E6D" w14:paraId="2128E3DC" w14:textId="77777777" w:rsidTr="00BF2228">
        <w:tc>
          <w:tcPr>
            <w:tcW w:w="646" w:type="dxa"/>
            <w:vAlign w:val="center"/>
          </w:tcPr>
          <w:p w14:paraId="0E31F05A" w14:textId="643A7DE5" w:rsidR="00117CE7" w:rsidRPr="00A064D9" w:rsidRDefault="00117CE7" w:rsidP="00BF2228">
            <w:pPr>
              <w:pStyle w:val="Nomenclature"/>
              <w:jc w:val="left"/>
              <w:rPr>
                <w:i/>
                <w:sz w:val="20"/>
                <w:szCs w:val="20"/>
                <w:vertAlign w:val="subscript"/>
              </w:rPr>
            </w:pPr>
            <w:r>
              <w:rPr>
                <w:sz w:val="20"/>
                <w:szCs w:val="20"/>
              </w:rPr>
              <w:t>Nu</w:t>
            </w:r>
            <w:r>
              <w:rPr>
                <w:i/>
                <w:sz w:val="20"/>
                <w:szCs w:val="20"/>
                <w:vertAlign w:val="subscript"/>
              </w:rPr>
              <w:t>bm</w:t>
            </w:r>
          </w:p>
        </w:tc>
        <w:tc>
          <w:tcPr>
            <w:tcW w:w="3069" w:type="dxa"/>
            <w:vAlign w:val="center"/>
          </w:tcPr>
          <w:p w14:paraId="2CDE5FDF" w14:textId="6E0ECA97" w:rsidR="00117CE7" w:rsidRDefault="00117CE7" w:rsidP="00BF2228">
            <w:pPr>
              <w:pStyle w:val="Nomenclature"/>
              <w:jc w:val="left"/>
              <w:rPr>
                <w:sz w:val="20"/>
                <w:szCs w:val="20"/>
              </w:rPr>
            </w:pPr>
            <w:r>
              <w:rPr>
                <w:sz w:val="20"/>
                <w:szCs w:val="20"/>
              </w:rPr>
              <w:t>original mean Hausen correlation</w:t>
            </w:r>
          </w:p>
        </w:tc>
        <w:tc>
          <w:tcPr>
            <w:tcW w:w="983" w:type="dxa"/>
            <w:vAlign w:val="center"/>
          </w:tcPr>
          <w:p w14:paraId="6A10CA2C" w14:textId="48404240" w:rsidR="00117CE7" w:rsidRPr="00F44E6D" w:rsidRDefault="00117CE7" w:rsidP="00BF2228">
            <w:pPr>
              <w:pStyle w:val="Nomenclature"/>
              <w:ind w:left="-51"/>
              <w:jc w:val="left"/>
              <w:rPr>
                <w:sz w:val="20"/>
                <w:szCs w:val="20"/>
              </w:rPr>
            </w:pPr>
          </w:p>
        </w:tc>
      </w:tr>
      <w:tr w:rsidR="00117CE7" w:rsidRPr="00F44E6D" w14:paraId="09E0F872" w14:textId="77777777" w:rsidTr="00BF2228">
        <w:tc>
          <w:tcPr>
            <w:tcW w:w="646" w:type="dxa"/>
            <w:vAlign w:val="center"/>
          </w:tcPr>
          <w:p w14:paraId="28E2C8E8" w14:textId="6599618D" w:rsidR="00117CE7" w:rsidRPr="00A064D9" w:rsidRDefault="00117CE7" w:rsidP="00BF2228">
            <w:pPr>
              <w:pStyle w:val="Nomenclature"/>
              <w:jc w:val="left"/>
              <w:rPr>
                <w:i/>
                <w:sz w:val="20"/>
                <w:szCs w:val="20"/>
                <w:vertAlign w:val="subscript"/>
              </w:rPr>
            </w:pPr>
            <w:r>
              <w:rPr>
                <w:sz w:val="20"/>
                <w:szCs w:val="20"/>
              </w:rPr>
              <w:t>Nu</w:t>
            </w:r>
            <w:r>
              <w:rPr>
                <w:i/>
                <w:sz w:val="20"/>
                <w:szCs w:val="20"/>
                <w:vertAlign w:val="subscript"/>
              </w:rPr>
              <w:t>bz</w:t>
            </w:r>
          </w:p>
        </w:tc>
        <w:tc>
          <w:tcPr>
            <w:tcW w:w="3069" w:type="dxa"/>
            <w:vAlign w:val="center"/>
          </w:tcPr>
          <w:p w14:paraId="1F423843" w14:textId="1A81510B" w:rsidR="00117CE7" w:rsidRDefault="00117CE7" w:rsidP="00BF2228">
            <w:pPr>
              <w:pStyle w:val="Nomenclature"/>
              <w:jc w:val="left"/>
              <w:rPr>
                <w:sz w:val="20"/>
                <w:szCs w:val="20"/>
              </w:rPr>
            </w:pPr>
            <w:r>
              <w:rPr>
                <w:sz w:val="20"/>
                <w:szCs w:val="20"/>
              </w:rPr>
              <w:t>modified local Hausen correlation</w:t>
            </w:r>
          </w:p>
        </w:tc>
        <w:tc>
          <w:tcPr>
            <w:tcW w:w="983" w:type="dxa"/>
            <w:vAlign w:val="center"/>
          </w:tcPr>
          <w:p w14:paraId="4A751CDC" w14:textId="7695A2F4" w:rsidR="00117CE7" w:rsidRDefault="00117CE7" w:rsidP="00BF2228">
            <w:pPr>
              <w:pStyle w:val="Nomenclature"/>
              <w:ind w:left="-51"/>
              <w:jc w:val="left"/>
              <w:rPr>
                <w:sz w:val="20"/>
                <w:szCs w:val="20"/>
              </w:rPr>
            </w:pPr>
          </w:p>
        </w:tc>
      </w:tr>
      <w:tr w:rsidR="00117CE7" w:rsidRPr="00F44E6D" w14:paraId="7EC557FF" w14:textId="77777777" w:rsidTr="00BF2228">
        <w:tc>
          <w:tcPr>
            <w:tcW w:w="646" w:type="dxa"/>
            <w:vAlign w:val="center"/>
          </w:tcPr>
          <w:p w14:paraId="7A0C736B" w14:textId="02F36A2B" w:rsidR="00117CE7" w:rsidRPr="00966585" w:rsidRDefault="00316000" w:rsidP="00BF2228">
            <w:pPr>
              <w:pStyle w:val="Nomenclature"/>
              <w:jc w:val="left"/>
              <w:rPr>
                <w:sz w:val="20"/>
                <w:szCs w:val="20"/>
              </w:rPr>
            </w:pPr>
            <w:r w:rsidRPr="00F44E6D">
              <w:rPr>
                <w:i/>
                <w:sz w:val="20"/>
                <w:szCs w:val="20"/>
              </w:rPr>
              <w:t>P</w:t>
            </w:r>
          </w:p>
        </w:tc>
        <w:tc>
          <w:tcPr>
            <w:tcW w:w="3069" w:type="dxa"/>
            <w:vAlign w:val="center"/>
          </w:tcPr>
          <w:p w14:paraId="4AB4D8D7" w14:textId="56D5E6E1" w:rsidR="00117CE7" w:rsidRPr="00F44E6D" w:rsidRDefault="00062E71" w:rsidP="00BF2228">
            <w:pPr>
              <w:pStyle w:val="Nomenclature"/>
              <w:jc w:val="left"/>
              <w:rPr>
                <w:sz w:val="20"/>
                <w:szCs w:val="20"/>
              </w:rPr>
            </w:pPr>
            <w:r w:rsidRPr="00F44E6D">
              <w:rPr>
                <w:sz w:val="20"/>
                <w:szCs w:val="20"/>
              </w:rPr>
              <w:t>P</w:t>
            </w:r>
            <w:r w:rsidR="00117CE7" w:rsidRPr="00F44E6D">
              <w:rPr>
                <w:sz w:val="20"/>
                <w:szCs w:val="20"/>
              </w:rPr>
              <w:t>ressure</w:t>
            </w:r>
          </w:p>
        </w:tc>
        <w:tc>
          <w:tcPr>
            <w:tcW w:w="983" w:type="dxa"/>
            <w:vAlign w:val="center"/>
          </w:tcPr>
          <w:p w14:paraId="16EF8B72" w14:textId="686B5FC7" w:rsidR="00117CE7" w:rsidRPr="00F44E6D" w:rsidRDefault="00117CE7" w:rsidP="00BF2228">
            <w:pPr>
              <w:pStyle w:val="Nomenclature"/>
              <w:ind w:left="-51"/>
              <w:jc w:val="left"/>
              <w:rPr>
                <w:sz w:val="20"/>
                <w:szCs w:val="20"/>
              </w:rPr>
            </w:pPr>
            <w:r w:rsidRPr="00F44E6D">
              <w:rPr>
                <w:sz w:val="20"/>
                <w:szCs w:val="20"/>
              </w:rPr>
              <w:t>(Pa)</w:t>
            </w:r>
          </w:p>
        </w:tc>
      </w:tr>
      <w:tr w:rsidR="00117CE7" w:rsidRPr="00F44E6D" w14:paraId="7ED85051" w14:textId="77777777" w:rsidTr="00BF2228">
        <w:tc>
          <w:tcPr>
            <w:tcW w:w="646" w:type="dxa"/>
            <w:vAlign w:val="center"/>
          </w:tcPr>
          <w:p w14:paraId="1BCD7F37" w14:textId="52718796" w:rsidR="00117CE7" w:rsidRPr="00F44E6D" w:rsidRDefault="00117CE7" w:rsidP="00CE4D7E">
            <w:pPr>
              <w:pStyle w:val="Nomenclature"/>
              <w:spacing w:after="0"/>
              <w:ind w:left="-54"/>
              <w:jc w:val="left"/>
              <w:rPr>
                <w:i/>
                <w:sz w:val="20"/>
                <w:szCs w:val="20"/>
              </w:rPr>
            </w:pPr>
            <w:r w:rsidRPr="002C2391">
              <w:rPr>
                <w:position w:val="-10"/>
              </w:rPr>
              <w:object w:dxaOrig="279" w:dyaOrig="300" w14:anchorId="277183D9">
                <v:shape id="_x0000_i1031" type="#_x0000_t75" style="width:13.45pt;height:15.05pt" o:ole="">
                  <v:imagedata r:id="rId23" o:title=""/>
                </v:shape>
                <o:OLEObject Type="Embed" ProgID="Equation.3" ShapeID="_x0000_i1031" DrawAspect="Content" ObjectID="_1457171684" r:id="rId24"/>
              </w:object>
            </w:r>
          </w:p>
        </w:tc>
        <w:tc>
          <w:tcPr>
            <w:tcW w:w="3069" w:type="dxa"/>
            <w:vAlign w:val="center"/>
          </w:tcPr>
          <w:p w14:paraId="35961F06" w14:textId="59AFDBE5" w:rsidR="00117CE7" w:rsidRPr="00F44E6D" w:rsidRDefault="00117CE7" w:rsidP="00BF2228">
            <w:pPr>
              <w:pStyle w:val="Nomenclature"/>
              <w:spacing w:after="0"/>
              <w:jc w:val="left"/>
              <w:rPr>
                <w:sz w:val="20"/>
                <w:szCs w:val="20"/>
              </w:rPr>
            </w:pPr>
            <w:r>
              <w:rPr>
                <w:sz w:val="20"/>
                <w:szCs w:val="20"/>
              </w:rPr>
              <w:t>fluctuating pressure</w:t>
            </w:r>
          </w:p>
        </w:tc>
        <w:tc>
          <w:tcPr>
            <w:tcW w:w="983" w:type="dxa"/>
            <w:vAlign w:val="center"/>
          </w:tcPr>
          <w:p w14:paraId="5B30EBF1" w14:textId="5B0E6625" w:rsidR="00117CE7" w:rsidRPr="00F44E6D" w:rsidRDefault="00117CE7" w:rsidP="00BF2228">
            <w:pPr>
              <w:pStyle w:val="Nomenclature"/>
              <w:spacing w:after="0"/>
              <w:ind w:left="-51"/>
              <w:jc w:val="left"/>
              <w:rPr>
                <w:sz w:val="20"/>
                <w:szCs w:val="20"/>
              </w:rPr>
            </w:pPr>
            <w:r>
              <w:rPr>
                <w:sz w:val="20"/>
                <w:szCs w:val="20"/>
              </w:rPr>
              <w:t>(Pa)</w:t>
            </w:r>
          </w:p>
        </w:tc>
      </w:tr>
      <w:tr w:rsidR="00117CE7" w:rsidRPr="00F44E6D" w14:paraId="75B97F1F" w14:textId="77777777" w:rsidTr="00BF2228">
        <w:tc>
          <w:tcPr>
            <w:tcW w:w="646" w:type="dxa"/>
            <w:vAlign w:val="center"/>
          </w:tcPr>
          <w:p w14:paraId="2625465A" w14:textId="646A3F61" w:rsidR="00117CE7" w:rsidRPr="00F44E6D" w:rsidRDefault="00117CE7" w:rsidP="00CE4D7E">
            <w:pPr>
              <w:pStyle w:val="Nomenclature"/>
              <w:spacing w:after="0"/>
              <w:ind w:left="-72"/>
              <w:jc w:val="left"/>
              <w:rPr>
                <w:i/>
                <w:sz w:val="20"/>
                <w:szCs w:val="20"/>
              </w:rPr>
            </w:pPr>
            <w:r w:rsidRPr="002C2391">
              <w:rPr>
                <w:position w:val="-10"/>
              </w:rPr>
              <w:object w:dxaOrig="220" w:dyaOrig="300" w14:anchorId="23401D86">
                <v:shape id="_x0000_i1032" type="#_x0000_t75" style="width:11.3pt;height:15.05pt" o:ole="">
                  <v:imagedata r:id="rId25" o:title=""/>
                </v:shape>
                <o:OLEObject Type="Embed" ProgID="Equation.3" ShapeID="_x0000_i1032" DrawAspect="Content" ObjectID="_1457171685" r:id="rId26"/>
              </w:object>
            </w:r>
          </w:p>
        </w:tc>
        <w:tc>
          <w:tcPr>
            <w:tcW w:w="3069" w:type="dxa"/>
            <w:vAlign w:val="center"/>
          </w:tcPr>
          <w:p w14:paraId="7F08C0A2" w14:textId="51F4A904" w:rsidR="00117CE7" w:rsidRPr="00F44E6D" w:rsidRDefault="00117CE7" w:rsidP="00BF2228">
            <w:pPr>
              <w:pStyle w:val="Nomenclature"/>
              <w:spacing w:after="0"/>
              <w:jc w:val="left"/>
              <w:rPr>
                <w:sz w:val="20"/>
                <w:szCs w:val="20"/>
              </w:rPr>
            </w:pPr>
            <w:r>
              <w:rPr>
                <w:sz w:val="20"/>
                <w:szCs w:val="20"/>
              </w:rPr>
              <w:t>Favre</w:t>
            </w:r>
            <w:r w:rsidRPr="00F44E6D">
              <w:rPr>
                <w:sz w:val="20"/>
                <w:szCs w:val="20"/>
              </w:rPr>
              <w:t>-averaged pressure</w:t>
            </w:r>
          </w:p>
        </w:tc>
        <w:tc>
          <w:tcPr>
            <w:tcW w:w="983" w:type="dxa"/>
            <w:vAlign w:val="center"/>
          </w:tcPr>
          <w:p w14:paraId="0DD3142B" w14:textId="164EB45E" w:rsidR="00117CE7" w:rsidRPr="00F44E6D" w:rsidRDefault="00117CE7" w:rsidP="00BF2228">
            <w:pPr>
              <w:pStyle w:val="Nomenclature"/>
              <w:spacing w:after="0"/>
              <w:ind w:left="-51"/>
              <w:jc w:val="left"/>
              <w:rPr>
                <w:sz w:val="20"/>
                <w:szCs w:val="20"/>
              </w:rPr>
            </w:pPr>
            <w:r w:rsidRPr="00F44E6D">
              <w:rPr>
                <w:sz w:val="20"/>
                <w:szCs w:val="20"/>
              </w:rPr>
              <w:t>(Pa)</w:t>
            </w:r>
          </w:p>
        </w:tc>
      </w:tr>
      <w:tr w:rsidR="00117CE7" w:rsidRPr="00F44E6D" w14:paraId="49BDA7C7" w14:textId="77777777" w:rsidTr="00BF2228">
        <w:tc>
          <w:tcPr>
            <w:tcW w:w="646" w:type="dxa"/>
            <w:vAlign w:val="center"/>
          </w:tcPr>
          <w:p w14:paraId="4D16EDAA" w14:textId="5821733C" w:rsidR="00117CE7" w:rsidRPr="00F44E6D" w:rsidRDefault="00117CE7" w:rsidP="00BF2228">
            <w:pPr>
              <w:pStyle w:val="Nomenclature"/>
              <w:jc w:val="left"/>
              <w:rPr>
                <w:i/>
                <w:sz w:val="20"/>
                <w:szCs w:val="20"/>
              </w:rPr>
            </w:pPr>
            <w:r>
              <w:rPr>
                <w:sz w:val="20"/>
                <w:szCs w:val="20"/>
              </w:rPr>
              <w:t>Pr</w:t>
            </w:r>
          </w:p>
        </w:tc>
        <w:tc>
          <w:tcPr>
            <w:tcW w:w="3069" w:type="dxa"/>
            <w:vAlign w:val="center"/>
          </w:tcPr>
          <w:p w14:paraId="03A86329" w14:textId="4B115F5F" w:rsidR="00117CE7" w:rsidRPr="00F44E6D" w:rsidRDefault="00117CE7" w:rsidP="00BF2228">
            <w:pPr>
              <w:pStyle w:val="Nomenclature"/>
              <w:jc w:val="left"/>
              <w:rPr>
                <w:sz w:val="20"/>
                <w:szCs w:val="20"/>
              </w:rPr>
            </w:pPr>
            <w:r>
              <w:rPr>
                <w:sz w:val="20"/>
                <w:szCs w:val="20"/>
              </w:rPr>
              <w:t>Prandtl number</w:t>
            </w:r>
          </w:p>
        </w:tc>
        <w:tc>
          <w:tcPr>
            <w:tcW w:w="983" w:type="dxa"/>
            <w:vAlign w:val="center"/>
          </w:tcPr>
          <w:p w14:paraId="6DF0CB8C" w14:textId="791C9232" w:rsidR="00117CE7" w:rsidRPr="00F44E6D" w:rsidRDefault="00117CE7" w:rsidP="00BF2228">
            <w:pPr>
              <w:pStyle w:val="Nomenclature"/>
              <w:ind w:left="-51"/>
              <w:jc w:val="left"/>
              <w:rPr>
                <w:sz w:val="20"/>
                <w:szCs w:val="20"/>
              </w:rPr>
            </w:pPr>
          </w:p>
        </w:tc>
      </w:tr>
      <w:tr w:rsidR="00117CE7" w:rsidRPr="00F44E6D" w14:paraId="39832BE5" w14:textId="77777777" w:rsidTr="00BF2228">
        <w:tc>
          <w:tcPr>
            <w:tcW w:w="646" w:type="dxa"/>
            <w:vAlign w:val="center"/>
          </w:tcPr>
          <w:p w14:paraId="230A8177" w14:textId="30B70A8D" w:rsidR="00117CE7" w:rsidRPr="005F3A97" w:rsidRDefault="00117CE7" w:rsidP="00BF2228">
            <w:pPr>
              <w:pStyle w:val="Nomenclature"/>
              <w:jc w:val="left"/>
              <w:rPr>
                <w:sz w:val="20"/>
                <w:szCs w:val="20"/>
              </w:rPr>
            </w:pPr>
            <w:r>
              <w:rPr>
                <w:sz w:val="20"/>
                <w:szCs w:val="20"/>
              </w:rPr>
              <w:t>Pr</w:t>
            </w:r>
            <w:r>
              <w:rPr>
                <w:i/>
                <w:sz w:val="20"/>
                <w:szCs w:val="20"/>
                <w:vertAlign w:val="subscript"/>
              </w:rPr>
              <w:t>T</w:t>
            </w:r>
          </w:p>
        </w:tc>
        <w:tc>
          <w:tcPr>
            <w:tcW w:w="3069" w:type="dxa"/>
            <w:vAlign w:val="center"/>
          </w:tcPr>
          <w:p w14:paraId="65156674" w14:textId="5197CBDC" w:rsidR="00117CE7" w:rsidRPr="00F44E6D" w:rsidRDefault="00117CE7" w:rsidP="00BF2228">
            <w:pPr>
              <w:pStyle w:val="Nomenclature"/>
              <w:jc w:val="left"/>
              <w:rPr>
                <w:sz w:val="20"/>
                <w:szCs w:val="20"/>
              </w:rPr>
            </w:pPr>
            <w:r>
              <w:rPr>
                <w:sz w:val="20"/>
                <w:szCs w:val="20"/>
              </w:rPr>
              <w:t>turbulent Prandtl number</w:t>
            </w:r>
          </w:p>
        </w:tc>
        <w:tc>
          <w:tcPr>
            <w:tcW w:w="983" w:type="dxa"/>
            <w:vAlign w:val="center"/>
          </w:tcPr>
          <w:p w14:paraId="01086123" w14:textId="07FDDA94" w:rsidR="00117CE7" w:rsidRPr="00F44E6D" w:rsidRDefault="00117CE7" w:rsidP="00BF2228">
            <w:pPr>
              <w:pStyle w:val="Nomenclature"/>
              <w:ind w:left="-51"/>
              <w:jc w:val="left"/>
              <w:rPr>
                <w:sz w:val="20"/>
                <w:szCs w:val="20"/>
              </w:rPr>
            </w:pPr>
          </w:p>
        </w:tc>
      </w:tr>
      <w:tr w:rsidR="00117CE7" w:rsidRPr="00F44E6D" w14:paraId="2D4DC7BF" w14:textId="77777777" w:rsidTr="00BF2228">
        <w:tc>
          <w:tcPr>
            <w:tcW w:w="646" w:type="dxa"/>
            <w:vAlign w:val="center"/>
          </w:tcPr>
          <w:p w14:paraId="000A78D5" w14:textId="735E6962" w:rsidR="00117CE7" w:rsidRPr="0006580E" w:rsidRDefault="00117CE7" w:rsidP="00BF2228">
            <w:pPr>
              <w:pStyle w:val="Nomenclature"/>
              <w:jc w:val="left"/>
              <w:rPr>
                <w:i/>
                <w:sz w:val="20"/>
                <w:szCs w:val="20"/>
                <w:vertAlign w:val="subscript"/>
              </w:rPr>
            </w:pPr>
            <w:r>
              <w:rPr>
                <w:sz w:val="20"/>
                <w:szCs w:val="20"/>
              </w:rPr>
              <w:t>Pr</w:t>
            </w:r>
            <w:r>
              <w:rPr>
                <w:i/>
                <w:sz w:val="20"/>
                <w:szCs w:val="20"/>
                <w:vertAlign w:val="subscript"/>
              </w:rPr>
              <w:t>T ͚</w:t>
            </w:r>
          </w:p>
        </w:tc>
        <w:tc>
          <w:tcPr>
            <w:tcW w:w="3069" w:type="dxa"/>
            <w:vAlign w:val="center"/>
          </w:tcPr>
          <w:p w14:paraId="2CCA221A" w14:textId="3F398706" w:rsidR="00117CE7" w:rsidRPr="00F44E6D" w:rsidRDefault="00117CE7" w:rsidP="00BF2228">
            <w:pPr>
              <w:pStyle w:val="Nomenclature"/>
              <w:jc w:val="left"/>
              <w:rPr>
                <w:sz w:val="20"/>
                <w:szCs w:val="20"/>
              </w:rPr>
            </w:pPr>
            <w:r>
              <w:rPr>
                <w:sz w:val="20"/>
                <w:szCs w:val="20"/>
              </w:rPr>
              <w:t>turbulent Prandtl number at infinity</w:t>
            </w:r>
          </w:p>
        </w:tc>
        <w:tc>
          <w:tcPr>
            <w:tcW w:w="983" w:type="dxa"/>
            <w:vAlign w:val="center"/>
          </w:tcPr>
          <w:p w14:paraId="618B050E" w14:textId="097F4A9F" w:rsidR="00117CE7" w:rsidRPr="00F44E6D" w:rsidRDefault="00117CE7" w:rsidP="00BF2228">
            <w:pPr>
              <w:pStyle w:val="Nomenclature"/>
              <w:ind w:left="-51"/>
              <w:jc w:val="left"/>
              <w:rPr>
                <w:sz w:val="20"/>
                <w:szCs w:val="20"/>
              </w:rPr>
            </w:pPr>
          </w:p>
        </w:tc>
      </w:tr>
      <w:tr w:rsidR="00117CE7" w:rsidRPr="00F44E6D" w14:paraId="765A992E" w14:textId="77777777" w:rsidTr="00BF2228">
        <w:tc>
          <w:tcPr>
            <w:tcW w:w="646" w:type="dxa"/>
            <w:vAlign w:val="center"/>
          </w:tcPr>
          <w:p w14:paraId="6217EEB1" w14:textId="61F83111" w:rsidR="00117CE7" w:rsidRPr="0006580E" w:rsidRDefault="00117CE7" w:rsidP="00BF2228">
            <w:pPr>
              <w:pStyle w:val="Nomenclature"/>
              <w:spacing w:after="0"/>
              <w:jc w:val="left"/>
              <w:rPr>
                <w:i/>
                <w:sz w:val="20"/>
                <w:szCs w:val="20"/>
              </w:rPr>
            </w:pPr>
            <w:r w:rsidRPr="002C2391">
              <w:rPr>
                <w:position w:val="-10"/>
              </w:rPr>
              <w:object w:dxaOrig="279" w:dyaOrig="320" w14:anchorId="10B15187">
                <v:shape id="_x0000_i1033" type="#_x0000_t75" style="width:13.45pt;height:16.1pt" o:ole="">
                  <v:imagedata r:id="rId27" o:title=""/>
                </v:shape>
                <o:OLEObject Type="Embed" ProgID="Equation.3" ShapeID="_x0000_i1033" DrawAspect="Content" ObjectID="_1457171686" r:id="rId28"/>
              </w:object>
            </w:r>
          </w:p>
        </w:tc>
        <w:tc>
          <w:tcPr>
            <w:tcW w:w="3069" w:type="dxa"/>
            <w:vAlign w:val="center"/>
          </w:tcPr>
          <w:p w14:paraId="4B2CEAAB" w14:textId="62AF8DAF" w:rsidR="00117CE7" w:rsidRPr="00F44E6D" w:rsidRDefault="00117CE7" w:rsidP="00BF2228">
            <w:pPr>
              <w:pStyle w:val="Nomenclature"/>
              <w:spacing w:after="0"/>
              <w:jc w:val="left"/>
              <w:rPr>
                <w:sz w:val="20"/>
                <w:szCs w:val="20"/>
              </w:rPr>
            </w:pPr>
            <w:r w:rsidRPr="00F44E6D">
              <w:rPr>
                <w:sz w:val="20"/>
                <w:szCs w:val="20"/>
              </w:rPr>
              <w:t>heat flux vector</w:t>
            </w:r>
          </w:p>
        </w:tc>
        <w:tc>
          <w:tcPr>
            <w:tcW w:w="983" w:type="dxa"/>
            <w:vAlign w:val="center"/>
          </w:tcPr>
          <w:p w14:paraId="15339151" w14:textId="58AF8E70" w:rsidR="00117CE7" w:rsidRDefault="00117CE7" w:rsidP="00BF2228">
            <w:pPr>
              <w:pStyle w:val="Nomenclature"/>
              <w:spacing w:after="0"/>
              <w:ind w:left="-51"/>
              <w:jc w:val="left"/>
              <w:rPr>
                <w:sz w:val="20"/>
                <w:szCs w:val="20"/>
              </w:rPr>
            </w:pPr>
            <w:r w:rsidRPr="00F44E6D">
              <w:rPr>
                <w:sz w:val="20"/>
                <w:szCs w:val="20"/>
              </w:rPr>
              <w:t>(W/m</w:t>
            </w:r>
            <w:r w:rsidRPr="00F44E6D">
              <w:rPr>
                <w:sz w:val="20"/>
                <w:szCs w:val="20"/>
                <w:vertAlign w:val="superscript"/>
              </w:rPr>
              <w:t>2</w:t>
            </w:r>
            <w:r w:rsidRPr="00F44E6D">
              <w:rPr>
                <w:sz w:val="20"/>
                <w:szCs w:val="20"/>
              </w:rPr>
              <w:t>)</w:t>
            </w:r>
          </w:p>
        </w:tc>
      </w:tr>
      <w:tr w:rsidR="00117CE7" w:rsidRPr="00F44E6D" w14:paraId="2614AFEE" w14:textId="77777777" w:rsidTr="00BF2228">
        <w:tc>
          <w:tcPr>
            <w:tcW w:w="646" w:type="dxa"/>
            <w:vAlign w:val="center"/>
          </w:tcPr>
          <w:p w14:paraId="0BDA691E" w14:textId="00806501" w:rsidR="00117CE7" w:rsidRPr="00F44E6D" w:rsidRDefault="00117CE7" w:rsidP="00CE4D7E">
            <w:pPr>
              <w:pStyle w:val="Nomenclature"/>
              <w:spacing w:after="0"/>
              <w:ind w:left="-54"/>
              <w:jc w:val="left"/>
              <w:rPr>
                <w:b/>
                <w:i/>
                <w:sz w:val="20"/>
                <w:szCs w:val="20"/>
              </w:rPr>
            </w:pPr>
            <w:r w:rsidRPr="000F4BCC">
              <w:rPr>
                <w:position w:val="-16"/>
              </w:rPr>
              <w:object w:dxaOrig="380" w:dyaOrig="480" w14:anchorId="086F6925">
                <v:shape id="_x0000_i1034" type="#_x0000_t75" style="width:18.8pt;height:23.65pt" o:ole="">
                  <v:imagedata r:id="rId29" o:title=""/>
                </v:shape>
                <o:OLEObject Type="Embed" ProgID="Equation.3" ShapeID="_x0000_i1034" DrawAspect="Content" ObjectID="_1457171687" r:id="rId30"/>
              </w:object>
            </w:r>
          </w:p>
        </w:tc>
        <w:tc>
          <w:tcPr>
            <w:tcW w:w="3069" w:type="dxa"/>
            <w:vAlign w:val="center"/>
          </w:tcPr>
          <w:p w14:paraId="54FF65FC" w14:textId="5C216373" w:rsidR="00117CE7" w:rsidRPr="00F44E6D" w:rsidRDefault="00117CE7" w:rsidP="00BF2228">
            <w:pPr>
              <w:pStyle w:val="Nomenclature"/>
              <w:spacing w:after="0"/>
              <w:jc w:val="left"/>
              <w:rPr>
                <w:sz w:val="20"/>
                <w:szCs w:val="20"/>
              </w:rPr>
            </w:pPr>
            <w:r>
              <w:rPr>
                <w:sz w:val="20"/>
                <w:szCs w:val="20"/>
              </w:rPr>
              <w:t>boundary normal heat flux</w:t>
            </w:r>
          </w:p>
        </w:tc>
        <w:tc>
          <w:tcPr>
            <w:tcW w:w="983" w:type="dxa"/>
            <w:vAlign w:val="center"/>
          </w:tcPr>
          <w:p w14:paraId="64F85654" w14:textId="017855CE" w:rsidR="00117CE7" w:rsidRPr="00F44E6D" w:rsidRDefault="00117CE7" w:rsidP="00BF2228">
            <w:pPr>
              <w:pStyle w:val="Nomenclature"/>
              <w:spacing w:after="0"/>
              <w:ind w:left="-51"/>
              <w:jc w:val="left"/>
              <w:rPr>
                <w:sz w:val="20"/>
                <w:szCs w:val="20"/>
              </w:rPr>
            </w:pPr>
            <w:r>
              <w:rPr>
                <w:sz w:val="20"/>
                <w:szCs w:val="20"/>
              </w:rPr>
              <w:t>(W/m</w:t>
            </w:r>
            <w:r>
              <w:rPr>
                <w:sz w:val="20"/>
                <w:szCs w:val="20"/>
                <w:vertAlign w:val="superscript"/>
              </w:rPr>
              <w:t>2</w:t>
            </w:r>
            <w:r>
              <w:rPr>
                <w:sz w:val="20"/>
                <w:szCs w:val="20"/>
              </w:rPr>
              <w:t>)</w:t>
            </w:r>
          </w:p>
        </w:tc>
      </w:tr>
      <w:tr w:rsidR="00117CE7" w:rsidRPr="00F44E6D" w14:paraId="156F05BF" w14:textId="77777777" w:rsidTr="00BF2228">
        <w:tc>
          <w:tcPr>
            <w:tcW w:w="646" w:type="dxa"/>
            <w:vAlign w:val="center"/>
          </w:tcPr>
          <w:p w14:paraId="02AE0805" w14:textId="40A7D3E2" w:rsidR="00117CE7" w:rsidRPr="005D4FBD" w:rsidRDefault="00117CE7" w:rsidP="00BF2228">
            <w:pPr>
              <w:pStyle w:val="Nomenclature"/>
              <w:jc w:val="left"/>
              <w:rPr>
                <w:i/>
                <w:sz w:val="20"/>
                <w:szCs w:val="20"/>
                <w:vertAlign w:val="subscript"/>
              </w:rPr>
            </w:pPr>
            <w:r>
              <w:rPr>
                <w:i/>
                <w:sz w:val="20"/>
                <w:szCs w:val="20"/>
              </w:rPr>
              <w:t>Q</w:t>
            </w:r>
          </w:p>
        </w:tc>
        <w:tc>
          <w:tcPr>
            <w:tcW w:w="3069" w:type="dxa"/>
            <w:vAlign w:val="center"/>
          </w:tcPr>
          <w:p w14:paraId="69765106" w14:textId="7290525D" w:rsidR="00117CE7" w:rsidRPr="00F44E6D" w:rsidRDefault="00117CE7" w:rsidP="00BF2228">
            <w:pPr>
              <w:pStyle w:val="Nomenclature"/>
              <w:jc w:val="left"/>
              <w:rPr>
                <w:sz w:val="20"/>
                <w:szCs w:val="20"/>
              </w:rPr>
            </w:pPr>
            <w:r>
              <w:rPr>
                <w:sz w:val="20"/>
                <w:szCs w:val="20"/>
              </w:rPr>
              <w:t>volumetric heat generation</w:t>
            </w:r>
          </w:p>
        </w:tc>
        <w:tc>
          <w:tcPr>
            <w:tcW w:w="983" w:type="dxa"/>
            <w:vAlign w:val="center"/>
          </w:tcPr>
          <w:p w14:paraId="7B0F4FA2" w14:textId="52B68F64" w:rsidR="00117CE7" w:rsidRPr="005D4FBD" w:rsidRDefault="00117CE7" w:rsidP="00BF2228">
            <w:pPr>
              <w:pStyle w:val="Nomenclature"/>
              <w:ind w:left="-51"/>
              <w:jc w:val="left"/>
              <w:rPr>
                <w:sz w:val="20"/>
                <w:szCs w:val="20"/>
              </w:rPr>
            </w:pPr>
            <w:r>
              <w:rPr>
                <w:sz w:val="20"/>
                <w:szCs w:val="20"/>
              </w:rPr>
              <w:t>(W/m</w:t>
            </w:r>
            <w:r>
              <w:rPr>
                <w:sz w:val="20"/>
                <w:szCs w:val="20"/>
                <w:vertAlign w:val="superscript"/>
              </w:rPr>
              <w:t>3</w:t>
            </w:r>
            <w:r>
              <w:rPr>
                <w:sz w:val="20"/>
                <w:szCs w:val="20"/>
              </w:rPr>
              <w:t>)</w:t>
            </w:r>
          </w:p>
        </w:tc>
      </w:tr>
      <w:tr w:rsidR="00117CE7" w:rsidRPr="00F44E6D" w14:paraId="6C99A3E4" w14:textId="77777777" w:rsidTr="00BF2228">
        <w:tc>
          <w:tcPr>
            <w:tcW w:w="646" w:type="dxa"/>
            <w:vAlign w:val="center"/>
          </w:tcPr>
          <w:p w14:paraId="5F3C28A8" w14:textId="64C0BD4E" w:rsidR="00117CE7" w:rsidRPr="005D4FBD" w:rsidRDefault="00316000" w:rsidP="00BF2228">
            <w:pPr>
              <w:pStyle w:val="Nomenclature"/>
              <w:jc w:val="left"/>
              <w:rPr>
                <w:i/>
                <w:sz w:val="20"/>
                <w:szCs w:val="20"/>
              </w:rPr>
            </w:pPr>
            <w:r>
              <w:rPr>
                <w:i/>
                <w:sz w:val="20"/>
                <w:szCs w:val="20"/>
              </w:rPr>
              <w:t>R</w:t>
            </w:r>
          </w:p>
        </w:tc>
        <w:tc>
          <w:tcPr>
            <w:tcW w:w="3069" w:type="dxa"/>
            <w:vAlign w:val="center"/>
          </w:tcPr>
          <w:p w14:paraId="21F09EAF" w14:textId="1B07D7C3" w:rsidR="00117CE7" w:rsidRPr="00F44E6D" w:rsidRDefault="00062E71" w:rsidP="00BF2228">
            <w:pPr>
              <w:pStyle w:val="Nomenclature"/>
              <w:jc w:val="left"/>
              <w:rPr>
                <w:sz w:val="20"/>
                <w:szCs w:val="20"/>
              </w:rPr>
            </w:pPr>
            <w:r>
              <w:rPr>
                <w:sz w:val="20"/>
                <w:szCs w:val="20"/>
              </w:rPr>
              <w:t>R</w:t>
            </w:r>
            <w:r w:rsidR="00117CE7">
              <w:rPr>
                <w:sz w:val="20"/>
                <w:szCs w:val="20"/>
              </w:rPr>
              <w:t>adius</w:t>
            </w:r>
          </w:p>
        </w:tc>
        <w:tc>
          <w:tcPr>
            <w:tcW w:w="983" w:type="dxa"/>
            <w:vAlign w:val="center"/>
          </w:tcPr>
          <w:p w14:paraId="27045766" w14:textId="226F8C07" w:rsidR="00117CE7" w:rsidRPr="005D4FBD" w:rsidRDefault="00117CE7" w:rsidP="00BF2228">
            <w:pPr>
              <w:pStyle w:val="Nomenclature"/>
              <w:ind w:left="-51"/>
              <w:jc w:val="left"/>
              <w:rPr>
                <w:sz w:val="20"/>
                <w:szCs w:val="20"/>
              </w:rPr>
            </w:pPr>
            <w:r>
              <w:rPr>
                <w:sz w:val="20"/>
                <w:szCs w:val="20"/>
              </w:rPr>
              <w:t>(m)</w:t>
            </w:r>
          </w:p>
        </w:tc>
      </w:tr>
      <w:tr w:rsidR="00117CE7" w:rsidRPr="00F44E6D" w14:paraId="05B1F684" w14:textId="77777777" w:rsidTr="00BF2228">
        <w:tc>
          <w:tcPr>
            <w:tcW w:w="646" w:type="dxa"/>
            <w:vAlign w:val="center"/>
          </w:tcPr>
          <w:p w14:paraId="4DDEB0DB" w14:textId="0F4D457D" w:rsidR="00117CE7" w:rsidRPr="00E83D4E" w:rsidRDefault="00117CE7" w:rsidP="00BF2228">
            <w:pPr>
              <w:pStyle w:val="Nomenclature"/>
              <w:jc w:val="left"/>
              <w:rPr>
                <w:i/>
                <w:sz w:val="20"/>
                <w:szCs w:val="20"/>
                <w:vertAlign w:val="subscript"/>
              </w:rPr>
            </w:pPr>
            <w:r>
              <w:rPr>
                <w:i/>
                <w:sz w:val="20"/>
                <w:szCs w:val="20"/>
              </w:rPr>
              <w:t>r</w:t>
            </w:r>
            <w:r>
              <w:rPr>
                <w:i/>
                <w:sz w:val="20"/>
                <w:szCs w:val="20"/>
                <w:vertAlign w:val="subscript"/>
              </w:rPr>
              <w:t>c</w:t>
            </w:r>
          </w:p>
        </w:tc>
        <w:tc>
          <w:tcPr>
            <w:tcW w:w="3069" w:type="dxa"/>
            <w:vAlign w:val="center"/>
          </w:tcPr>
          <w:p w14:paraId="73338EBB" w14:textId="5E24BC6C" w:rsidR="00117CE7" w:rsidRDefault="00117CE7" w:rsidP="00BF2228">
            <w:pPr>
              <w:pStyle w:val="Nomenclature"/>
              <w:jc w:val="left"/>
              <w:rPr>
                <w:sz w:val="20"/>
                <w:szCs w:val="20"/>
              </w:rPr>
            </w:pPr>
            <w:r>
              <w:rPr>
                <w:sz w:val="20"/>
                <w:szCs w:val="20"/>
              </w:rPr>
              <w:t>leading edge radius</w:t>
            </w:r>
          </w:p>
        </w:tc>
        <w:tc>
          <w:tcPr>
            <w:tcW w:w="983" w:type="dxa"/>
            <w:vAlign w:val="center"/>
          </w:tcPr>
          <w:p w14:paraId="1BF79F96" w14:textId="32FF82E4" w:rsidR="00117CE7" w:rsidRDefault="00117CE7" w:rsidP="00BF2228">
            <w:pPr>
              <w:pStyle w:val="Nomenclature"/>
              <w:ind w:left="-51"/>
              <w:jc w:val="left"/>
              <w:rPr>
                <w:sz w:val="20"/>
                <w:szCs w:val="20"/>
              </w:rPr>
            </w:pPr>
            <w:r>
              <w:rPr>
                <w:sz w:val="20"/>
                <w:szCs w:val="20"/>
              </w:rPr>
              <w:t>(m)</w:t>
            </w:r>
          </w:p>
        </w:tc>
      </w:tr>
      <w:tr w:rsidR="00117CE7" w:rsidRPr="00F44E6D" w14:paraId="3EA1F681" w14:textId="77777777" w:rsidTr="00BF2228">
        <w:tc>
          <w:tcPr>
            <w:tcW w:w="646" w:type="dxa"/>
            <w:vAlign w:val="center"/>
          </w:tcPr>
          <w:p w14:paraId="5D3158BD" w14:textId="2B5D3D25" w:rsidR="00117CE7" w:rsidRPr="00F44E6D" w:rsidRDefault="00117CE7" w:rsidP="00BF2228">
            <w:pPr>
              <w:pStyle w:val="Nomenclature"/>
              <w:jc w:val="left"/>
              <w:rPr>
                <w:i/>
                <w:sz w:val="20"/>
                <w:szCs w:val="20"/>
              </w:rPr>
            </w:pPr>
            <w:r>
              <w:rPr>
                <w:i/>
                <w:sz w:val="20"/>
                <w:szCs w:val="20"/>
              </w:rPr>
              <w:lastRenderedPageBreak/>
              <w:t>r</w:t>
            </w:r>
            <w:r>
              <w:rPr>
                <w:i/>
                <w:sz w:val="20"/>
                <w:szCs w:val="20"/>
                <w:vertAlign w:val="subscript"/>
              </w:rPr>
              <w:t>b</w:t>
            </w:r>
          </w:p>
        </w:tc>
        <w:tc>
          <w:tcPr>
            <w:tcW w:w="3069" w:type="dxa"/>
            <w:vAlign w:val="center"/>
          </w:tcPr>
          <w:p w14:paraId="49262EB0" w14:textId="073C680E" w:rsidR="00117CE7" w:rsidRPr="00F44E6D" w:rsidRDefault="00117CE7" w:rsidP="00BF2228">
            <w:pPr>
              <w:pStyle w:val="Nomenclature"/>
              <w:jc w:val="left"/>
              <w:rPr>
                <w:sz w:val="20"/>
                <w:szCs w:val="20"/>
              </w:rPr>
            </w:pPr>
            <w:r>
              <w:rPr>
                <w:sz w:val="20"/>
                <w:szCs w:val="20"/>
              </w:rPr>
              <w:t>involute base circle radius</w:t>
            </w:r>
          </w:p>
        </w:tc>
        <w:tc>
          <w:tcPr>
            <w:tcW w:w="983" w:type="dxa"/>
            <w:vAlign w:val="center"/>
          </w:tcPr>
          <w:p w14:paraId="58DA0295" w14:textId="2C2BE782" w:rsidR="00117CE7" w:rsidRPr="00F44E6D" w:rsidRDefault="00117CE7" w:rsidP="00BF2228">
            <w:pPr>
              <w:pStyle w:val="Nomenclature"/>
              <w:ind w:left="-51"/>
              <w:jc w:val="left"/>
              <w:rPr>
                <w:sz w:val="20"/>
                <w:szCs w:val="20"/>
              </w:rPr>
            </w:pPr>
            <w:r>
              <w:rPr>
                <w:sz w:val="20"/>
                <w:szCs w:val="20"/>
              </w:rPr>
              <w:t>(m)</w:t>
            </w:r>
          </w:p>
        </w:tc>
      </w:tr>
      <w:tr w:rsidR="00117CE7" w:rsidRPr="00F44E6D" w14:paraId="27BAADC1" w14:textId="77777777" w:rsidTr="00BF2228">
        <w:tc>
          <w:tcPr>
            <w:tcW w:w="646" w:type="dxa"/>
            <w:vAlign w:val="center"/>
          </w:tcPr>
          <w:p w14:paraId="667A8DAD" w14:textId="43479500" w:rsidR="00117CE7" w:rsidRPr="005D4FBD" w:rsidRDefault="00117CE7" w:rsidP="00CE4D7E">
            <w:pPr>
              <w:pStyle w:val="Nomenclature"/>
              <w:ind w:left="-45"/>
              <w:jc w:val="left"/>
              <w:rPr>
                <w:b/>
                <w:i/>
                <w:sz w:val="20"/>
                <w:szCs w:val="20"/>
              </w:rPr>
            </w:pPr>
            <w:r w:rsidRPr="001D1942">
              <w:rPr>
                <w:position w:val="-10"/>
              </w:rPr>
              <w:object w:dxaOrig="320" w:dyaOrig="300" w14:anchorId="3426157A">
                <v:shape id="_x0000_i1035" type="#_x0000_t75" style="width:15.6pt;height:15.05pt" o:ole="">
                  <v:imagedata r:id="rId31" o:title=""/>
                </v:shape>
                <o:OLEObject Type="Embed" ProgID="Equation.3" ShapeID="_x0000_i1035" DrawAspect="Content" ObjectID="_1457171688" r:id="rId32"/>
              </w:object>
            </w:r>
          </w:p>
        </w:tc>
        <w:tc>
          <w:tcPr>
            <w:tcW w:w="3069" w:type="dxa"/>
            <w:vAlign w:val="center"/>
          </w:tcPr>
          <w:p w14:paraId="069A0563" w14:textId="1B1FAB5F" w:rsidR="00117CE7" w:rsidRPr="00F44E6D" w:rsidRDefault="00117CE7" w:rsidP="00BF2228">
            <w:pPr>
              <w:pStyle w:val="Nomenclature"/>
              <w:jc w:val="left"/>
              <w:rPr>
                <w:sz w:val="20"/>
                <w:szCs w:val="20"/>
              </w:rPr>
            </w:pPr>
            <w:r>
              <w:rPr>
                <w:sz w:val="20"/>
                <w:szCs w:val="20"/>
              </w:rPr>
              <w:t>instantaneous involute radial vector</w:t>
            </w:r>
          </w:p>
        </w:tc>
        <w:tc>
          <w:tcPr>
            <w:tcW w:w="983" w:type="dxa"/>
            <w:vAlign w:val="center"/>
          </w:tcPr>
          <w:p w14:paraId="5DCD4AC7" w14:textId="7E454A7D" w:rsidR="00117CE7" w:rsidRPr="00F44E6D" w:rsidRDefault="00117CE7" w:rsidP="00BF2228">
            <w:pPr>
              <w:pStyle w:val="Nomenclature"/>
              <w:ind w:left="-51"/>
              <w:jc w:val="left"/>
              <w:rPr>
                <w:sz w:val="20"/>
                <w:szCs w:val="20"/>
              </w:rPr>
            </w:pPr>
            <w:r>
              <w:rPr>
                <w:sz w:val="20"/>
                <w:szCs w:val="20"/>
              </w:rPr>
              <w:t>(m)</w:t>
            </w:r>
          </w:p>
        </w:tc>
      </w:tr>
      <w:tr w:rsidR="00117CE7" w:rsidRPr="00F44E6D" w14:paraId="0309AB84" w14:textId="77777777" w:rsidTr="00BF2228">
        <w:tc>
          <w:tcPr>
            <w:tcW w:w="646" w:type="dxa"/>
            <w:vAlign w:val="center"/>
          </w:tcPr>
          <w:p w14:paraId="05E62E21" w14:textId="030F553A" w:rsidR="00117CE7" w:rsidRPr="001D1942" w:rsidRDefault="00117CE7" w:rsidP="00BF2228">
            <w:pPr>
              <w:pStyle w:val="Nomenclature"/>
              <w:jc w:val="left"/>
            </w:pPr>
            <w:r>
              <w:t>Re</w:t>
            </w:r>
          </w:p>
        </w:tc>
        <w:tc>
          <w:tcPr>
            <w:tcW w:w="3069" w:type="dxa"/>
            <w:vAlign w:val="center"/>
          </w:tcPr>
          <w:p w14:paraId="6A845AA3" w14:textId="2F71DD77" w:rsidR="00117CE7" w:rsidRDefault="00117CE7" w:rsidP="00BF2228">
            <w:pPr>
              <w:pStyle w:val="Nomenclature"/>
              <w:jc w:val="left"/>
              <w:rPr>
                <w:sz w:val="20"/>
                <w:szCs w:val="20"/>
              </w:rPr>
            </w:pPr>
            <w:r>
              <w:rPr>
                <w:sz w:val="20"/>
                <w:szCs w:val="20"/>
              </w:rPr>
              <w:t>Reynolds number</w:t>
            </w:r>
          </w:p>
        </w:tc>
        <w:tc>
          <w:tcPr>
            <w:tcW w:w="983" w:type="dxa"/>
            <w:vAlign w:val="center"/>
          </w:tcPr>
          <w:p w14:paraId="72961752" w14:textId="6FB16227" w:rsidR="00117CE7" w:rsidRDefault="00117CE7" w:rsidP="00BF2228">
            <w:pPr>
              <w:pStyle w:val="Nomenclature"/>
              <w:ind w:left="-51"/>
              <w:jc w:val="left"/>
              <w:rPr>
                <w:sz w:val="20"/>
                <w:szCs w:val="20"/>
              </w:rPr>
            </w:pPr>
          </w:p>
        </w:tc>
      </w:tr>
      <w:tr w:rsidR="00117CE7" w:rsidRPr="00F44E6D" w14:paraId="11350C2D" w14:textId="77777777" w:rsidTr="00BF2228">
        <w:tc>
          <w:tcPr>
            <w:tcW w:w="646" w:type="dxa"/>
            <w:vAlign w:val="center"/>
          </w:tcPr>
          <w:p w14:paraId="3FA88973" w14:textId="2775DD23" w:rsidR="00117CE7" w:rsidRPr="005D4FBD" w:rsidRDefault="00117CE7" w:rsidP="00BF2228">
            <w:pPr>
              <w:pStyle w:val="Nomenclature"/>
              <w:jc w:val="left"/>
              <w:rPr>
                <w:b/>
                <w:i/>
                <w:sz w:val="20"/>
                <w:szCs w:val="20"/>
              </w:rPr>
            </w:pPr>
            <w:r>
              <w:rPr>
                <w:i/>
                <w:sz w:val="20"/>
                <w:szCs w:val="20"/>
              </w:rPr>
              <w:t>s</w:t>
            </w:r>
          </w:p>
        </w:tc>
        <w:tc>
          <w:tcPr>
            <w:tcW w:w="3069" w:type="dxa"/>
            <w:vAlign w:val="center"/>
          </w:tcPr>
          <w:p w14:paraId="3FADCD6E" w14:textId="68BBFA73" w:rsidR="00117CE7" w:rsidRPr="00F44E6D" w:rsidRDefault="00117CE7" w:rsidP="00BF2228">
            <w:pPr>
              <w:pStyle w:val="Nomenclature"/>
              <w:jc w:val="left"/>
              <w:rPr>
                <w:sz w:val="20"/>
                <w:szCs w:val="20"/>
              </w:rPr>
            </w:pPr>
            <w:r>
              <w:rPr>
                <w:sz w:val="20"/>
                <w:szCs w:val="20"/>
              </w:rPr>
              <w:t>involute arc length coordinate</w:t>
            </w:r>
          </w:p>
        </w:tc>
        <w:tc>
          <w:tcPr>
            <w:tcW w:w="983" w:type="dxa"/>
            <w:vAlign w:val="center"/>
          </w:tcPr>
          <w:p w14:paraId="09AEC7D6" w14:textId="244FE0F5" w:rsidR="00117CE7" w:rsidRPr="00F44E6D" w:rsidRDefault="00117CE7" w:rsidP="00BF2228">
            <w:pPr>
              <w:pStyle w:val="Nomenclature"/>
              <w:ind w:left="-51"/>
              <w:jc w:val="left"/>
              <w:rPr>
                <w:sz w:val="20"/>
                <w:szCs w:val="20"/>
              </w:rPr>
            </w:pPr>
            <w:r>
              <w:rPr>
                <w:sz w:val="20"/>
                <w:szCs w:val="20"/>
              </w:rPr>
              <w:t>(m)</w:t>
            </w:r>
          </w:p>
        </w:tc>
      </w:tr>
      <w:tr w:rsidR="00117CE7" w:rsidRPr="00F44E6D" w14:paraId="033FA67F" w14:textId="77777777" w:rsidTr="00BF2228">
        <w:tc>
          <w:tcPr>
            <w:tcW w:w="646" w:type="dxa"/>
            <w:vAlign w:val="center"/>
          </w:tcPr>
          <w:p w14:paraId="3B20CD00" w14:textId="0E6DC5F4" w:rsidR="00117CE7" w:rsidRPr="005D4FBD" w:rsidRDefault="00117CE7" w:rsidP="00BF2228">
            <w:pPr>
              <w:pStyle w:val="Nomenclature"/>
              <w:jc w:val="left"/>
              <w:rPr>
                <w:b/>
                <w:i/>
                <w:sz w:val="20"/>
                <w:szCs w:val="20"/>
              </w:rPr>
            </w:pPr>
            <w:r>
              <w:rPr>
                <w:i/>
                <w:sz w:val="20"/>
                <w:szCs w:val="20"/>
              </w:rPr>
              <w:t>t</w:t>
            </w:r>
          </w:p>
        </w:tc>
        <w:tc>
          <w:tcPr>
            <w:tcW w:w="3069" w:type="dxa"/>
            <w:vAlign w:val="center"/>
          </w:tcPr>
          <w:p w14:paraId="74654ABE" w14:textId="14BBE074" w:rsidR="00117CE7" w:rsidRPr="00F44E6D" w:rsidRDefault="00117CE7" w:rsidP="00BF2228">
            <w:pPr>
              <w:pStyle w:val="Nomenclature"/>
              <w:jc w:val="left"/>
              <w:rPr>
                <w:sz w:val="20"/>
                <w:szCs w:val="20"/>
              </w:rPr>
            </w:pPr>
            <w:r>
              <w:rPr>
                <w:sz w:val="20"/>
                <w:szCs w:val="20"/>
              </w:rPr>
              <w:t>involute thickness coordinate</w:t>
            </w:r>
          </w:p>
        </w:tc>
        <w:tc>
          <w:tcPr>
            <w:tcW w:w="983" w:type="dxa"/>
            <w:vAlign w:val="center"/>
          </w:tcPr>
          <w:p w14:paraId="6CF161BE" w14:textId="5CF06C0B" w:rsidR="00117CE7" w:rsidRPr="00F44E6D" w:rsidRDefault="00117CE7" w:rsidP="00BF2228">
            <w:pPr>
              <w:pStyle w:val="Nomenclature"/>
              <w:ind w:left="-51"/>
              <w:jc w:val="left"/>
              <w:rPr>
                <w:sz w:val="20"/>
                <w:szCs w:val="20"/>
              </w:rPr>
            </w:pPr>
            <w:r>
              <w:rPr>
                <w:sz w:val="20"/>
                <w:szCs w:val="20"/>
              </w:rPr>
              <w:t>(m)</w:t>
            </w:r>
          </w:p>
        </w:tc>
      </w:tr>
      <w:tr w:rsidR="00117CE7" w:rsidRPr="00F44E6D" w14:paraId="54B7870F" w14:textId="77777777" w:rsidTr="00BF2228">
        <w:tc>
          <w:tcPr>
            <w:tcW w:w="646" w:type="dxa"/>
            <w:vAlign w:val="center"/>
          </w:tcPr>
          <w:p w14:paraId="3BE2FBFA" w14:textId="63AF738A" w:rsidR="00117CE7" w:rsidRPr="00F44E6D" w:rsidRDefault="00117CE7" w:rsidP="00BF2228">
            <w:pPr>
              <w:pStyle w:val="Nomenclature"/>
              <w:jc w:val="left"/>
              <w:rPr>
                <w:i/>
                <w:sz w:val="20"/>
                <w:szCs w:val="20"/>
              </w:rPr>
            </w:pPr>
            <w:r>
              <w:rPr>
                <w:i/>
                <w:sz w:val="20"/>
                <w:szCs w:val="20"/>
              </w:rPr>
              <w:t>T</w:t>
            </w:r>
          </w:p>
        </w:tc>
        <w:tc>
          <w:tcPr>
            <w:tcW w:w="3069" w:type="dxa"/>
            <w:vAlign w:val="center"/>
          </w:tcPr>
          <w:p w14:paraId="0DE97540" w14:textId="2F4CC55B" w:rsidR="00117CE7" w:rsidRPr="00F44E6D" w:rsidRDefault="00117CE7" w:rsidP="00BF2228">
            <w:pPr>
              <w:pStyle w:val="Nomenclature"/>
              <w:jc w:val="left"/>
              <w:rPr>
                <w:sz w:val="20"/>
                <w:szCs w:val="20"/>
              </w:rPr>
            </w:pPr>
            <w:r>
              <w:rPr>
                <w:sz w:val="20"/>
                <w:szCs w:val="20"/>
              </w:rPr>
              <w:t>temperature</w:t>
            </w:r>
          </w:p>
        </w:tc>
        <w:tc>
          <w:tcPr>
            <w:tcW w:w="983" w:type="dxa"/>
            <w:vAlign w:val="center"/>
          </w:tcPr>
          <w:p w14:paraId="5043D10C" w14:textId="460C5F43" w:rsidR="00117CE7" w:rsidRPr="00F44E6D" w:rsidRDefault="00117CE7" w:rsidP="00BF2228">
            <w:pPr>
              <w:pStyle w:val="Nomenclature"/>
              <w:ind w:left="-51"/>
              <w:jc w:val="left"/>
              <w:rPr>
                <w:sz w:val="20"/>
                <w:szCs w:val="20"/>
              </w:rPr>
            </w:pPr>
            <w:r>
              <w:rPr>
                <w:sz w:val="20"/>
                <w:szCs w:val="20"/>
              </w:rPr>
              <w:t>(K)</w:t>
            </w:r>
          </w:p>
        </w:tc>
      </w:tr>
      <w:tr w:rsidR="00117CE7" w:rsidRPr="00F44E6D" w14:paraId="3C84B68F" w14:textId="77777777" w:rsidTr="00BF2228">
        <w:tc>
          <w:tcPr>
            <w:tcW w:w="646" w:type="dxa"/>
            <w:vAlign w:val="center"/>
          </w:tcPr>
          <w:p w14:paraId="1FC53227" w14:textId="2788CC25" w:rsidR="00117CE7" w:rsidRPr="005D4FBD" w:rsidRDefault="00117CE7" w:rsidP="00BF2228">
            <w:pPr>
              <w:pStyle w:val="Nomenclature"/>
              <w:jc w:val="left"/>
              <w:rPr>
                <w:i/>
                <w:sz w:val="20"/>
                <w:szCs w:val="20"/>
              </w:rPr>
            </w:pPr>
            <w:r>
              <w:rPr>
                <w:i/>
                <w:sz w:val="20"/>
                <w:szCs w:val="20"/>
              </w:rPr>
              <w:t>T</w:t>
            </w:r>
            <w:r>
              <w:rPr>
                <w:i/>
                <w:sz w:val="20"/>
                <w:szCs w:val="20"/>
                <w:vertAlign w:val="subscript"/>
              </w:rPr>
              <w:t>b</w:t>
            </w:r>
          </w:p>
        </w:tc>
        <w:tc>
          <w:tcPr>
            <w:tcW w:w="3069" w:type="dxa"/>
            <w:vAlign w:val="center"/>
          </w:tcPr>
          <w:p w14:paraId="6B21C4A1" w14:textId="6AC4527C" w:rsidR="00117CE7" w:rsidRPr="00F44E6D" w:rsidRDefault="00117CE7" w:rsidP="00BF2228">
            <w:pPr>
              <w:pStyle w:val="Nomenclature"/>
              <w:jc w:val="left"/>
              <w:rPr>
                <w:sz w:val="20"/>
                <w:szCs w:val="20"/>
              </w:rPr>
            </w:pPr>
            <w:r>
              <w:rPr>
                <w:sz w:val="20"/>
                <w:szCs w:val="20"/>
              </w:rPr>
              <w:t>bulk temperature</w:t>
            </w:r>
          </w:p>
        </w:tc>
        <w:tc>
          <w:tcPr>
            <w:tcW w:w="983" w:type="dxa"/>
            <w:vAlign w:val="center"/>
          </w:tcPr>
          <w:p w14:paraId="098132C0" w14:textId="4FD48896" w:rsidR="00117CE7" w:rsidRPr="00F44E6D" w:rsidRDefault="00117CE7" w:rsidP="00BF2228">
            <w:pPr>
              <w:pStyle w:val="Nomenclature"/>
              <w:ind w:left="-51"/>
              <w:jc w:val="left"/>
              <w:rPr>
                <w:sz w:val="20"/>
                <w:szCs w:val="20"/>
              </w:rPr>
            </w:pPr>
            <w:r>
              <w:rPr>
                <w:sz w:val="20"/>
                <w:szCs w:val="20"/>
              </w:rPr>
              <w:t>(K)</w:t>
            </w:r>
          </w:p>
        </w:tc>
      </w:tr>
      <w:tr w:rsidR="00117CE7" w:rsidRPr="00F44E6D" w14:paraId="0C66DBD9" w14:textId="77777777" w:rsidTr="00BF2228">
        <w:tc>
          <w:tcPr>
            <w:tcW w:w="646" w:type="dxa"/>
            <w:vAlign w:val="center"/>
          </w:tcPr>
          <w:p w14:paraId="72776206" w14:textId="5C414A84" w:rsidR="00117CE7" w:rsidRPr="00DC1C45" w:rsidRDefault="00117CE7" w:rsidP="00BF2228">
            <w:pPr>
              <w:pStyle w:val="Nomenclature"/>
              <w:jc w:val="left"/>
              <w:rPr>
                <w:i/>
                <w:sz w:val="20"/>
                <w:szCs w:val="20"/>
                <w:vertAlign w:val="subscript"/>
              </w:rPr>
            </w:pPr>
            <w:r>
              <w:rPr>
                <w:i/>
                <w:sz w:val="20"/>
                <w:szCs w:val="20"/>
              </w:rPr>
              <w:t>T</w:t>
            </w:r>
            <w:r>
              <w:rPr>
                <w:i/>
                <w:sz w:val="20"/>
                <w:szCs w:val="20"/>
                <w:vertAlign w:val="subscript"/>
              </w:rPr>
              <w:t>f</w:t>
            </w:r>
          </w:p>
        </w:tc>
        <w:tc>
          <w:tcPr>
            <w:tcW w:w="3069" w:type="dxa"/>
            <w:vAlign w:val="center"/>
          </w:tcPr>
          <w:p w14:paraId="68F87D88" w14:textId="00B15B79" w:rsidR="00117CE7" w:rsidRDefault="00117CE7" w:rsidP="00BF2228">
            <w:pPr>
              <w:pStyle w:val="Nomenclature"/>
              <w:jc w:val="left"/>
              <w:rPr>
                <w:sz w:val="20"/>
                <w:szCs w:val="20"/>
              </w:rPr>
            </w:pPr>
            <w:r>
              <w:rPr>
                <w:sz w:val="20"/>
                <w:szCs w:val="20"/>
              </w:rPr>
              <w:t>film temperature</w:t>
            </w:r>
          </w:p>
        </w:tc>
        <w:tc>
          <w:tcPr>
            <w:tcW w:w="983" w:type="dxa"/>
            <w:vAlign w:val="center"/>
          </w:tcPr>
          <w:p w14:paraId="1FF4C644" w14:textId="0EDA0011" w:rsidR="00117CE7" w:rsidRDefault="00117CE7" w:rsidP="00BF2228">
            <w:pPr>
              <w:pStyle w:val="Nomenclature"/>
              <w:ind w:left="-51"/>
              <w:jc w:val="left"/>
              <w:rPr>
                <w:sz w:val="20"/>
                <w:szCs w:val="20"/>
              </w:rPr>
            </w:pPr>
            <w:r>
              <w:rPr>
                <w:sz w:val="20"/>
                <w:szCs w:val="20"/>
              </w:rPr>
              <w:t>(K)</w:t>
            </w:r>
          </w:p>
        </w:tc>
      </w:tr>
      <w:tr w:rsidR="00117CE7" w:rsidRPr="00F44E6D" w14:paraId="5D33C8A5" w14:textId="77777777" w:rsidTr="00BF2228">
        <w:tc>
          <w:tcPr>
            <w:tcW w:w="646" w:type="dxa"/>
            <w:vAlign w:val="center"/>
          </w:tcPr>
          <w:p w14:paraId="0C4BF263" w14:textId="640AD6A9" w:rsidR="00117CE7" w:rsidRPr="001E6688" w:rsidRDefault="00117CE7" w:rsidP="00BF2228">
            <w:pPr>
              <w:pStyle w:val="Nomenclature"/>
              <w:jc w:val="left"/>
              <w:rPr>
                <w:i/>
                <w:sz w:val="20"/>
                <w:szCs w:val="20"/>
                <w:vertAlign w:val="subscript"/>
              </w:rPr>
            </w:pPr>
            <w:r>
              <w:rPr>
                <w:i/>
                <w:sz w:val="20"/>
                <w:szCs w:val="20"/>
              </w:rPr>
              <w:t>T</w:t>
            </w:r>
            <w:r>
              <w:rPr>
                <w:i/>
                <w:sz w:val="20"/>
                <w:szCs w:val="20"/>
                <w:vertAlign w:val="subscript"/>
              </w:rPr>
              <w:t>surf</w:t>
            </w:r>
          </w:p>
        </w:tc>
        <w:tc>
          <w:tcPr>
            <w:tcW w:w="3069" w:type="dxa"/>
            <w:vAlign w:val="center"/>
          </w:tcPr>
          <w:p w14:paraId="589E7576" w14:textId="40B6C199" w:rsidR="00117CE7" w:rsidRDefault="00117CE7" w:rsidP="00BF2228">
            <w:pPr>
              <w:pStyle w:val="Nomenclature"/>
              <w:jc w:val="left"/>
              <w:rPr>
                <w:sz w:val="20"/>
                <w:szCs w:val="20"/>
              </w:rPr>
            </w:pPr>
            <w:r>
              <w:rPr>
                <w:sz w:val="20"/>
                <w:szCs w:val="20"/>
              </w:rPr>
              <w:t>surface temperature</w:t>
            </w:r>
          </w:p>
        </w:tc>
        <w:tc>
          <w:tcPr>
            <w:tcW w:w="983" w:type="dxa"/>
            <w:vAlign w:val="center"/>
          </w:tcPr>
          <w:p w14:paraId="520D243B" w14:textId="6E23874F" w:rsidR="00117CE7" w:rsidRDefault="00117CE7" w:rsidP="00BF2228">
            <w:pPr>
              <w:pStyle w:val="Nomenclature"/>
              <w:ind w:left="-51"/>
              <w:jc w:val="left"/>
              <w:rPr>
                <w:sz w:val="20"/>
                <w:szCs w:val="20"/>
              </w:rPr>
            </w:pPr>
            <w:r>
              <w:rPr>
                <w:sz w:val="20"/>
                <w:szCs w:val="20"/>
              </w:rPr>
              <w:t>(K)</w:t>
            </w:r>
          </w:p>
        </w:tc>
      </w:tr>
      <w:tr w:rsidR="00117CE7" w:rsidRPr="00F44E6D" w14:paraId="3785B5BF" w14:textId="77777777" w:rsidTr="00BF2228">
        <w:tc>
          <w:tcPr>
            <w:tcW w:w="646" w:type="dxa"/>
            <w:vAlign w:val="center"/>
          </w:tcPr>
          <w:p w14:paraId="5A368586" w14:textId="2916E387" w:rsidR="00117CE7" w:rsidRPr="00DC1C45" w:rsidRDefault="00117CE7" w:rsidP="00BF2228">
            <w:pPr>
              <w:pStyle w:val="Nomenclature"/>
              <w:jc w:val="left"/>
              <w:rPr>
                <w:i/>
                <w:sz w:val="20"/>
                <w:szCs w:val="20"/>
                <w:vertAlign w:val="subscript"/>
              </w:rPr>
            </w:pPr>
            <w:r>
              <w:rPr>
                <w:i/>
                <w:sz w:val="20"/>
                <w:szCs w:val="20"/>
              </w:rPr>
              <w:t>T</w:t>
            </w:r>
            <w:r>
              <w:rPr>
                <w:i/>
                <w:sz w:val="20"/>
                <w:szCs w:val="20"/>
                <w:vertAlign w:val="subscript"/>
              </w:rPr>
              <w:t>w</w:t>
            </w:r>
          </w:p>
        </w:tc>
        <w:tc>
          <w:tcPr>
            <w:tcW w:w="3069" w:type="dxa"/>
            <w:vAlign w:val="center"/>
          </w:tcPr>
          <w:p w14:paraId="78AD53D2" w14:textId="12F73CC2" w:rsidR="00117CE7" w:rsidRDefault="00117CE7" w:rsidP="00BF2228">
            <w:pPr>
              <w:pStyle w:val="Nomenclature"/>
              <w:jc w:val="left"/>
              <w:rPr>
                <w:sz w:val="20"/>
                <w:szCs w:val="20"/>
              </w:rPr>
            </w:pPr>
            <w:r>
              <w:rPr>
                <w:sz w:val="20"/>
                <w:szCs w:val="20"/>
              </w:rPr>
              <w:t>wall temperature</w:t>
            </w:r>
          </w:p>
        </w:tc>
        <w:tc>
          <w:tcPr>
            <w:tcW w:w="983" w:type="dxa"/>
            <w:vAlign w:val="center"/>
          </w:tcPr>
          <w:p w14:paraId="2C759FF1" w14:textId="4585623F" w:rsidR="00117CE7" w:rsidRDefault="00117CE7" w:rsidP="00BF2228">
            <w:pPr>
              <w:pStyle w:val="Nomenclature"/>
              <w:ind w:left="-51"/>
              <w:jc w:val="left"/>
              <w:rPr>
                <w:sz w:val="20"/>
                <w:szCs w:val="20"/>
              </w:rPr>
            </w:pPr>
            <w:r>
              <w:rPr>
                <w:sz w:val="20"/>
                <w:szCs w:val="20"/>
              </w:rPr>
              <w:t>(K)</w:t>
            </w:r>
          </w:p>
        </w:tc>
      </w:tr>
      <w:tr w:rsidR="00117CE7" w:rsidRPr="00F44E6D" w14:paraId="6F62A5D6" w14:textId="77777777" w:rsidTr="00BF2228">
        <w:tc>
          <w:tcPr>
            <w:tcW w:w="646" w:type="dxa"/>
            <w:vAlign w:val="center"/>
          </w:tcPr>
          <w:p w14:paraId="422E0B25" w14:textId="7196E969" w:rsidR="00117CE7" w:rsidRPr="003E4B07" w:rsidRDefault="00117CE7" w:rsidP="00BF2228">
            <w:pPr>
              <w:pStyle w:val="Nomenclature"/>
              <w:jc w:val="left"/>
              <w:rPr>
                <w:i/>
                <w:sz w:val="20"/>
                <w:szCs w:val="20"/>
                <w:vertAlign w:val="superscript"/>
              </w:rPr>
            </w:pPr>
            <w:r>
              <w:rPr>
                <w:i/>
                <w:sz w:val="20"/>
                <w:szCs w:val="20"/>
              </w:rPr>
              <w:t>T</w:t>
            </w:r>
            <w:r>
              <w:rPr>
                <w:i/>
                <w:sz w:val="20"/>
                <w:szCs w:val="20"/>
                <w:vertAlign w:val="superscript"/>
              </w:rPr>
              <w:t>+</w:t>
            </w:r>
          </w:p>
        </w:tc>
        <w:tc>
          <w:tcPr>
            <w:tcW w:w="3069" w:type="dxa"/>
            <w:vAlign w:val="center"/>
          </w:tcPr>
          <w:p w14:paraId="7B6E6567" w14:textId="1AB7A9BB" w:rsidR="00117CE7" w:rsidRDefault="00117CE7" w:rsidP="00BF2228">
            <w:pPr>
              <w:pStyle w:val="Nomenclature"/>
              <w:jc w:val="left"/>
              <w:rPr>
                <w:sz w:val="20"/>
                <w:szCs w:val="20"/>
              </w:rPr>
            </w:pPr>
            <w:r>
              <w:rPr>
                <w:sz w:val="20"/>
                <w:szCs w:val="20"/>
              </w:rPr>
              <w:t>dimensionless temperature</w:t>
            </w:r>
          </w:p>
        </w:tc>
        <w:tc>
          <w:tcPr>
            <w:tcW w:w="983" w:type="dxa"/>
            <w:vAlign w:val="center"/>
          </w:tcPr>
          <w:p w14:paraId="55350DE3" w14:textId="7998AFA3" w:rsidR="00117CE7" w:rsidRDefault="00117CE7" w:rsidP="00BF2228">
            <w:pPr>
              <w:pStyle w:val="Nomenclature"/>
              <w:ind w:left="-51"/>
              <w:jc w:val="left"/>
              <w:rPr>
                <w:sz w:val="20"/>
                <w:szCs w:val="20"/>
              </w:rPr>
            </w:pPr>
          </w:p>
        </w:tc>
      </w:tr>
      <w:tr w:rsidR="00117CE7" w:rsidRPr="00F44E6D" w14:paraId="13263208" w14:textId="77777777" w:rsidTr="00BF2228">
        <w:tc>
          <w:tcPr>
            <w:tcW w:w="646" w:type="dxa"/>
            <w:vAlign w:val="center"/>
          </w:tcPr>
          <w:p w14:paraId="7640F26F" w14:textId="61223D5B" w:rsidR="00117CE7" w:rsidRPr="00DC1C45" w:rsidRDefault="00117CE7" w:rsidP="00BF2228">
            <w:pPr>
              <w:pStyle w:val="Nomenclature"/>
              <w:jc w:val="left"/>
              <w:rPr>
                <w:i/>
                <w:sz w:val="20"/>
                <w:szCs w:val="20"/>
                <w:vertAlign w:val="subscript"/>
              </w:rPr>
            </w:pPr>
            <w:r>
              <w:rPr>
                <w:i/>
                <w:sz w:val="20"/>
                <w:szCs w:val="20"/>
              </w:rPr>
              <w:t>u</w:t>
            </w:r>
          </w:p>
        </w:tc>
        <w:tc>
          <w:tcPr>
            <w:tcW w:w="3069" w:type="dxa"/>
            <w:vAlign w:val="center"/>
          </w:tcPr>
          <w:p w14:paraId="34A17261" w14:textId="4FD17B35" w:rsidR="00117CE7" w:rsidRDefault="00117CE7" w:rsidP="00BF2228">
            <w:pPr>
              <w:pStyle w:val="Nomenclature"/>
              <w:jc w:val="left"/>
              <w:rPr>
                <w:sz w:val="20"/>
                <w:szCs w:val="20"/>
              </w:rPr>
            </w:pPr>
            <w:r>
              <w:rPr>
                <w:sz w:val="20"/>
                <w:szCs w:val="20"/>
              </w:rPr>
              <w:t>velocity</w:t>
            </w:r>
          </w:p>
        </w:tc>
        <w:tc>
          <w:tcPr>
            <w:tcW w:w="983" w:type="dxa"/>
            <w:vAlign w:val="center"/>
          </w:tcPr>
          <w:p w14:paraId="30ADB5DA" w14:textId="208D2070" w:rsidR="00117CE7" w:rsidRDefault="00117CE7" w:rsidP="00BF2228">
            <w:pPr>
              <w:pStyle w:val="Nomenclature"/>
              <w:ind w:left="-51"/>
              <w:jc w:val="left"/>
              <w:rPr>
                <w:sz w:val="20"/>
                <w:szCs w:val="20"/>
              </w:rPr>
            </w:pPr>
            <w:r>
              <w:rPr>
                <w:sz w:val="20"/>
                <w:szCs w:val="20"/>
              </w:rPr>
              <w:t>(m/s)</w:t>
            </w:r>
          </w:p>
        </w:tc>
      </w:tr>
      <w:tr w:rsidR="00117CE7" w:rsidRPr="00F44E6D" w14:paraId="08A2F441" w14:textId="77777777" w:rsidTr="00BF2228">
        <w:tc>
          <w:tcPr>
            <w:tcW w:w="646" w:type="dxa"/>
            <w:vAlign w:val="center"/>
          </w:tcPr>
          <w:p w14:paraId="4A5C5860" w14:textId="26BC4AC5" w:rsidR="00117CE7" w:rsidRPr="00F44E6D" w:rsidRDefault="00117CE7" w:rsidP="00BF2228">
            <w:pPr>
              <w:pStyle w:val="Nomenclature"/>
              <w:spacing w:after="0"/>
              <w:jc w:val="left"/>
              <w:rPr>
                <w:i/>
                <w:sz w:val="20"/>
                <w:szCs w:val="20"/>
              </w:rPr>
            </w:pPr>
            <w:r>
              <w:rPr>
                <w:i/>
                <w:sz w:val="20"/>
                <w:szCs w:val="20"/>
              </w:rPr>
              <w:t>u</w:t>
            </w:r>
            <w:r>
              <w:rPr>
                <w:i/>
                <w:sz w:val="20"/>
                <w:szCs w:val="20"/>
                <w:vertAlign w:val="subscript"/>
              </w:rPr>
              <w:t>tan</w:t>
            </w:r>
          </w:p>
        </w:tc>
        <w:tc>
          <w:tcPr>
            <w:tcW w:w="3069" w:type="dxa"/>
            <w:vAlign w:val="center"/>
          </w:tcPr>
          <w:p w14:paraId="53B73F34" w14:textId="6717FA76" w:rsidR="00117CE7" w:rsidRPr="00F44E6D" w:rsidRDefault="00117CE7" w:rsidP="00BF2228">
            <w:pPr>
              <w:pStyle w:val="Nomenclature"/>
              <w:jc w:val="left"/>
              <w:rPr>
                <w:sz w:val="20"/>
                <w:szCs w:val="20"/>
              </w:rPr>
            </w:pPr>
            <w:r>
              <w:rPr>
                <w:sz w:val="20"/>
                <w:szCs w:val="20"/>
              </w:rPr>
              <w:t>velocity tangent to wall</w:t>
            </w:r>
          </w:p>
        </w:tc>
        <w:tc>
          <w:tcPr>
            <w:tcW w:w="983" w:type="dxa"/>
            <w:vAlign w:val="center"/>
          </w:tcPr>
          <w:p w14:paraId="3800900C" w14:textId="175804C9" w:rsidR="00117CE7" w:rsidRPr="00F44E6D" w:rsidRDefault="00117CE7" w:rsidP="00BF2228">
            <w:pPr>
              <w:pStyle w:val="Nomenclature"/>
              <w:ind w:left="-51"/>
              <w:jc w:val="left"/>
              <w:rPr>
                <w:sz w:val="20"/>
                <w:szCs w:val="20"/>
              </w:rPr>
            </w:pPr>
            <w:r>
              <w:rPr>
                <w:sz w:val="20"/>
                <w:szCs w:val="20"/>
              </w:rPr>
              <w:t>(m/s)</w:t>
            </w:r>
          </w:p>
        </w:tc>
      </w:tr>
      <w:tr w:rsidR="00117CE7" w:rsidRPr="00F44E6D" w14:paraId="3E4EA33E" w14:textId="77777777" w:rsidTr="00BF2228">
        <w:tc>
          <w:tcPr>
            <w:tcW w:w="646" w:type="dxa"/>
            <w:vAlign w:val="center"/>
          </w:tcPr>
          <w:p w14:paraId="7EE0E63C" w14:textId="0605609C" w:rsidR="00117CE7" w:rsidRPr="00B67D60" w:rsidRDefault="00117CE7" w:rsidP="00BF2228">
            <w:pPr>
              <w:pStyle w:val="Nomenclature"/>
              <w:spacing w:after="0"/>
              <w:jc w:val="left"/>
              <w:rPr>
                <w:i/>
                <w:sz w:val="20"/>
                <w:szCs w:val="20"/>
                <w:vertAlign w:val="subscript"/>
              </w:rPr>
            </w:pPr>
            <w:r>
              <w:rPr>
                <w:i/>
                <w:sz w:val="20"/>
                <w:szCs w:val="20"/>
              </w:rPr>
              <w:t>u</w:t>
            </w:r>
            <w:r>
              <w:rPr>
                <w:i/>
                <w:sz w:val="20"/>
                <w:szCs w:val="20"/>
                <w:vertAlign w:val="subscript"/>
              </w:rPr>
              <w:t>τ</w:t>
            </w:r>
          </w:p>
        </w:tc>
        <w:tc>
          <w:tcPr>
            <w:tcW w:w="3069" w:type="dxa"/>
            <w:vAlign w:val="center"/>
          </w:tcPr>
          <w:p w14:paraId="14ED84CF" w14:textId="3F62F70E" w:rsidR="00117CE7" w:rsidRDefault="00117CE7" w:rsidP="00BF2228">
            <w:pPr>
              <w:pStyle w:val="Nomenclature"/>
              <w:jc w:val="left"/>
              <w:rPr>
                <w:sz w:val="20"/>
                <w:szCs w:val="20"/>
              </w:rPr>
            </w:pPr>
            <w:r>
              <w:rPr>
                <w:sz w:val="20"/>
                <w:szCs w:val="20"/>
              </w:rPr>
              <w:t>shear velocity</w:t>
            </w:r>
          </w:p>
        </w:tc>
        <w:tc>
          <w:tcPr>
            <w:tcW w:w="983" w:type="dxa"/>
            <w:vAlign w:val="center"/>
          </w:tcPr>
          <w:p w14:paraId="770CBA29" w14:textId="61AEB291" w:rsidR="00117CE7" w:rsidRDefault="00117CE7" w:rsidP="00BF2228">
            <w:pPr>
              <w:pStyle w:val="Nomenclature"/>
              <w:ind w:left="-51"/>
              <w:jc w:val="left"/>
              <w:rPr>
                <w:sz w:val="20"/>
                <w:szCs w:val="20"/>
              </w:rPr>
            </w:pPr>
            <w:r>
              <w:rPr>
                <w:sz w:val="20"/>
                <w:szCs w:val="20"/>
              </w:rPr>
              <w:t>(m/s)</w:t>
            </w:r>
          </w:p>
        </w:tc>
      </w:tr>
      <w:tr w:rsidR="00117CE7" w:rsidRPr="00F44E6D" w14:paraId="633BA684" w14:textId="77777777" w:rsidTr="00BF2228">
        <w:tc>
          <w:tcPr>
            <w:tcW w:w="646" w:type="dxa"/>
            <w:vAlign w:val="center"/>
          </w:tcPr>
          <w:p w14:paraId="53030CED" w14:textId="12DDCA83" w:rsidR="00117CE7" w:rsidRPr="00B351C8" w:rsidRDefault="00117CE7" w:rsidP="00BF2228">
            <w:pPr>
              <w:pStyle w:val="Nomenclature"/>
              <w:spacing w:after="0"/>
              <w:jc w:val="left"/>
              <w:rPr>
                <w:i/>
                <w:sz w:val="20"/>
                <w:szCs w:val="20"/>
                <w:vertAlign w:val="subscript"/>
              </w:rPr>
            </w:pPr>
            <w:r>
              <w:rPr>
                <w:b/>
                <w:i/>
                <w:sz w:val="20"/>
                <w:szCs w:val="20"/>
              </w:rPr>
              <w:t>u</w:t>
            </w:r>
          </w:p>
        </w:tc>
        <w:tc>
          <w:tcPr>
            <w:tcW w:w="3069" w:type="dxa"/>
            <w:vAlign w:val="center"/>
          </w:tcPr>
          <w:p w14:paraId="3713BDE9" w14:textId="43329D8F" w:rsidR="00117CE7" w:rsidRDefault="00117CE7" w:rsidP="00BF2228">
            <w:pPr>
              <w:pStyle w:val="Nomenclature"/>
              <w:jc w:val="left"/>
              <w:rPr>
                <w:sz w:val="20"/>
                <w:szCs w:val="20"/>
              </w:rPr>
            </w:pPr>
            <w:r>
              <w:rPr>
                <w:sz w:val="20"/>
                <w:szCs w:val="20"/>
              </w:rPr>
              <w:t>velocity vector</w:t>
            </w:r>
          </w:p>
        </w:tc>
        <w:tc>
          <w:tcPr>
            <w:tcW w:w="983" w:type="dxa"/>
            <w:vAlign w:val="center"/>
          </w:tcPr>
          <w:p w14:paraId="0B695702" w14:textId="3D0C1065" w:rsidR="00117CE7" w:rsidRDefault="00117CE7" w:rsidP="00BF2228">
            <w:pPr>
              <w:pStyle w:val="Nomenclature"/>
              <w:ind w:left="-51"/>
              <w:jc w:val="left"/>
              <w:rPr>
                <w:sz w:val="20"/>
                <w:szCs w:val="20"/>
              </w:rPr>
            </w:pPr>
            <w:r>
              <w:rPr>
                <w:sz w:val="20"/>
                <w:szCs w:val="20"/>
              </w:rPr>
              <w:t>(m/s)</w:t>
            </w:r>
          </w:p>
        </w:tc>
      </w:tr>
      <w:tr w:rsidR="00117CE7" w:rsidRPr="00F44E6D" w14:paraId="04D163F6" w14:textId="77777777" w:rsidTr="00BF2228">
        <w:tc>
          <w:tcPr>
            <w:tcW w:w="646" w:type="dxa"/>
            <w:vAlign w:val="center"/>
          </w:tcPr>
          <w:p w14:paraId="39FAD39D" w14:textId="1B94F873" w:rsidR="00117CE7" w:rsidRPr="00F44E6D" w:rsidRDefault="00117CE7" w:rsidP="00CE4D7E">
            <w:pPr>
              <w:pStyle w:val="Nomenclature"/>
              <w:spacing w:after="0"/>
              <w:ind w:left="-54"/>
              <w:jc w:val="left"/>
              <w:rPr>
                <w:i/>
                <w:sz w:val="20"/>
                <w:szCs w:val="20"/>
              </w:rPr>
            </w:pPr>
            <w:r w:rsidRPr="00C8273B">
              <w:rPr>
                <w:position w:val="-6"/>
              </w:rPr>
              <w:object w:dxaOrig="279" w:dyaOrig="279" w14:anchorId="754C78F0">
                <v:shape id="_x0000_i1036" type="#_x0000_t75" style="width:13.45pt;height:13.45pt" o:ole="">
                  <v:imagedata r:id="rId33" o:title=""/>
                </v:shape>
                <o:OLEObject Type="Embed" ProgID="Equation.3" ShapeID="_x0000_i1036" DrawAspect="Content" ObjectID="_1457171689" r:id="rId34"/>
              </w:object>
            </w:r>
          </w:p>
        </w:tc>
        <w:tc>
          <w:tcPr>
            <w:tcW w:w="3069" w:type="dxa"/>
            <w:vAlign w:val="center"/>
          </w:tcPr>
          <w:p w14:paraId="6694F48A" w14:textId="7CB23293" w:rsidR="00117CE7" w:rsidRPr="00F44E6D" w:rsidRDefault="00117CE7" w:rsidP="00BF2228">
            <w:pPr>
              <w:pStyle w:val="Nomenclature"/>
              <w:spacing w:after="0"/>
              <w:jc w:val="left"/>
              <w:rPr>
                <w:sz w:val="20"/>
                <w:szCs w:val="20"/>
              </w:rPr>
            </w:pPr>
            <w:r>
              <w:rPr>
                <w:sz w:val="20"/>
                <w:szCs w:val="20"/>
              </w:rPr>
              <w:t>fluctuating velocity vector</w:t>
            </w:r>
          </w:p>
        </w:tc>
        <w:tc>
          <w:tcPr>
            <w:tcW w:w="983" w:type="dxa"/>
            <w:vAlign w:val="center"/>
          </w:tcPr>
          <w:p w14:paraId="7B764F69" w14:textId="66C480FB" w:rsidR="00117CE7" w:rsidRPr="00F44E6D" w:rsidRDefault="00117CE7" w:rsidP="00BF2228">
            <w:pPr>
              <w:pStyle w:val="Nomenclature"/>
              <w:spacing w:after="0"/>
              <w:ind w:left="-51"/>
              <w:jc w:val="left"/>
              <w:rPr>
                <w:sz w:val="20"/>
                <w:szCs w:val="20"/>
              </w:rPr>
            </w:pPr>
            <w:r>
              <w:rPr>
                <w:sz w:val="20"/>
                <w:szCs w:val="20"/>
              </w:rPr>
              <w:t>(m/s)</w:t>
            </w:r>
          </w:p>
        </w:tc>
      </w:tr>
      <w:tr w:rsidR="00117CE7" w:rsidRPr="00F44E6D" w14:paraId="56897579" w14:textId="77777777" w:rsidTr="00BF2228">
        <w:tc>
          <w:tcPr>
            <w:tcW w:w="646" w:type="dxa"/>
            <w:vAlign w:val="center"/>
          </w:tcPr>
          <w:p w14:paraId="6FF48EBC" w14:textId="29A980F2" w:rsidR="00117CE7" w:rsidRPr="00F44E6D" w:rsidRDefault="00117CE7" w:rsidP="00CE4D7E">
            <w:pPr>
              <w:pStyle w:val="Nomenclature"/>
              <w:spacing w:after="0"/>
              <w:ind w:left="-54"/>
              <w:jc w:val="left"/>
              <w:rPr>
                <w:i/>
                <w:sz w:val="20"/>
                <w:szCs w:val="20"/>
              </w:rPr>
            </w:pPr>
            <w:r w:rsidRPr="00C8273B">
              <w:rPr>
                <w:position w:val="-6"/>
              </w:rPr>
              <w:object w:dxaOrig="220" w:dyaOrig="279" w14:anchorId="25634252">
                <v:shape id="_x0000_i1037" type="#_x0000_t75" style="width:11.3pt;height:13.45pt" o:ole="">
                  <v:imagedata r:id="rId35" o:title=""/>
                </v:shape>
                <o:OLEObject Type="Embed" ProgID="Equation.3" ShapeID="_x0000_i1037" DrawAspect="Content" ObjectID="_1457171690" r:id="rId36"/>
              </w:object>
            </w:r>
          </w:p>
        </w:tc>
        <w:tc>
          <w:tcPr>
            <w:tcW w:w="3069" w:type="dxa"/>
            <w:vAlign w:val="center"/>
          </w:tcPr>
          <w:p w14:paraId="1414AF3F" w14:textId="08E8FA9C" w:rsidR="00117CE7" w:rsidRPr="00F44E6D" w:rsidRDefault="00117CE7" w:rsidP="00BF2228">
            <w:pPr>
              <w:pStyle w:val="Nomenclature"/>
              <w:spacing w:after="0"/>
              <w:jc w:val="left"/>
              <w:rPr>
                <w:sz w:val="20"/>
                <w:szCs w:val="20"/>
              </w:rPr>
            </w:pPr>
            <w:r>
              <w:rPr>
                <w:sz w:val="20"/>
                <w:szCs w:val="20"/>
              </w:rPr>
              <w:t>Favre-averaged velocity vector</w:t>
            </w:r>
          </w:p>
        </w:tc>
        <w:tc>
          <w:tcPr>
            <w:tcW w:w="983" w:type="dxa"/>
            <w:vAlign w:val="center"/>
          </w:tcPr>
          <w:p w14:paraId="7893BB68" w14:textId="11DB6B21" w:rsidR="00117CE7" w:rsidRPr="00F44E6D" w:rsidRDefault="00117CE7" w:rsidP="00BF2228">
            <w:pPr>
              <w:pStyle w:val="Nomenclature"/>
              <w:spacing w:after="0"/>
              <w:ind w:left="-51"/>
              <w:jc w:val="left"/>
              <w:rPr>
                <w:sz w:val="20"/>
                <w:szCs w:val="20"/>
              </w:rPr>
            </w:pPr>
            <w:r>
              <w:rPr>
                <w:sz w:val="20"/>
                <w:szCs w:val="20"/>
              </w:rPr>
              <w:t>(m/s)</w:t>
            </w:r>
          </w:p>
        </w:tc>
      </w:tr>
      <w:tr w:rsidR="00117CE7" w:rsidRPr="00F44E6D" w14:paraId="7E00EA70" w14:textId="77777777" w:rsidTr="00BF2228">
        <w:tc>
          <w:tcPr>
            <w:tcW w:w="646" w:type="dxa"/>
            <w:vAlign w:val="center"/>
          </w:tcPr>
          <w:p w14:paraId="08F3C257" w14:textId="676E69BD" w:rsidR="00117CE7" w:rsidRDefault="00117CE7" w:rsidP="00BF2228">
            <w:pPr>
              <w:pStyle w:val="Nomenclature"/>
              <w:jc w:val="left"/>
              <w:rPr>
                <w:i/>
                <w:sz w:val="20"/>
                <w:szCs w:val="20"/>
              </w:rPr>
            </w:pPr>
            <w:r>
              <w:rPr>
                <w:i/>
                <w:sz w:val="20"/>
                <w:szCs w:val="20"/>
              </w:rPr>
              <w:t>V</w:t>
            </w:r>
          </w:p>
        </w:tc>
        <w:tc>
          <w:tcPr>
            <w:tcW w:w="3069" w:type="dxa"/>
            <w:vAlign w:val="center"/>
          </w:tcPr>
          <w:p w14:paraId="0A733A75" w14:textId="32788985" w:rsidR="00117CE7" w:rsidRDefault="00117CE7" w:rsidP="00BF2228">
            <w:pPr>
              <w:pStyle w:val="Nomenclature"/>
              <w:jc w:val="left"/>
              <w:rPr>
                <w:sz w:val="20"/>
                <w:szCs w:val="20"/>
              </w:rPr>
            </w:pPr>
            <w:r>
              <w:rPr>
                <w:sz w:val="20"/>
                <w:szCs w:val="20"/>
              </w:rPr>
              <w:t>volume</w:t>
            </w:r>
          </w:p>
        </w:tc>
        <w:tc>
          <w:tcPr>
            <w:tcW w:w="983" w:type="dxa"/>
            <w:vAlign w:val="center"/>
          </w:tcPr>
          <w:p w14:paraId="01964C7C" w14:textId="50A1BA21" w:rsidR="00117CE7" w:rsidRDefault="00117CE7" w:rsidP="00BF2228">
            <w:pPr>
              <w:pStyle w:val="Nomenclature"/>
              <w:ind w:left="-51"/>
              <w:jc w:val="left"/>
              <w:rPr>
                <w:sz w:val="20"/>
                <w:szCs w:val="20"/>
              </w:rPr>
            </w:pPr>
            <w:r>
              <w:rPr>
                <w:sz w:val="20"/>
                <w:szCs w:val="20"/>
              </w:rPr>
              <w:t>(m</w:t>
            </w:r>
            <w:r>
              <w:rPr>
                <w:sz w:val="20"/>
                <w:szCs w:val="20"/>
                <w:vertAlign w:val="superscript"/>
              </w:rPr>
              <w:t>3</w:t>
            </w:r>
            <w:r>
              <w:rPr>
                <w:sz w:val="20"/>
                <w:szCs w:val="20"/>
              </w:rPr>
              <w:t>)</w:t>
            </w:r>
          </w:p>
        </w:tc>
      </w:tr>
      <w:tr w:rsidR="00117CE7" w:rsidRPr="00F44E6D" w14:paraId="7C8D1F0C" w14:textId="77777777" w:rsidTr="00BF2228">
        <w:tc>
          <w:tcPr>
            <w:tcW w:w="646" w:type="dxa"/>
            <w:vAlign w:val="center"/>
          </w:tcPr>
          <w:p w14:paraId="726C83FD" w14:textId="3C0CC300" w:rsidR="00117CE7" w:rsidRPr="00F44E6D" w:rsidRDefault="00117CE7" w:rsidP="00BF2228">
            <w:pPr>
              <w:pStyle w:val="Nomenclature"/>
              <w:jc w:val="left"/>
              <w:rPr>
                <w:i/>
                <w:sz w:val="20"/>
                <w:szCs w:val="20"/>
              </w:rPr>
            </w:pPr>
            <w:r>
              <w:rPr>
                <w:i/>
                <w:sz w:val="20"/>
                <w:szCs w:val="20"/>
              </w:rPr>
              <w:t>V</w:t>
            </w:r>
            <w:r>
              <w:rPr>
                <w:i/>
                <w:sz w:val="20"/>
                <w:szCs w:val="20"/>
                <w:vertAlign w:val="subscript"/>
              </w:rPr>
              <w:t>fuel</w:t>
            </w:r>
          </w:p>
        </w:tc>
        <w:tc>
          <w:tcPr>
            <w:tcW w:w="3069" w:type="dxa"/>
            <w:vAlign w:val="center"/>
          </w:tcPr>
          <w:p w14:paraId="4810635E" w14:textId="0FDF35C6" w:rsidR="00117CE7" w:rsidRPr="00F44E6D" w:rsidRDefault="00117CE7" w:rsidP="00BF2228">
            <w:pPr>
              <w:pStyle w:val="Nomenclature"/>
              <w:jc w:val="left"/>
              <w:rPr>
                <w:sz w:val="20"/>
                <w:szCs w:val="20"/>
              </w:rPr>
            </w:pPr>
            <w:r>
              <w:rPr>
                <w:sz w:val="20"/>
                <w:szCs w:val="20"/>
              </w:rPr>
              <w:t>volume of fuel in an MCNP cell</w:t>
            </w:r>
          </w:p>
        </w:tc>
        <w:tc>
          <w:tcPr>
            <w:tcW w:w="983" w:type="dxa"/>
            <w:vAlign w:val="center"/>
          </w:tcPr>
          <w:p w14:paraId="37C0DA8D" w14:textId="3A67D2BF" w:rsidR="00117CE7" w:rsidRPr="00F44E6D" w:rsidRDefault="00117CE7" w:rsidP="00BF2228">
            <w:pPr>
              <w:pStyle w:val="Nomenclature"/>
              <w:ind w:left="-51"/>
              <w:jc w:val="left"/>
              <w:rPr>
                <w:sz w:val="20"/>
                <w:szCs w:val="20"/>
              </w:rPr>
            </w:pPr>
            <w:r>
              <w:rPr>
                <w:sz w:val="20"/>
                <w:szCs w:val="20"/>
              </w:rPr>
              <w:t>(m</w:t>
            </w:r>
            <w:r>
              <w:rPr>
                <w:sz w:val="20"/>
                <w:szCs w:val="20"/>
                <w:vertAlign w:val="superscript"/>
              </w:rPr>
              <w:t>3</w:t>
            </w:r>
            <w:r>
              <w:rPr>
                <w:sz w:val="20"/>
                <w:szCs w:val="20"/>
              </w:rPr>
              <w:t>)</w:t>
            </w:r>
          </w:p>
        </w:tc>
      </w:tr>
      <w:tr w:rsidR="00117CE7" w:rsidRPr="00F44E6D" w14:paraId="5D80A0A6" w14:textId="77777777" w:rsidTr="00BF2228">
        <w:tc>
          <w:tcPr>
            <w:tcW w:w="646" w:type="dxa"/>
            <w:vAlign w:val="center"/>
          </w:tcPr>
          <w:p w14:paraId="4CED08AB" w14:textId="163640FC" w:rsidR="00117CE7" w:rsidRPr="005D4FBD" w:rsidRDefault="00117CE7" w:rsidP="00BF2228">
            <w:pPr>
              <w:pStyle w:val="Nomenclature"/>
              <w:jc w:val="left"/>
              <w:rPr>
                <w:i/>
                <w:sz w:val="20"/>
                <w:szCs w:val="20"/>
                <w:vertAlign w:val="subscript"/>
              </w:rPr>
            </w:pPr>
            <w:r>
              <w:rPr>
                <w:i/>
                <w:sz w:val="20"/>
                <w:szCs w:val="20"/>
              </w:rPr>
              <w:t>V</w:t>
            </w:r>
            <w:r>
              <w:rPr>
                <w:i/>
                <w:sz w:val="20"/>
                <w:szCs w:val="20"/>
                <w:vertAlign w:val="subscript"/>
              </w:rPr>
              <w:t>ratio</w:t>
            </w:r>
          </w:p>
        </w:tc>
        <w:tc>
          <w:tcPr>
            <w:tcW w:w="3069" w:type="dxa"/>
            <w:vAlign w:val="center"/>
          </w:tcPr>
          <w:p w14:paraId="3C7264F5" w14:textId="4FEA0764" w:rsidR="00117CE7" w:rsidRPr="00F44E6D" w:rsidRDefault="00117CE7" w:rsidP="00BF2228">
            <w:pPr>
              <w:pStyle w:val="Nomenclature"/>
              <w:jc w:val="left"/>
              <w:rPr>
                <w:sz w:val="20"/>
                <w:szCs w:val="20"/>
              </w:rPr>
            </w:pPr>
            <w:r>
              <w:rPr>
                <w:sz w:val="20"/>
                <w:szCs w:val="20"/>
              </w:rPr>
              <w:t>MCNP fuel to total cell volume ratio</w:t>
            </w:r>
          </w:p>
        </w:tc>
        <w:tc>
          <w:tcPr>
            <w:tcW w:w="983" w:type="dxa"/>
            <w:vAlign w:val="center"/>
          </w:tcPr>
          <w:p w14:paraId="0B97E6DF" w14:textId="3AC7989B" w:rsidR="00117CE7" w:rsidRPr="005D4FBD" w:rsidRDefault="00117CE7" w:rsidP="00BF2228">
            <w:pPr>
              <w:pStyle w:val="Nomenclature"/>
              <w:ind w:left="-51"/>
              <w:jc w:val="left"/>
              <w:rPr>
                <w:sz w:val="20"/>
                <w:szCs w:val="20"/>
              </w:rPr>
            </w:pPr>
          </w:p>
        </w:tc>
      </w:tr>
      <w:tr w:rsidR="00117CE7" w:rsidRPr="00F44E6D" w14:paraId="20166934" w14:textId="77777777" w:rsidTr="00BF2228">
        <w:tc>
          <w:tcPr>
            <w:tcW w:w="646" w:type="dxa"/>
            <w:vAlign w:val="center"/>
          </w:tcPr>
          <w:p w14:paraId="56282D0A" w14:textId="4C1E203D" w:rsidR="00117CE7" w:rsidRPr="00E83D4E" w:rsidRDefault="00117CE7" w:rsidP="00BF2228">
            <w:pPr>
              <w:pStyle w:val="Nomenclature"/>
              <w:jc w:val="left"/>
              <w:rPr>
                <w:i/>
                <w:sz w:val="20"/>
                <w:szCs w:val="20"/>
                <w:vertAlign w:val="subscript"/>
              </w:rPr>
            </w:pPr>
            <w:r>
              <w:rPr>
                <w:i/>
                <w:sz w:val="20"/>
                <w:szCs w:val="20"/>
              </w:rPr>
              <w:t>w</w:t>
            </w:r>
            <w:r>
              <w:rPr>
                <w:i/>
                <w:sz w:val="20"/>
                <w:szCs w:val="20"/>
                <w:vertAlign w:val="subscript"/>
              </w:rPr>
              <w:t>c</w:t>
            </w:r>
          </w:p>
        </w:tc>
        <w:tc>
          <w:tcPr>
            <w:tcW w:w="3069" w:type="dxa"/>
            <w:vAlign w:val="center"/>
          </w:tcPr>
          <w:p w14:paraId="5E54C98C" w14:textId="04F269C2" w:rsidR="00117CE7" w:rsidRDefault="00117CE7" w:rsidP="00BF2228">
            <w:pPr>
              <w:pStyle w:val="Nomenclature"/>
              <w:jc w:val="left"/>
              <w:rPr>
                <w:sz w:val="20"/>
                <w:szCs w:val="20"/>
              </w:rPr>
            </w:pPr>
            <w:r>
              <w:rPr>
                <w:sz w:val="20"/>
                <w:szCs w:val="20"/>
              </w:rPr>
              <w:t>channel width</w:t>
            </w:r>
          </w:p>
        </w:tc>
        <w:tc>
          <w:tcPr>
            <w:tcW w:w="983" w:type="dxa"/>
            <w:vAlign w:val="center"/>
          </w:tcPr>
          <w:p w14:paraId="75C4F5CB" w14:textId="66044028" w:rsidR="00117CE7" w:rsidRDefault="00117CE7" w:rsidP="00BF2228">
            <w:pPr>
              <w:pStyle w:val="Nomenclature"/>
              <w:ind w:left="-51"/>
              <w:jc w:val="left"/>
              <w:rPr>
                <w:sz w:val="20"/>
                <w:szCs w:val="20"/>
              </w:rPr>
            </w:pPr>
            <w:r>
              <w:rPr>
                <w:sz w:val="20"/>
                <w:szCs w:val="20"/>
              </w:rPr>
              <w:t>(m)</w:t>
            </w:r>
          </w:p>
        </w:tc>
      </w:tr>
      <w:tr w:rsidR="00117CE7" w:rsidRPr="00F44E6D" w14:paraId="1000A6D2" w14:textId="77777777" w:rsidTr="00BF2228">
        <w:tc>
          <w:tcPr>
            <w:tcW w:w="646" w:type="dxa"/>
            <w:vAlign w:val="center"/>
          </w:tcPr>
          <w:p w14:paraId="15BD0380" w14:textId="6759404A" w:rsidR="00117CE7" w:rsidRPr="00E83D4E" w:rsidRDefault="00117CE7" w:rsidP="00BF2228">
            <w:pPr>
              <w:pStyle w:val="Nomenclature"/>
              <w:jc w:val="left"/>
              <w:rPr>
                <w:i/>
                <w:sz w:val="20"/>
                <w:szCs w:val="20"/>
                <w:vertAlign w:val="subscript"/>
              </w:rPr>
            </w:pPr>
            <w:r>
              <w:rPr>
                <w:i/>
                <w:sz w:val="20"/>
                <w:szCs w:val="20"/>
              </w:rPr>
              <w:t>w</w:t>
            </w:r>
            <w:r>
              <w:rPr>
                <w:i/>
                <w:sz w:val="20"/>
                <w:szCs w:val="20"/>
                <w:vertAlign w:val="subscript"/>
              </w:rPr>
              <w:t>r</w:t>
            </w:r>
          </w:p>
        </w:tc>
        <w:tc>
          <w:tcPr>
            <w:tcW w:w="3069" w:type="dxa"/>
            <w:vAlign w:val="center"/>
          </w:tcPr>
          <w:p w14:paraId="0F3BF3BC" w14:textId="11FA6361" w:rsidR="00117CE7" w:rsidRDefault="00117CE7" w:rsidP="00BF2228">
            <w:pPr>
              <w:pStyle w:val="Nomenclature"/>
              <w:jc w:val="left"/>
              <w:rPr>
                <w:sz w:val="20"/>
                <w:szCs w:val="20"/>
              </w:rPr>
            </w:pPr>
            <w:r>
              <w:rPr>
                <w:sz w:val="20"/>
                <w:szCs w:val="20"/>
              </w:rPr>
              <w:t>leading edge width</w:t>
            </w:r>
          </w:p>
        </w:tc>
        <w:tc>
          <w:tcPr>
            <w:tcW w:w="983" w:type="dxa"/>
            <w:vAlign w:val="center"/>
          </w:tcPr>
          <w:p w14:paraId="0A02298C" w14:textId="123DC91E" w:rsidR="00117CE7" w:rsidRDefault="00117CE7" w:rsidP="00BF2228">
            <w:pPr>
              <w:pStyle w:val="Nomenclature"/>
              <w:ind w:left="-51"/>
              <w:jc w:val="left"/>
              <w:rPr>
                <w:sz w:val="20"/>
                <w:szCs w:val="20"/>
              </w:rPr>
            </w:pPr>
            <w:r>
              <w:rPr>
                <w:sz w:val="20"/>
                <w:szCs w:val="20"/>
              </w:rPr>
              <w:t>(m)</w:t>
            </w:r>
          </w:p>
        </w:tc>
      </w:tr>
      <w:tr w:rsidR="00117CE7" w:rsidRPr="00F44E6D" w14:paraId="63EBC8BA" w14:textId="77777777" w:rsidTr="00BF2228">
        <w:tc>
          <w:tcPr>
            <w:tcW w:w="646" w:type="dxa"/>
            <w:vAlign w:val="center"/>
          </w:tcPr>
          <w:p w14:paraId="3A351864" w14:textId="204500D6" w:rsidR="00117CE7" w:rsidRPr="00E83D4E" w:rsidRDefault="00117CE7" w:rsidP="00BF2228">
            <w:pPr>
              <w:pStyle w:val="Nomenclature"/>
              <w:jc w:val="left"/>
              <w:rPr>
                <w:i/>
                <w:sz w:val="20"/>
                <w:szCs w:val="20"/>
                <w:vertAlign w:val="subscript"/>
              </w:rPr>
            </w:pPr>
            <w:r>
              <w:rPr>
                <w:i/>
                <w:sz w:val="20"/>
                <w:szCs w:val="20"/>
              </w:rPr>
              <w:t>w</w:t>
            </w:r>
            <w:r>
              <w:rPr>
                <w:i/>
                <w:sz w:val="20"/>
                <w:szCs w:val="20"/>
                <w:vertAlign w:val="subscript"/>
              </w:rPr>
              <w:t>v</w:t>
            </w:r>
          </w:p>
        </w:tc>
        <w:tc>
          <w:tcPr>
            <w:tcW w:w="3069" w:type="dxa"/>
            <w:vAlign w:val="center"/>
          </w:tcPr>
          <w:p w14:paraId="21F58D6C" w14:textId="41ABBD63" w:rsidR="00117CE7" w:rsidRDefault="00117CE7" w:rsidP="00BF2228">
            <w:pPr>
              <w:pStyle w:val="Nomenclature"/>
              <w:jc w:val="left"/>
              <w:rPr>
                <w:sz w:val="20"/>
                <w:szCs w:val="20"/>
              </w:rPr>
            </w:pPr>
            <w:r>
              <w:rPr>
                <w:sz w:val="20"/>
                <w:szCs w:val="20"/>
              </w:rPr>
              <w:t>void width</w:t>
            </w:r>
          </w:p>
        </w:tc>
        <w:tc>
          <w:tcPr>
            <w:tcW w:w="983" w:type="dxa"/>
            <w:vAlign w:val="center"/>
          </w:tcPr>
          <w:p w14:paraId="643F1A96" w14:textId="35051D62" w:rsidR="00117CE7" w:rsidRDefault="00117CE7" w:rsidP="00BF2228">
            <w:pPr>
              <w:pStyle w:val="Nomenclature"/>
              <w:ind w:left="-51"/>
              <w:jc w:val="left"/>
              <w:rPr>
                <w:sz w:val="20"/>
                <w:szCs w:val="20"/>
              </w:rPr>
            </w:pPr>
            <w:r>
              <w:rPr>
                <w:sz w:val="20"/>
                <w:szCs w:val="20"/>
              </w:rPr>
              <w:t>(m)</w:t>
            </w:r>
          </w:p>
        </w:tc>
      </w:tr>
      <w:tr w:rsidR="00117CE7" w:rsidRPr="00F44E6D" w14:paraId="2AA27F73" w14:textId="77777777" w:rsidTr="00BF2228">
        <w:tc>
          <w:tcPr>
            <w:tcW w:w="646" w:type="dxa"/>
            <w:vAlign w:val="center"/>
          </w:tcPr>
          <w:p w14:paraId="2A9FDD84" w14:textId="4C6E0D68" w:rsidR="00117CE7" w:rsidRPr="005D4FBD" w:rsidRDefault="00117CE7" w:rsidP="00BF2228">
            <w:pPr>
              <w:pStyle w:val="Nomenclature"/>
              <w:jc w:val="left"/>
              <w:rPr>
                <w:i/>
                <w:sz w:val="20"/>
                <w:szCs w:val="20"/>
                <w:vertAlign w:val="subscript"/>
              </w:rPr>
            </w:pPr>
            <w:r>
              <w:rPr>
                <w:i/>
                <w:sz w:val="20"/>
                <w:szCs w:val="20"/>
              </w:rPr>
              <w:t>ẇ</w:t>
            </w:r>
            <w:r>
              <w:rPr>
                <w:i/>
                <w:sz w:val="20"/>
                <w:szCs w:val="20"/>
                <w:vertAlign w:val="subscript"/>
              </w:rPr>
              <w:t>cell</w:t>
            </w:r>
          </w:p>
        </w:tc>
        <w:tc>
          <w:tcPr>
            <w:tcW w:w="3069" w:type="dxa"/>
            <w:vAlign w:val="center"/>
          </w:tcPr>
          <w:p w14:paraId="5201E94B" w14:textId="153891D6" w:rsidR="00117CE7" w:rsidRPr="00F44E6D" w:rsidRDefault="00117CE7" w:rsidP="00BF2228">
            <w:pPr>
              <w:pStyle w:val="Nomenclature"/>
              <w:jc w:val="left"/>
              <w:rPr>
                <w:sz w:val="20"/>
                <w:szCs w:val="20"/>
              </w:rPr>
            </w:pPr>
            <w:r>
              <w:rPr>
                <w:sz w:val="20"/>
                <w:szCs w:val="20"/>
              </w:rPr>
              <w:t>power per cell volume</w:t>
            </w:r>
          </w:p>
        </w:tc>
        <w:tc>
          <w:tcPr>
            <w:tcW w:w="983" w:type="dxa"/>
            <w:vAlign w:val="center"/>
          </w:tcPr>
          <w:p w14:paraId="2E5FC201" w14:textId="5F43F07E" w:rsidR="00117CE7" w:rsidRPr="00F44E6D" w:rsidRDefault="00117CE7" w:rsidP="00BF2228">
            <w:pPr>
              <w:pStyle w:val="Nomenclature"/>
              <w:ind w:left="-51"/>
              <w:jc w:val="left"/>
              <w:rPr>
                <w:sz w:val="20"/>
                <w:szCs w:val="20"/>
              </w:rPr>
            </w:pPr>
            <w:r>
              <w:rPr>
                <w:sz w:val="20"/>
                <w:szCs w:val="20"/>
              </w:rPr>
              <w:t>(W/m</w:t>
            </w:r>
            <w:r>
              <w:rPr>
                <w:sz w:val="20"/>
                <w:szCs w:val="20"/>
                <w:vertAlign w:val="superscript"/>
              </w:rPr>
              <w:t>3</w:t>
            </w:r>
            <w:r>
              <w:rPr>
                <w:sz w:val="20"/>
                <w:szCs w:val="20"/>
              </w:rPr>
              <w:t>)</w:t>
            </w:r>
          </w:p>
        </w:tc>
      </w:tr>
      <w:tr w:rsidR="00117CE7" w:rsidRPr="00F44E6D" w14:paraId="5E9FE2FB" w14:textId="77777777" w:rsidTr="00BF2228">
        <w:tc>
          <w:tcPr>
            <w:tcW w:w="646" w:type="dxa"/>
            <w:vAlign w:val="center"/>
          </w:tcPr>
          <w:p w14:paraId="37002583" w14:textId="50CCE397" w:rsidR="00117CE7" w:rsidRPr="0039704B" w:rsidRDefault="00117CE7" w:rsidP="00BF2228">
            <w:pPr>
              <w:pStyle w:val="Nomenclature"/>
              <w:jc w:val="left"/>
              <w:rPr>
                <w:i/>
                <w:sz w:val="20"/>
                <w:szCs w:val="20"/>
                <w:vertAlign w:val="subscript"/>
              </w:rPr>
            </w:pPr>
            <w:r>
              <w:rPr>
                <w:i/>
                <w:sz w:val="20"/>
                <w:szCs w:val="20"/>
              </w:rPr>
              <w:t>ẇ</w:t>
            </w:r>
            <w:r>
              <w:rPr>
                <w:i/>
                <w:sz w:val="20"/>
                <w:szCs w:val="20"/>
                <w:vertAlign w:val="subscript"/>
              </w:rPr>
              <w:t>fuel</w:t>
            </w:r>
          </w:p>
        </w:tc>
        <w:tc>
          <w:tcPr>
            <w:tcW w:w="3069" w:type="dxa"/>
            <w:vAlign w:val="center"/>
          </w:tcPr>
          <w:p w14:paraId="1BABD80D" w14:textId="36FC78DF" w:rsidR="00117CE7" w:rsidRPr="00F44E6D" w:rsidRDefault="00117CE7" w:rsidP="00BF2228">
            <w:pPr>
              <w:pStyle w:val="Nomenclature"/>
              <w:jc w:val="left"/>
              <w:rPr>
                <w:sz w:val="20"/>
                <w:szCs w:val="20"/>
              </w:rPr>
            </w:pPr>
            <w:r>
              <w:rPr>
                <w:sz w:val="20"/>
                <w:szCs w:val="20"/>
              </w:rPr>
              <w:t>power per fuel meat volume</w:t>
            </w:r>
          </w:p>
        </w:tc>
        <w:tc>
          <w:tcPr>
            <w:tcW w:w="983" w:type="dxa"/>
            <w:vAlign w:val="center"/>
          </w:tcPr>
          <w:p w14:paraId="2A8C2CD0" w14:textId="51309B91" w:rsidR="00117CE7" w:rsidRPr="0039704B" w:rsidRDefault="00117CE7" w:rsidP="00BF2228">
            <w:pPr>
              <w:pStyle w:val="Nomenclature"/>
              <w:ind w:left="-51"/>
              <w:jc w:val="left"/>
              <w:rPr>
                <w:sz w:val="20"/>
                <w:szCs w:val="20"/>
              </w:rPr>
            </w:pPr>
            <w:r>
              <w:rPr>
                <w:sz w:val="20"/>
                <w:szCs w:val="20"/>
              </w:rPr>
              <w:t>(W/m</w:t>
            </w:r>
            <w:r>
              <w:rPr>
                <w:sz w:val="20"/>
                <w:szCs w:val="20"/>
                <w:vertAlign w:val="superscript"/>
              </w:rPr>
              <w:t>3</w:t>
            </w:r>
            <w:r>
              <w:rPr>
                <w:sz w:val="20"/>
                <w:szCs w:val="20"/>
              </w:rPr>
              <w:t>)</w:t>
            </w:r>
          </w:p>
        </w:tc>
      </w:tr>
      <w:tr w:rsidR="00117CE7" w:rsidRPr="00F44E6D" w14:paraId="46D054FA" w14:textId="77777777" w:rsidTr="00BF2228">
        <w:tc>
          <w:tcPr>
            <w:tcW w:w="646" w:type="dxa"/>
            <w:vAlign w:val="center"/>
          </w:tcPr>
          <w:p w14:paraId="36D39299" w14:textId="5CF57FB1" w:rsidR="00117CE7" w:rsidRPr="0039704B" w:rsidRDefault="00117CE7" w:rsidP="00BF2228">
            <w:pPr>
              <w:pStyle w:val="Nomenclature"/>
              <w:jc w:val="left"/>
              <w:rPr>
                <w:i/>
                <w:sz w:val="20"/>
                <w:szCs w:val="20"/>
                <w:vertAlign w:val="subscript"/>
              </w:rPr>
            </w:pPr>
            <w:r>
              <w:rPr>
                <w:i/>
                <w:sz w:val="20"/>
                <w:szCs w:val="20"/>
              </w:rPr>
              <w:t>Ẇ</w:t>
            </w:r>
            <w:r>
              <w:rPr>
                <w:i/>
                <w:sz w:val="20"/>
                <w:szCs w:val="20"/>
                <w:vertAlign w:val="subscript"/>
              </w:rPr>
              <w:t>core</w:t>
            </w:r>
          </w:p>
        </w:tc>
        <w:tc>
          <w:tcPr>
            <w:tcW w:w="3069" w:type="dxa"/>
            <w:vAlign w:val="center"/>
          </w:tcPr>
          <w:p w14:paraId="6DABC222" w14:textId="6826FC05" w:rsidR="00117CE7" w:rsidRPr="00F44E6D" w:rsidRDefault="00117CE7" w:rsidP="00BF2228">
            <w:pPr>
              <w:pStyle w:val="Nomenclature"/>
              <w:jc w:val="left"/>
              <w:rPr>
                <w:sz w:val="20"/>
                <w:szCs w:val="20"/>
              </w:rPr>
            </w:pPr>
            <w:r>
              <w:rPr>
                <w:sz w:val="20"/>
                <w:szCs w:val="20"/>
              </w:rPr>
              <w:t>total reactor core power output</w:t>
            </w:r>
          </w:p>
        </w:tc>
        <w:tc>
          <w:tcPr>
            <w:tcW w:w="983" w:type="dxa"/>
            <w:vAlign w:val="center"/>
          </w:tcPr>
          <w:p w14:paraId="71438849" w14:textId="7A8860C6" w:rsidR="00117CE7" w:rsidRPr="0039704B" w:rsidRDefault="00117CE7" w:rsidP="00BF2228">
            <w:pPr>
              <w:pStyle w:val="Nomenclature"/>
              <w:ind w:left="-51"/>
              <w:jc w:val="left"/>
              <w:rPr>
                <w:sz w:val="20"/>
                <w:szCs w:val="20"/>
              </w:rPr>
            </w:pPr>
            <w:r>
              <w:rPr>
                <w:sz w:val="20"/>
                <w:szCs w:val="20"/>
              </w:rPr>
              <w:t>(W)</w:t>
            </w:r>
          </w:p>
        </w:tc>
      </w:tr>
      <w:tr w:rsidR="00117CE7" w:rsidRPr="00F44E6D" w14:paraId="47A16C7C" w14:textId="77777777" w:rsidTr="00BF2228">
        <w:tc>
          <w:tcPr>
            <w:tcW w:w="646" w:type="dxa"/>
            <w:vAlign w:val="center"/>
          </w:tcPr>
          <w:p w14:paraId="4158C96C" w14:textId="194EAE7B" w:rsidR="00117CE7" w:rsidRPr="0039704B" w:rsidRDefault="00117CE7" w:rsidP="00BF2228">
            <w:pPr>
              <w:pStyle w:val="Nomenclature"/>
              <w:jc w:val="left"/>
              <w:rPr>
                <w:i/>
                <w:sz w:val="20"/>
                <w:szCs w:val="20"/>
                <w:vertAlign w:val="subscript"/>
              </w:rPr>
            </w:pPr>
            <w:r>
              <w:rPr>
                <w:i/>
                <w:sz w:val="20"/>
                <w:szCs w:val="20"/>
              </w:rPr>
              <w:t>Ẇ</w:t>
            </w:r>
            <w:r>
              <w:rPr>
                <w:i/>
                <w:sz w:val="20"/>
                <w:szCs w:val="20"/>
                <w:vertAlign w:val="subscript"/>
              </w:rPr>
              <w:t>plate</w:t>
            </w:r>
          </w:p>
        </w:tc>
        <w:tc>
          <w:tcPr>
            <w:tcW w:w="3069" w:type="dxa"/>
            <w:vAlign w:val="center"/>
          </w:tcPr>
          <w:p w14:paraId="0633FC78" w14:textId="2D8C24FB" w:rsidR="00117CE7" w:rsidRPr="00F44E6D" w:rsidRDefault="00117CE7" w:rsidP="00BF2228">
            <w:pPr>
              <w:pStyle w:val="Nomenclature"/>
              <w:jc w:val="left"/>
              <w:rPr>
                <w:sz w:val="20"/>
                <w:szCs w:val="20"/>
              </w:rPr>
            </w:pPr>
            <w:r>
              <w:rPr>
                <w:sz w:val="20"/>
                <w:szCs w:val="20"/>
              </w:rPr>
              <w:t>total fuel plate power output</w:t>
            </w:r>
          </w:p>
        </w:tc>
        <w:tc>
          <w:tcPr>
            <w:tcW w:w="983" w:type="dxa"/>
            <w:vAlign w:val="center"/>
          </w:tcPr>
          <w:p w14:paraId="13693EF8" w14:textId="2A87081B" w:rsidR="00117CE7" w:rsidRPr="00F44E6D" w:rsidRDefault="00117CE7" w:rsidP="00BF2228">
            <w:pPr>
              <w:pStyle w:val="Nomenclature"/>
              <w:ind w:left="-51"/>
              <w:jc w:val="left"/>
              <w:rPr>
                <w:sz w:val="20"/>
                <w:szCs w:val="20"/>
              </w:rPr>
            </w:pPr>
            <w:r>
              <w:rPr>
                <w:sz w:val="20"/>
                <w:szCs w:val="20"/>
              </w:rPr>
              <w:t>(W)</w:t>
            </w:r>
          </w:p>
        </w:tc>
      </w:tr>
      <w:tr w:rsidR="00117CE7" w:rsidRPr="00F44E6D" w14:paraId="0A2A73CF" w14:textId="77777777" w:rsidTr="00BF2228">
        <w:tc>
          <w:tcPr>
            <w:tcW w:w="646" w:type="dxa"/>
            <w:vAlign w:val="center"/>
          </w:tcPr>
          <w:p w14:paraId="16CBBA53" w14:textId="54570C7D" w:rsidR="00117CE7" w:rsidRPr="0039704B" w:rsidRDefault="00117CE7" w:rsidP="00BF2228">
            <w:pPr>
              <w:pStyle w:val="Nomenclature"/>
              <w:jc w:val="left"/>
              <w:rPr>
                <w:i/>
                <w:sz w:val="20"/>
                <w:szCs w:val="20"/>
                <w:vertAlign w:val="subscript"/>
              </w:rPr>
            </w:pPr>
            <w:r>
              <w:rPr>
                <w:i/>
                <w:sz w:val="20"/>
                <w:szCs w:val="20"/>
              </w:rPr>
              <w:t>x, y</w:t>
            </w:r>
          </w:p>
        </w:tc>
        <w:tc>
          <w:tcPr>
            <w:tcW w:w="3069" w:type="dxa"/>
            <w:vAlign w:val="center"/>
          </w:tcPr>
          <w:p w14:paraId="20B7BD7F" w14:textId="31EDC70B" w:rsidR="00117CE7" w:rsidRPr="00F44E6D" w:rsidRDefault="00117CE7" w:rsidP="00BF2228">
            <w:pPr>
              <w:pStyle w:val="Nomenclature"/>
              <w:jc w:val="left"/>
              <w:rPr>
                <w:sz w:val="20"/>
                <w:szCs w:val="20"/>
              </w:rPr>
            </w:pPr>
            <w:r>
              <w:rPr>
                <w:sz w:val="20"/>
                <w:szCs w:val="20"/>
              </w:rPr>
              <w:t>Cartesian coordinates 1 &amp; 2</w:t>
            </w:r>
          </w:p>
        </w:tc>
        <w:tc>
          <w:tcPr>
            <w:tcW w:w="983" w:type="dxa"/>
            <w:vAlign w:val="center"/>
          </w:tcPr>
          <w:p w14:paraId="43ED8595" w14:textId="15756958" w:rsidR="00117CE7" w:rsidRPr="00F44E6D" w:rsidRDefault="00117CE7" w:rsidP="00BF2228">
            <w:pPr>
              <w:pStyle w:val="Nomenclature"/>
              <w:ind w:left="-51"/>
              <w:jc w:val="left"/>
              <w:rPr>
                <w:sz w:val="20"/>
                <w:szCs w:val="20"/>
              </w:rPr>
            </w:pPr>
            <w:r>
              <w:rPr>
                <w:sz w:val="20"/>
                <w:szCs w:val="20"/>
              </w:rPr>
              <w:t>(m)</w:t>
            </w:r>
          </w:p>
        </w:tc>
      </w:tr>
      <w:tr w:rsidR="00117CE7" w:rsidRPr="00F44E6D" w14:paraId="457E6530" w14:textId="77777777" w:rsidTr="00BF2228">
        <w:tc>
          <w:tcPr>
            <w:tcW w:w="646" w:type="dxa"/>
            <w:vAlign w:val="center"/>
          </w:tcPr>
          <w:p w14:paraId="19A9750A" w14:textId="6D273DA9" w:rsidR="00117CE7" w:rsidRPr="00F44E6D" w:rsidRDefault="00117CE7" w:rsidP="00BF2228">
            <w:pPr>
              <w:pStyle w:val="Nomenclature"/>
              <w:jc w:val="left"/>
              <w:rPr>
                <w:i/>
                <w:sz w:val="20"/>
                <w:szCs w:val="20"/>
              </w:rPr>
            </w:pPr>
            <w:r>
              <w:rPr>
                <w:i/>
                <w:sz w:val="20"/>
                <w:szCs w:val="20"/>
              </w:rPr>
              <w:t>y</w:t>
            </w:r>
            <w:r>
              <w:rPr>
                <w:i/>
                <w:sz w:val="20"/>
                <w:szCs w:val="20"/>
                <w:vertAlign w:val="subscript"/>
              </w:rPr>
              <w:t>c</w:t>
            </w:r>
          </w:p>
        </w:tc>
        <w:tc>
          <w:tcPr>
            <w:tcW w:w="3069" w:type="dxa"/>
            <w:vAlign w:val="center"/>
          </w:tcPr>
          <w:p w14:paraId="14FBB3E3" w14:textId="27BD7155" w:rsidR="00117CE7" w:rsidRPr="00F44E6D" w:rsidRDefault="00117CE7" w:rsidP="00BF2228">
            <w:pPr>
              <w:pStyle w:val="Nomenclature"/>
              <w:jc w:val="left"/>
              <w:rPr>
                <w:sz w:val="20"/>
                <w:szCs w:val="20"/>
              </w:rPr>
            </w:pPr>
            <w:r>
              <w:rPr>
                <w:sz w:val="20"/>
                <w:szCs w:val="20"/>
              </w:rPr>
              <w:t>perpendicular wall coordinate</w:t>
            </w:r>
          </w:p>
        </w:tc>
        <w:tc>
          <w:tcPr>
            <w:tcW w:w="983" w:type="dxa"/>
            <w:vAlign w:val="center"/>
          </w:tcPr>
          <w:p w14:paraId="1730C83C" w14:textId="2CA265C7" w:rsidR="00117CE7" w:rsidRPr="00F44E6D" w:rsidRDefault="00117CE7" w:rsidP="00BF2228">
            <w:pPr>
              <w:pStyle w:val="Nomenclature"/>
              <w:ind w:left="-51"/>
              <w:jc w:val="left"/>
              <w:rPr>
                <w:sz w:val="20"/>
                <w:szCs w:val="20"/>
              </w:rPr>
            </w:pPr>
            <w:r>
              <w:rPr>
                <w:sz w:val="20"/>
                <w:szCs w:val="20"/>
              </w:rPr>
              <w:t>(m)</w:t>
            </w:r>
          </w:p>
        </w:tc>
      </w:tr>
      <w:tr w:rsidR="00117CE7" w:rsidRPr="00F44E6D" w14:paraId="5BA36183" w14:textId="77777777" w:rsidTr="00BF2228">
        <w:tc>
          <w:tcPr>
            <w:tcW w:w="646" w:type="dxa"/>
            <w:vAlign w:val="center"/>
          </w:tcPr>
          <w:p w14:paraId="25E3F9C5" w14:textId="03E96A5F" w:rsidR="00117CE7" w:rsidRPr="00B67D60" w:rsidRDefault="00117CE7" w:rsidP="00CE4D7E">
            <w:pPr>
              <w:pStyle w:val="Nomenclature"/>
              <w:ind w:left="-54"/>
              <w:jc w:val="left"/>
              <w:rPr>
                <w:i/>
                <w:sz w:val="20"/>
                <w:szCs w:val="20"/>
                <w:vertAlign w:val="subscript"/>
              </w:rPr>
            </w:pPr>
            <w:r w:rsidRPr="004C1A6F">
              <w:rPr>
                <w:position w:val="-10"/>
              </w:rPr>
              <w:object w:dxaOrig="300" w:dyaOrig="360" w14:anchorId="19C2E87B">
                <v:shape id="_x0000_i1038" type="#_x0000_t75" style="width:15.05pt;height:18.25pt" o:ole="">
                  <v:imagedata r:id="rId37" o:title=""/>
                </v:shape>
                <o:OLEObject Type="Embed" ProgID="Equation.3" ShapeID="_x0000_i1038" DrawAspect="Content" ObjectID="_1457171691" r:id="rId38"/>
              </w:object>
            </w:r>
          </w:p>
        </w:tc>
        <w:tc>
          <w:tcPr>
            <w:tcW w:w="3069" w:type="dxa"/>
            <w:vAlign w:val="center"/>
          </w:tcPr>
          <w:p w14:paraId="35F1D3BB" w14:textId="54B5E87C" w:rsidR="00117CE7" w:rsidRDefault="00117CE7" w:rsidP="00BF2228">
            <w:pPr>
              <w:pStyle w:val="Nomenclature"/>
              <w:jc w:val="left"/>
              <w:rPr>
                <w:sz w:val="20"/>
                <w:szCs w:val="20"/>
              </w:rPr>
            </w:pPr>
            <w:r>
              <w:rPr>
                <w:sz w:val="20"/>
                <w:szCs w:val="20"/>
              </w:rPr>
              <w:t>dimensionless wall coordinate</w:t>
            </w:r>
          </w:p>
        </w:tc>
        <w:tc>
          <w:tcPr>
            <w:tcW w:w="983" w:type="dxa"/>
            <w:vAlign w:val="center"/>
          </w:tcPr>
          <w:p w14:paraId="19548C9F" w14:textId="24A909CB" w:rsidR="00117CE7" w:rsidRDefault="00117CE7" w:rsidP="00BF2228">
            <w:pPr>
              <w:pStyle w:val="Nomenclature"/>
              <w:ind w:left="-51"/>
              <w:jc w:val="left"/>
              <w:rPr>
                <w:sz w:val="20"/>
                <w:szCs w:val="20"/>
              </w:rPr>
            </w:pPr>
          </w:p>
        </w:tc>
      </w:tr>
      <w:tr w:rsidR="00117CE7" w:rsidRPr="00F44E6D" w14:paraId="7D748278" w14:textId="77777777" w:rsidTr="00BF2228">
        <w:tc>
          <w:tcPr>
            <w:tcW w:w="646" w:type="dxa"/>
            <w:vAlign w:val="center"/>
          </w:tcPr>
          <w:p w14:paraId="7B3D05A6" w14:textId="31BC6CDC" w:rsidR="00117CE7" w:rsidRDefault="00117CE7" w:rsidP="00BF2228">
            <w:pPr>
              <w:pStyle w:val="Nomenclature"/>
              <w:spacing w:after="0"/>
              <w:jc w:val="left"/>
              <w:rPr>
                <w:i/>
                <w:sz w:val="20"/>
                <w:szCs w:val="20"/>
              </w:rPr>
            </w:pPr>
            <w:r>
              <w:rPr>
                <w:i/>
                <w:sz w:val="20"/>
                <w:szCs w:val="20"/>
              </w:rPr>
              <w:t>z</w:t>
            </w:r>
          </w:p>
        </w:tc>
        <w:tc>
          <w:tcPr>
            <w:tcW w:w="3069" w:type="dxa"/>
            <w:vAlign w:val="center"/>
          </w:tcPr>
          <w:p w14:paraId="6F0E9B2D" w14:textId="48070FEF" w:rsidR="00117CE7" w:rsidRDefault="00117CE7" w:rsidP="00BF2228">
            <w:pPr>
              <w:pStyle w:val="Nomenclature"/>
              <w:jc w:val="left"/>
              <w:rPr>
                <w:sz w:val="20"/>
                <w:szCs w:val="20"/>
              </w:rPr>
            </w:pPr>
            <w:r>
              <w:rPr>
                <w:sz w:val="20"/>
                <w:szCs w:val="20"/>
              </w:rPr>
              <w:t>axial coordinate (Cartesian 3)</w:t>
            </w:r>
          </w:p>
        </w:tc>
        <w:tc>
          <w:tcPr>
            <w:tcW w:w="983" w:type="dxa"/>
            <w:vAlign w:val="center"/>
          </w:tcPr>
          <w:p w14:paraId="1E640084" w14:textId="4F84B910" w:rsidR="00117CE7" w:rsidRDefault="00117CE7" w:rsidP="00BF2228">
            <w:pPr>
              <w:pStyle w:val="Nomenclature"/>
              <w:ind w:left="-51"/>
              <w:jc w:val="left"/>
              <w:rPr>
                <w:sz w:val="20"/>
                <w:szCs w:val="20"/>
              </w:rPr>
            </w:pPr>
            <w:r>
              <w:rPr>
                <w:sz w:val="20"/>
                <w:szCs w:val="20"/>
              </w:rPr>
              <w:t>(m)</w:t>
            </w:r>
          </w:p>
        </w:tc>
      </w:tr>
      <w:tr w:rsidR="00117CE7" w:rsidRPr="00F44E6D" w14:paraId="39757193" w14:textId="77777777" w:rsidTr="00BF2228">
        <w:tc>
          <w:tcPr>
            <w:tcW w:w="646" w:type="dxa"/>
            <w:vAlign w:val="center"/>
          </w:tcPr>
          <w:p w14:paraId="2855BA36" w14:textId="0E578B39" w:rsidR="00117CE7" w:rsidRPr="002C6461" w:rsidRDefault="00117CE7" w:rsidP="00BF2228">
            <w:pPr>
              <w:pStyle w:val="Nomenclature"/>
              <w:spacing w:after="0"/>
              <w:jc w:val="left"/>
              <w:rPr>
                <w:i/>
                <w:sz w:val="20"/>
                <w:szCs w:val="20"/>
                <w:vertAlign w:val="subscript"/>
              </w:rPr>
            </w:pPr>
            <w:r>
              <w:rPr>
                <w:i/>
                <w:sz w:val="20"/>
                <w:szCs w:val="20"/>
              </w:rPr>
              <w:t>z</w:t>
            </w:r>
            <w:r>
              <w:rPr>
                <w:i/>
                <w:sz w:val="20"/>
                <w:szCs w:val="20"/>
                <w:vertAlign w:val="subscript"/>
              </w:rPr>
              <w:t>c</w:t>
            </w:r>
          </w:p>
        </w:tc>
        <w:tc>
          <w:tcPr>
            <w:tcW w:w="3069" w:type="dxa"/>
            <w:vAlign w:val="center"/>
          </w:tcPr>
          <w:p w14:paraId="7BD577EA" w14:textId="48EB50A4" w:rsidR="00117CE7" w:rsidRDefault="00117CE7" w:rsidP="00BF2228">
            <w:pPr>
              <w:pStyle w:val="Nomenclature"/>
              <w:jc w:val="left"/>
              <w:rPr>
                <w:sz w:val="20"/>
                <w:szCs w:val="20"/>
              </w:rPr>
            </w:pPr>
            <w:r>
              <w:rPr>
                <w:sz w:val="20"/>
                <w:szCs w:val="20"/>
              </w:rPr>
              <w:t>axial coordinate 2D domain</w:t>
            </w:r>
          </w:p>
        </w:tc>
        <w:tc>
          <w:tcPr>
            <w:tcW w:w="983" w:type="dxa"/>
            <w:vAlign w:val="center"/>
          </w:tcPr>
          <w:p w14:paraId="47664518" w14:textId="15B6513F" w:rsidR="00117CE7" w:rsidRDefault="00117CE7" w:rsidP="00BF2228">
            <w:pPr>
              <w:pStyle w:val="Nomenclature"/>
              <w:ind w:left="-51"/>
              <w:jc w:val="left"/>
              <w:rPr>
                <w:sz w:val="20"/>
                <w:szCs w:val="20"/>
              </w:rPr>
            </w:pPr>
            <w:r>
              <w:rPr>
                <w:sz w:val="20"/>
                <w:szCs w:val="20"/>
              </w:rPr>
              <w:t>(m)</w:t>
            </w:r>
          </w:p>
        </w:tc>
      </w:tr>
      <w:tr w:rsidR="00117CE7" w:rsidRPr="00F44E6D" w14:paraId="0DF1C768" w14:textId="77777777" w:rsidTr="00BF2228">
        <w:tc>
          <w:tcPr>
            <w:tcW w:w="646" w:type="dxa"/>
            <w:vAlign w:val="center"/>
          </w:tcPr>
          <w:p w14:paraId="2D07EC24" w14:textId="3C3699C8" w:rsidR="00117CE7" w:rsidRPr="002C6461" w:rsidRDefault="00117CE7" w:rsidP="00BF2228">
            <w:pPr>
              <w:pStyle w:val="Nomenclature"/>
              <w:spacing w:after="0"/>
              <w:jc w:val="left"/>
              <w:rPr>
                <w:i/>
                <w:sz w:val="20"/>
                <w:szCs w:val="20"/>
                <w:vertAlign w:val="subscript"/>
              </w:rPr>
            </w:pPr>
            <w:r>
              <w:rPr>
                <w:i/>
                <w:sz w:val="20"/>
                <w:szCs w:val="20"/>
              </w:rPr>
              <w:t>z</w:t>
            </w:r>
            <w:r>
              <w:rPr>
                <w:i/>
                <w:sz w:val="20"/>
                <w:szCs w:val="20"/>
                <w:vertAlign w:val="subscript"/>
              </w:rPr>
              <w:t>p</w:t>
            </w:r>
          </w:p>
        </w:tc>
        <w:tc>
          <w:tcPr>
            <w:tcW w:w="3069" w:type="dxa"/>
            <w:vAlign w:val="center"/>
          </w:tcPr>
          <w:p w14:paraId="23FAFB98" w14:textId="577698B9" w:rsidR="00117CE7" w:rsidRDefault="00117CE7" w:rsidP="00BF2228">
            <w:pPr>
              <w:pStyle w:val="Nomenclature"/>
              <w:jc w:val="left"/>
              <w:rPr>
                <w:sz w:val="20"/>
                <w:szCs w:val="20"/>
              </w:rPr>
            </w:pPr>
            <w:r>
              <w:rPr>
                <w:sz w:val="20"/>
                <w:szCs w:val="20"/>
              </w:rPr>
              <w:t>axial coordinate 3D domain</w:t>
            </w:r>
          </w:p>
        </w:tc>
        <w:tc>
          <w:tcPr>
            <w:tcW w:w="983" w:type="dxa"/>
            <w:vAlign w:val="center"/>
          </w:tcPr>
          <w:p w14:paraId="6E92B9E0" w14:textId="4AABCF25" w:rsidR="00117CE7" w:rsidRDefault="00117CE7" w:rsidP="00BF2228">
            <w:pPr>
              <w:pStyle w:val="Nomenclature"/>
              <w:ind w:left="-51"/>
              <w:jc w:val="left"/>
              <w:rPr>
                <w:sz w:val="20"/>
                <w:szCs w:val="20"/>
              </w:rPr>
            </w:pPr>
            <w:r>
              <w:rPr>
                <w:sz w:val="20"/>
                <w:szCs w:val="20"/>
              </w:rPr>
              <w:t>(m)</w:t>
            </w:r>
          </w:p>
        </w:tc>
      </w:tr>
      <w:tr w:rsidR="00117CE7" w:rsidRPr="00F44E6D" w14:paraId="2C0C1E85" w14:textId="77777777" w:rsidTr="00BF2228">
        <w:tc>
          <w:tcPr>
            <w:tcW w:w="646" w:type="dxa"/>
            <w:vAlign w:val="center"/>
          </w:tcPr>
          <w:p w14:paraId="1CFCAF8B" w14:textId="68958212" w:rsidR="00117CE7" w:rsidRPr="00F44E6D" w:rsidRDefault="00117CE7" w:rsidP="00BF2228">
            <w:pPr>
              <w:pStyle w:val="Nomenclature"/>
              <w:jc w:val="left"/>
              <w:rPr>
                <w:i/>
                <w:sz w:val="20"/>
                <w:szCs w:val="20"/>
              </w:rPr>
            </w:pPr>
          </w:p>
        </w:tc>
        <w:tc>
          <w:tcPr>
            <w:tcW w:w="3069" w:type="dxa"/>
            <w:vAlign w:val="center"/>
          </w:tcPr>
          <w:p w14:paraId="24E71774" w14:textId="61AC9CE0" w:rsidR="00117CE7" w:rsidRPr="00F44E6D" w:rsidRDefault="00117CE7" w:rsidP="00BF2228">
            <w:pPr>
              <w:pStyle w:val="Nomenclature"/>
              <w:jc w:val="left"/>
              <w:rPr>
                <w:sz w:val="20"/>
                <w:szCs w:val="20"/>
              </w:rPr>
            </w:pPr>
          </w:p>
        </w:tc>
        <w:tc>
          <w:tcPr>
            <w:tcW w:w="983" w:type="dxa"/>
            <w:vAlign w:val="center"/>
          </w:tcPr>
          <w:p w14:paraId="507B7A35" w14:textId="34E5A270" w:rsidR="00117CE7" w:rsidRPr="00F44E6D" w:rsidRDefault="00117CE7" w:rsidP="00BF2228">
            <w:pPr>
              <w:pStyle w:val="Nomenclature"/>
              <w:ind w:left="-51"/>
              <w:jc w:val="left"/>
              <w:rPr>
                <w:sz w:val="20"/>
                <w:szCs w:val="20"/>
              </w:rPr>
            </w:pPr>
          </w:p>
        </w:tc>
      </w:tr>
      <w:tr w:rsidR="00117CE7" w:rsidRPr="00F44E6D" w14:paraId="2D854636" w14:textId="77777777" w:rsidTr="00BF2228">
        <w:tc>
          <w:tcPr>
            <w:tcW w:w="646" w:type="dxa"/>
            <w:vAlign w:val="center"/>
          </w:tcPr>
          <w:p w14:paraId="62DCB34D" w14:textId="6E184A41" w:rsidR="00117CE7" w:rsidRPr="00F44E6D" w:rsidRDefault="00117CE7" w:rsidP="00BF2228">
            <w:pPr>
              <w:pStyle w:val="Nomenclature"/>
              <w:jc w:val="left"/>
              <w:rPr>
                <w:i/>
                <w:sz w:val="20"/>
                <w:szCs w:val="20"/>
              </w:rPr>
            </w:pPr>
            <w:r>
              <w:rPr>
                <w:i/>
                <w:sz w:val="20"/>
                <w:szCs w:val="20"/>
              </w:rPr>
              <w:t>α</w:t>
            </w:r>
          </w:p>
        </w:tc>
        <w:tc>
          <w:tcPr>
            <w:tcW w:w="3069" w:type="dxa"/>
            <w:vAlign w:val="center"/>
          </w:tcPr>
          <w:p w14:paraId="47D77B73" w14:textId="577226AC" w:rsidR="00117CE7" w:rsidRPr="00F44E6D" w:rsidRDefault="00117CE7" w:rsidP="00BF2228">
            <w:pPr>
              <w:pStyle w:val="Nomenclature"/>
              <w:jc w:val="left"/>
              <w:rPr>
                <w:sz w:val="20"/>
                <w:szCs w:val="20"/>
              </w:rPr>
            </w:pPr>
            <w:r>
              <w:rPr>
                <w:sz w:val="20"/>
                <w:szCs w:val="20"/>
              </w:rPr>
              <w:t>involute arc angular coordinate</w:t>
            </w:r>
          </w:p>
        </w:tc>
        <w:tc>
          <w:tcPr>
            <w:tcW w:w="983" w:type="dxa"/>
            <w:vAlign w:val="center"/>
          </w:tcPr>
          <w:p w14:paraId="30A7B987" w14:textId="20A17BD4" w:rsidR="00117CE7" w:rsidRPr="00F44E6D" w:rsidRDefault="00117CE7" w:rsidP="00BF2228">
            <w:pPr>
              <w:pStyle w:val="Nomenclature"/>
              <w:ind w:left="-51"/>
              <w:jc w:val="left"/>
              <w:rPr>
                <w:sz w:val="20"/>
                <w:szCs w:val="20"/>
              </w:rPr>
            </w:pPr>
            <w:r>
              <w:rPr>
                <w:sz w:val="20"/>
                <w:szCs w:val="20"/>
              </w:rPr>
              <w:t>(rad)</w:t>
            </w:r>
          </w:p>
        </w:tc>
      </w:tr>
      <w:tr w:rsidR="00117CE7" w:rsidRPr="00F44E6D" w14:paraId="03565521" w14:textId="77777777" w:rsidTr="00BF2228">
        <w:tc>
          <w:tcPr>
            <w:tcW w:w="646" w:type="dxa"/>
            <w:vAlign w:val="center"/>
          </w:tcPr>
          <w:p w14:paraId="6CE35B1C" w14:textId="6E71D912" w:rsidR="00117CE7" w:rsidRPr="00F44E6D" w:rsidRDefault="00117CE7" w:rsidP="00BF2228">
            <w:pPr>
              <w:pStyle w:val="Nomenclature"/>
              <w:jc w:val="left"/>
              <w:rPr>
                <w:i/>
                <w:sz w:val="20"/>
                <w:szCs w:val="20"/>
              </w:rPr>
            </w:pPr>
            <w:r>
              <w:rPr>
                <w:i/>
                <w:sz w:val="20"/>
                <w:szCs w:val="20"/>
              </w:rPr>
              <w:t>α</w:t>
            </w:r>
            <w:r>
              <w:rPr>
                <w:i/>
                <w:sz w:val="20"/>
                <w:szCs w:val="20"/>
                <w:vertAlign w:val="subscript"/>
              </w:rPr>
              <w:t>o</w:t>
            </w:r>
          </w:p>
        </w:tc>
        <w:tc>
          <w:tcPr>
            <w:tcW w:w="3069" w:type="dxa"/>
            <w:vAlign w:val="center"/>
          </w:tcPr>
          <w:p w14:paraId="692B24AD" w14:textId="3E425490" w:rsidR="00117CE7" w:rsidRPr="00F44E6D" w:rsidRDefault="00117CE7" w:rsidP="00BF2228">
            <w:pPr>
              <w:pStyle w:val="Nomenclature"/>
              <w:jc w:val="left"/>
              <w:rPr>
                <w:sz w:val="20"/>
                <w:szCs w:val="20"/>
              </w:rPr>
            </w:pPr>
            <w:r>
              <w:rPr>
                <w:sz w:val="20"/>
                <w:szCs w:val="20"/>
              </w:rPr>
              <w:t>initial involute arc angular coord</w:t>
            </w:r>
          </w:p>
        </w:tc>
        <w:tc>
          <w:tcPr>
            <w:tcW w:w="983" w:type="dxa"/>
            <w:vAlign w:val="center"/>
          </w:tcPr>
          <w:p w14:paraId="372AE314" w14:textId="698A01BF" w:rsidR="00117CE7" w:rsidRPr="00F44E6D" w:rsidRDefault="00117CE7" w:rsidP="00BF2228">
            <w:pPr>
              <w:pStyle w:val="Nomenclature"/>
              <w:ind w:left="-51"/>
              <w:jc w:val="left"/>
              <w:rPr>
                <w:sz w:val="20"/>
                <w:szCs w:val="20"/>
              </w:rPr>
            </w:pPr>
            <w:r>
              <w:rPr>
                <w:sz w:val="20"/>
                <w:szCs w:val="20"/>
              </w:rPr>
              <w:t>(rad)</w:t>
            </w:r>
          </w:p>
        </w:tc>
      </w:tr>
      <w:tr w:rsidR="00117CE7" w:rsidRPr="00F44E6D" w14:paraId="68FEEF76" w14:textId="77777777" w:rsidTr="00BF2228">
        <w:tc>
          <w:tcPr>
            <w:tcW w:w="646" w:type="dxa"/>
            <w:vAlign w:val="center"/>
          </w:tcPr>
          <w:p w14:paraId="220C84D1" w14:textId="2537D242" w:rsidR="00117CE7" w:rsidRPr="0039704B" w:rsidRDefault="00117CE7" w:rsidP="00BF2228">
            <w:pPr>
              <w:pStyle w:val="Nomenclature"/>
              <w:jc w:val="left"/>
              <w:rPr>
                <w:i/>
                <w:sz w:val="20"/>
                <w:szCs w:val="20"/>
                <w:vertAlign w:val="subscript"/>
              </w:rPr>
            </w:pPr>
            <w:r>
              <w:rPr>
                <w:i/>
                <w:sz w:val="20"/>
                <w:szCs w:val="20"/>
              </w:rPr>
              <w:t>δ</w:t>
            </w:r>
            <w:r>
              <w:rPr>
                <w:i/>
                <w:sz w:val="20"/>
                <w:szCs w:val="20"/>
                <w:vertAlign w:val="subscript"/>
              </w:rPr>
              <w:t>w</w:t>
            </w:r>
          </w:p>
        </w:tc>
        <w:tc>
          <w:tcPr>
            <w:tcW w:w="3069" w:type="dxa"/>
            <w:vAlign w:val="center"/>
          </w:tcPr>
          <w:p w14:paraId="555017BF" w14:textId="7A9F81A9" w:rsidR="00117CE7" w:rsidRPr="00F44E6D" w:rsidRDefault="00117CE7" w:rsidP="00BF2228">
            <w:pPr>
              <w:pStyle w:val="Nomenclature"/>
              <w:jc w:val="left"/>
              <w:rPr>
                <w:sz w:val="20"/>
                <w:szCs w:val="20"/>
              </w:rPr>
            </w:pPr>
            <w:r>
              <w:rPr>
                <w:sz w:val="20"/>
                <w:szCs w:val="20"/>
              </w:rPr>
              <w:t>wall-offset distance</w:t>
            </w:r>
          </w:p>
        </w:tc>
        <w:tc>
          <w:tcPr>
            <w:tcW w:w="983" w:type="dxa"/>
            <w:vAlign w:val="center"/>
          </w:tcPr>
          <w:p w14:paraId="7CABE1B6" w14:textId="3335778B" w:rsidR="00117CE7" w:rsidRPr="00F44E6D" w:rsidRDefault="00117CE7" w:rsidP="00BF2228">
            <w:pPr>
              <w:pStyle w:val="Nomenclature"/>
              <w:ind w:left="-51"/>
              <w:jc w:val="left"/>
              <w:rPr>
                <w:sz w:val="20"/>
                <w:szCs w:val="20"/>
              </w:rPr>
            </w:pPr>
            <w:r>
              <w:rPr>
                <w:sz w:val="20"/>
                <w:szCs w:val="20"/>
              </w:rPr>
              <w:t>(m)</w:t>
            </w:r>
          </w:p>
        </w:tc>
      </w:tr>
      <w:tr w:rsidR="00117CE7" w:rsidRPr="00F44E6D" w14:paraId="2205EA6C" w14:textId="77777777" w:rsidTr="00BF2228">
        <w:tc>
          <w:tcPr>
            <w:tcW w:w="646" w:type="dxa"/>
            <w:vAlign w:val="center"/>
          </w:tcPr>
          <w:p w14:paraId="00291DAF" w14:textId="509D077F" w:rsidR="00117CE7" w:rsidRPr="008E6539" w:rsidRDefault="00117CE7" w:rsidP="00CE4D7E">
            <w:pPr>
              <w:pStyle w:val="Nomenclature"/>
              <w:spacing w:after="0"/>
              <w:ind w:left="-54"/>
              <w:jc w:val="left"/>
              <w:rPr>
                <w:i/>
                <w:sz w:val="20"/>
                <w:szCs w:val="20"/>
                <w:vertAlign w:val="subscript"/>
              </w:rPr>
            </w:pPr>
            <w:r w:rsidRPr="00B67D60">
              <w:rPr>
                <w:position w:val="-10"/>
                <w:sz w:val="20"/>
              </w:rPr>
              <w:object w:dxaOrig="300" w:dyaOrig="360" w14:anchorId="1CAA1BD8">
                <v:shape id="_x0000_i1039" type="#_x0000_t75" style="width:15.05pt;height:18.25pt" o:ole="">
                  <v:imagedata r:id="rId39" o:title=""/>
                </v:shape>
                <o:OLEObject Type="Embed" ProgID="Equation.3" ShapeID="_x0000_i1039" DrawAspect="Content" ObjectID="_1457171692" r:id="rId40"/>
              </w:object>
            </w:r>
          </w:p>
        </w:tc>
        <w:tc>
          <w:tcPr>
            <w:tcW w:w="3069" w:type="dxa"/>
            <w:vAlign w:val="center"/>
          </w:tcPr>
          <w:p w14:paraId="446467E4" w14:textId="1D934F01" w:rsidR="00117CE7" w:rsidRDefault="00117CE7" w:rsidP="00BF2228">
            <w:pPr>
              <w:pStyle w:val="Nomenclature"/>
              <w:spacing w:after="0"/>
              <w:jc w:val="left"/>
              <w:rPr>
                <w:sz w:val="20"/>
                <w:szCs w:val="20"/>
              </w:rPr>
            </w:pPr>
            <w:r>
              <w:rPr>
                <w:sz w:val="20"/>
                <w:szCs w:val="20"/>
              </w:rPr>
              <w:t>dimensionless wall-offset</w:t>
            </w:r>
          </w:p>
        </w:tc>
        <w:tc>
          <w:tcPr>
            <w:tcW w:w="983" w:type="dxa"/>
            <w:vAlign w:val="center"/>
          </w:tcPr>
          <w:p w14:paraId="5AF271D5" w14:textId="2A030329" w:rsidR="00117CE7" w:rsidRDefault="00117CE7" w:rsidP="00BF2228">
            <w:pPr>
              <w:pStyle w:val="Nomenclature"/>
              <w:spacing w:after="0"/>
              <w:ind w:left="-51"/>
              <w:jc w:val="left"/>
              <w:rPr>
                <w:sz w:val="20"/>
                <w:szCs w:val="20"/>
              </w:rPr>
            </w:pPr>
            <w:r>
              <w:rPr>
                <w:sz w:val="20"/>
                <w:szCs w:val="20"/>
              </w:rPr>
              <w:t>(m)</w:t>
            </w:r>
          </w:p>
        </w:tc>
      </w:tr>
      <w:tr w:rsidR="00117CE7" w:rsidRPr="00F44E6D" w14:paraId="73DFA26A" w14:textId="77777777" w:rsidTr="00BF2228">
        <w:tc>
          <w:tcPr>
            <w:tcW w:w="646" w:type="dxa"/>
            <w:vAlign w:val="center"/>
          </w:tcPr>
          <w:p w14:paraId="2052BE1D" w14:textId="76E428ED" w:rsidR="00117CE7" w:rsidRPr="009E115F" w:rsidRDefault="00117CE7" w:rsidP="00CE4D7E">
            <w:pPr>
              <w:pStyle w:val="Nomenclature"/>
              <w:spacing w:after="0"/>
              <w:ind w:left="-54"/>
              <w:jc w:val="left"/>
              <w:rPr>
                <w:i/>
                <w:sz w:val="20"/>
                <w:szCs w:val="20"/>
                <w:vertAlign w:val="subscript"/>
              </w:rPr>
            </w:pPr>
            <w:r w:rsidRPr="009E115F">
              <w:rPr>
                <w:position w:val="-10"/>
              </w:rPr>
              <w:object w:dxaOrig="460" w:dyaOrig="340" w14:anchorId="4FCCAEAE">
                <v:shape id="_x0000_i1040" type="#_x0000_t75" style="width:20.95pt;height:17.75pt" o:ole="">
                  <v:imagedata r:id="rId41" o:title=""/>
                </v:shape>
                <o:OLEObject Type="Embed" ProgID="Equation.3" ShapeID="_x0000_i1040" DrawAspect="Content" ObjectID="_1457171693" r:id="rId42"/>
              </w:object>
            </w:r>
          </w:p>
        </w:tc>
        <w:tc>
          <w:tcPr>
            <w:tcW w:w="3069" w:type="dxa"/>
            <w:vAlign w:val="center"/>
          </w:tcPr>
          <w:p w14:paraId="21541084" w14:textId="4084BB2E" w:rsidR="00117CE7" w:rsidRDefault="00117CE7" w:rsidP="009E115F">
            <w:pPr>
              <w:pStyle w:val="Nomenclature"/>
              <w:spacing w:after="0"/>
              <w:jc w:val="left"/>
              <w:rPr>
                <w:sz w:val="20"/>
                <w:szCs w:val="20"/>
              </w:rPr>
            </w:pPr>
            <w:r>
              <w:rPr>
                <w:sz w:val="20"/>
                <w:szCs w:val="20"/>
              </w:rPr>
              <w:t>change in coolant enthalpy flow rate</w:t>
            </w:r>
          </w:p>
        </w:tc>
        <w:tc>
          <w:tcPr>
            <w:tcW w:w="983" w:type="dxa"/>
            <w:vAlign w:val="center"/>
          </w:tcPr>
          <w:p w14:paraId="310A5159" w14:textId="736B4FE0" w:rsidR="00117CE7" w:rsidRDefault="00117CE7" w:rsidP="009E115F">
            <w:pPr>
              <w:pStyle w:val="Nomenclature"/>
              <w:spacing w:after="0"/>
              <w:ind w:left="-51"/>
              <w:jc w:val="left"/>
              <w:rPr>
                <w:sz w:val="20"/>
                <w:szCs w:val="20"/>
              </w:rPr>
            </w:pPr>
            <w:r>
              <w:rPr>
                <w:sz w:val="20"/>
                <w:szCs w:val="20"/>
              </w:rPr>
              <w:t>(W)</w:t>
            </w:r>
          </w:p>
        </w:tc>
      </w:tr>
      <w:tr w:rsidR="00117CE7" w:rsidRPr="00F44E6D" w14:paraId="70E87A7B" w14:textId="77777777" w:rsidTr="00BF2228">
        <w:tc>
          <w:tcPr>
            <w:tcW w:w="646" w:type="dxa"/>
            <w:vAlign w:val="center"/>
          </w:tcPr>
          <w:p w14:paraId="49BEEB7F" w14:textId="56AFF1C5" w:rsidR="00117CE7" w:rsidRDefault="00CE4D7E" w:rsidP="00BF2228">
            <w:pPr>
              <w:pStyle w:val="Nomenclature"/>
              <w:jc w:val="left"/>
              <w:rPr>
                <w:i/>
                <w:sz w:val="20"/>
                <w:szCs w:val="20"/>
              </w:rPr>
            </w:pPr>
            <w:r>
              <w:rPr>
                <w:i/>
                <w:sz w:val="20"/>
                <w:szCs w:val="20"/>
              </w:rPr>
              <w:t>ε</w:t>
            </w:r>
          </w:p>
        </w:tc>
        <w:tc>
          <w:tcPr>
            <w:tcW w:w="3069" w:type="dxa"/>
            <w:vAlign w:val="center"/>
          </w:tcPr>
          <w:p w14:paraId="3C5D325E" w14:textId="44495311" w:rsidR="00117CE7" w:rsidRDefault="00117CE7" w:rsidP="00BF2228">
            <w:pPr>
              <w:pStyle w:val="Nomenclature"/>
              <w:jc w:val="left"/>
              <w:rPr>
                <w:sz w:val="20"/>
                <w:szCs w:val="20"/>
              </w:rPr>
            </w:pPr>
            <w:r>
              <w:rPr>
                <w:sz w:val="20"/>
                <w:szCs w:val="20"/>
              </w:rPr>
              <w:t>dissipation rate of turbulent energy</w:t>
            </w:r>
          </w:p>
        </w:tc>
        <w:tc>
          <w:tcPr>
            <w:tcW w:w="983" w:type="dxa"/>
            <w:vAlign w:val="center"/>
          </w:tcPr>
          <w:p w14:paraId="5E6201B6" w14:textId="29E8D6A3" w:rsidR="00117CE7" w:rsidRDefault="00117CE7" w:rsidP="00BF2228">
            <w:pPr>
              <w:pStyle w:val="Nomenclature"/>
              <w:spacing w:after="0"/>
              <w:ind w:left="-51"/>
              <w:jc w:val="left"/>
              <w:rPr>
                <w:sz w:val="20"/>
                <w:szCs w:val="20"/>
              </w:rPr>
            </w:pPr>
            <w:r>
              <w:rPr>
                <w:sz w:val="20"/>
                <w:szCs w:val="20"/>
              </w:rPr>
              <w:t>(m</w:t>
            </w:r>
            <w:r>
              <w:rPr>
                <w:sz w:val="20"/>
                <w:szCs w:val="20"/>
                <w:vertAlign w:val="superscript"/>
              </w:rPr>
              <w:t>2</w:t>
            </w:r>
            <w:r>
              <w:rPr>
                <w:sz w:val="20"/>
                <w:szCs w:val="20"/>
              </w:rPr>
              <w:t>/s</w:t>
            </w:r>
            <w:r>
              <w:rPr>
                <w:sz w:val="20"/>
                <w:szCs w:val="20"/>
                <w:vertAlign w:val="superscript"/>
              </w:rPr>
              <w:t>3</w:t>
            </w:r>
            <w:r>
              <w:rPr>
                <w:sz w:val="20"/>
                <w:szCs w:val="20"/>
              </w:rPr>
              <w:t>)</w:t>
            </w:r>
          </w:p>
        </w:tc>
      </w:tr>
      <w:tr w:rsidR="00117CE7" w:rsidRPr="00F44E6D" w14:paraId="4241D708" w14:textId="77777777" w:rsidTr="00BF2228">
        <w:tc>
          <w:tcPr>
            <w:tcW w:w="646" w:type="dxa"/>
            <w:vAlign w:val="center"/>
          </w:tcPr>
          <w:p w14:paraId="0A1C0CCD" w14:textId="12E658C9" w:rsidR="00117CE7" w:rsidRPr="00A064D9" w:rsidRDefault="00117CE7" w:rsidP="00BF2228">
            <w:pPr>
              <w:pStyle w:val="Nomenclature"/>
              <w:jc w:val="left"/>
              <w:rPr>
                <w:i/>
                <w:sz w:val="20"/>
                <w:szCs w:val="20"/>
                <w:vertAlign w:val="subscript"/>
              </w:rPr>
            </w:pPr>
            <w:r>
              <w:rPr>
                <w:i/>
                <w:sz w:val="20"/>
                <w:szCs w:val="20"/>
              </w:rPr>
              <w:t>η</w:t>
            </w:r>
            <w:r>
              <w:rPr>
                <w:i/>
                <w:sz w:val="20"/>
                <w:szCs w:val="20"/>
                <w:vertAlign w:val="subscript"/>
              </w:rPr>
              <w:t>T,dt,ϕ</w:t>
            </w:r>
          </w:p>
        </w:tc>
        <w:tc>
          <w:tcPr>
            <w:tcW w:w="3069" w:type="dxa"/>
            <w:vAlign w:val="center"/>
          </w:tcPr>
          <w:p w14:paraId="7123B7FC" w14:textId="6D1C3670" w:rsidR="00117CE7" w:rsidRDefault="00117CE7" w:rsidP="00BF2228">
            <w:pPr>
              <w:pStyle w:val="Nomenclature"/>
              <w:jc w:val="left"/>
              <w:rPr>
                <w:sz w:val="20"/>
                <w:szCs w:val="20"/>
              </w:rPr>
            </w:pPr>
            <w:r>
              <w:rPr>
                <w:sz w:val="20"/>
                <w:szCs w:val="20"/>
              </w:rPr>
              <w:t>intermediate coupling variable</w:t>
            </w:r>
            <w:r w:rsidR="00060F13">
              <w:rPr>
                <w:sz w:val="20"/>
                <w:szCs w:val="20"/>
              </w:rPr>
              <w:t>s</w:t>
            </w:r>
          </w:p>
        </w:tc>
        <w:tc>
          <w:tcPr>
            <w:tcW w:w="983" w:type="dxa"/>
            <w:vAlign w:val="center"/>
          </w:tcPr>
          <w:p w14:paraId="02564280" w14:textId="63F396A0" w:rsidR="00117CE7" w:rsidRDefault="00117CE7" w:rsidP="00BF2228">
            <w:pPr>
              <w:pStyle w:val="Nomenclature"/>
              <w:spacing w:after="0"/>
              <w:ind w:left="-51"/>
              <w:jc w:val="left"/>
              <w:rPr>
                <w:sz w:val="20"/>
                <w:szCs w:val="20"/>
              </w:rPr>
            </w:pPr>
          </w:p>
        </w:tc>
      </w:tr>
      <w:tr w:rsidR="00117CE7" w:rsidRPr="00F44E6D" w14:paraId="29192B05" w14:textId="77777777" w:rsidTr="00BF2228">
        <w:tc>
          <w:tcPr>
            <w:tcW w:w="646" w:type="dxa"/>
            <w:vAlign w:val="center"/>
          </w:tcPr>
          <w:p w14:paraId="6F190192" w14:textId="06396C12" w:rsidR="00117CE7" w:rsidRPr="00F44E6D" w:rsidRDefault="00117CE7" w:rsidP="00BF2228">
            <w:pPr>
              <w:pStyle w:val="Nomenclature"/>
              <w:jc w:val="left"/>
              <w:rPr>
                <w:i/>
                <w:sz w:val="20"/>
                <w:szCs w:val="20"/>
              </w:rPr>
            </w:pPr>
            <w:r>
              <w:rPr>
                <w:i/>
                <w:sz w:val="20"/>
                <w:szCs w:val="20"/>
              </w:rPr>
              <w:t>θ</w:t>
            </w:r>
          </w:p>
        </w:tc>
        <w:tc>
          <w:tcPr>
            <w:tcW w:w="3069" w:type="dxa"/>
            <w:vAlign w:val="center"/>
          </w:tcPr>
          <w:p w14:paraId="2D5E3FE4" w14:textId="477C31F5" w:rsidR="00117CE7" w:rsidRPr="00F44E6D" w:rsidRDefault="00117CE7" w:rsidP="00BF2228">
            <w:pPr>
              <w:pStyle w:val="Nomenclature"/>
              <w:jc w:val="left"/>
              <w:rPr>
                <w:sz w:val="20"/>
                <w:szCs w:val="20"/>
              </w:rPr>
            </w:pPr>
            <w:r>
              <w:rPr>
                <w:sz w:val="20"/>
                <w:szCs w:val="20"/>
              </w:rPr>
              <w:t>involute base circle angular coord</w:t>
            </w:r>
          </w:p>
        </w:tc>
        <w:tc>
          <w:tcPr>
            <w:tcW w:w="983" w:type="dxa"/>
            <w:vAlign w:val="center"/>
          </w:tcPr>
          <w:p w14:paraId="13C5DF6E" w14:textId="76D28B5D" w:rsidR="00117CE7" w:rsidRPr="002B057F" w:rsidRDefault="00117CE7" w:rsidP="00BF2228">
            <w:pPr>
              <w:pStyle w:val="Nomenclature"/>
              <w:ind w:left="-51"/>
              <w:jc w:val="left"/>
              <w:rPr>
                <w:sz w:val="20"/>
                <w:szCs w:val="20"/>
              </w:rPr>
            </w:pPr>
            <w:r>
              <w:rPr>
                <w:sz w:val="20"/>
                <w:szCs w:val="20"/>
              </w:rPr>
              <w:t>(rad)</w:t>
            </w:r>
          </w:p>
        </w:tc>
      </w:tr>
      <w:tr w:rsidR="00117CE7" w:rsidRPr="00F44E6D" w14:paraId="20820135" w14:textId="77777777" w:rsidTr="00BF2228">
        <w:tc>
          <w:tcPr>
            <w:tcW w:w="646" w:type="dxa"/>
            <w:vAlign w:val="center"/>
          </w:tcPr>
          <w:p w14:paraId="46FE429B" w14:textId="6893528B" w:rsidR="00117CE7" w:rsidRPr="00F44E6D" w:rsidRDefault="00117CE7" w:rsidP="00BF2228">
            <w:pPr>
              <w:pStyle w:val="Nomenclature"/>
              <w:jc w:val="left"/>
              <w:rPr>
                <w:i/>
                <w:sz w:val="20"/>
                <w:szCs w:val="20"/>
              </w:rPr>
            </w:pPr>
            <w:r>
              <w:rPr>
                <w:i/>
                <w:sz w:val="20"/>
                <w:szCs w:val="20"/>
              </w:rPr>
              <w:t>θ</w:t>
            </w:r>
            <w:r>
              <w:rPr>
                <w:i/>
                <w:sz w:val="20"/>
                <w:szCs w:val="20"/>
                <w:vertAlign w:val="subscript"/>
              </w:rPr>
              <w:t>o</w:t>
            </w:r>
          </w:p>
        </w:tc>
        <w:tc>
          <w:tcPr>
            <w:tcW w:w="3069" w:type="dxa"/>
            <w:vAlign w:val="center"/>
          </w:tcPr>
          <w:p w14:paraId="234E06F5" w14:textId="76F886A6" w:rsidR="00117CE7" w:rsidRPr="00F44E6D" w:rsidRDefault="00117CE7" w:rsidP="00BF2228">
            <w:pPr>
              <w:pStyle w:val="Nomenclature"/>
              <w:jc w:val="left"/>
              <w:rPr>
                <w:sz w:val="20"/>
                <w:szCs w:val="20"/>
              </w:rPr>
            </w:pPr>
            <w:r>
              <w:rPr>
                <w:sz w:val="20"/>
                <w:szCs w:val="20"/>
              </w:rPr>
              <w:t>initial base circle angular coord</w:t>
            </w:r>
          </w:p>
        </w:tc>
        <w:tc>
          <w:tcPr>
            <w:tcW w:w="983" w:type="dxa"/>
            <w:vAlign w:val="center"/>
          </w:tcPr>
          <w:p w14:paraId="036DA5E5" w14:textId="73679A32" w:rsidR="00117CE7" w:rsidRPr="00F44E6D" w:rsidRDefault="00117CE7" w:rsidP="00BF2228">
            <w:pPr>
              <w:pStyle w:val="Nomenclature"/>
              <w:ind w:left="-51"/>
              <w:jc w:val="left"/>
              <w:rPr>
                <w:sz w:val="20"/>
                <w:szCs w:val="20"/>
              </w:rPr>
            </w:pPr>
            <w:r>
              <w:rPr>
                <w:sz w:val="20"/>
                <w:szCs w:val="20"/>
              </w:rPr>
              <w:t>(rad)</w:t>
            </w:r>
          </w:p>
        </w:tc>
      </w:tr>
      <w:tr w:rsidR="00117CE7" w:rsidRPr="00F44E6D" w14:paraId="6D9D897B" w14:textId="77777777" w:rsidTr="00BF2228">
        <w:tc>
          <w:tcPr>
            <w:tcW w:w="646" w:type="dxa"/>
            <w:vAlign w:val="center"/>
          </w:tcPr>
          <w:p w14:paraId="03E73B22" w14:textId="76429553" w:rsidR="00117CE7" w:rsidRPr="002B057F" w:rsidRDefault="00117CE7" w:rsidP="00BF2228">
            <w:pPr>
              <w:pStyle w:val="Nomenclature"/>
              <w:jc w:val="left"/>
              <w:rPr>
                <w:i/>
                <w:sz w:val="20"/>
                <w:szCs w:val="20"/>
                <w:vertAlign w:val="subscript"/>
              </w:rPr>
            </w:pPr>
            <w:r>
              <w:rPr>
                <w:i/>
                <w:sz w:val="20"/>
                <w:szCs w:val="20"/>
              </w:rPr>
              <w:t>Κ</w:t>
            </w:r>
          </w:p>
        </w:tc>
        <w:tc>
          <w:tcPr>
            <w:tcW w:w="3069" w:type="dxa"/>
            <w:vAlign w:val="center"/>
          </w:tcPr>
          <w:p w14:paraId="58D437FB" w14:textId="1D05AFD2" w:rsidR="00117CE7" w:rsidRPr="00F44E6D" w:rsidRDefault="00117CE7" w:rsidP="00BF2228">
            <w:pPr>
              <w:pStyle w:val="Nomenclature"/>
              <w:jc w:val="left"/>
              <w:rPr>
                <w:sz w:val="20"/>
                <w:szCs w:val="20"/>
              </w:rPr>
            </w:pPr>
            <w:r>
              <w:rPr>
                <w:sz w:val="20"/>
                <w:szCs w:val="20"/>
              </w:rPr>
              <w:t>von Kármán constant</w:t>
            </w:r>
          </w:p>
        </w:tc>
        <w:tc>
          <w:tcPr>
            <w:tcW w:w="983" w:type="dxa"/>
            <w:vAlign w:val="center"/>
          </w:tcPr>
          <w:p w14:paraId="60746D9A" w14:textId="2B54FB8A" w:rsidR="00117CE7" w:rsidRPr="00F44E6D" w:rsidRDefault="00117CE7" w:rsidP="00BF2228">
            <w:pPr>
              <w:pStyle w:val="Nomenclature"/>
              <w:ind w:left="-51"/>
              <w:jc w:val="left"/>
              <w:rPr>
                <w:sz w:val="20"/>
                <w:szCs w:val="20"/>
              </w:rPr>
            </w:pPr>
          </w:p>
        </w:tc>
      </w:tr>
      <w:tr w:rsidR="00117CE7" w:rsidRPr="00F44E6D" w14:paraId="18289421" w14:textId="77777777" w:rsidTr="00BF2228">
        <w:tc>
          <w:tcPr>
            <w:tcW w:w="646" w:type="dxa"/>
            <w:vAlign w:val="center"/>
          </w:tcPr>
          <w:p w14:paraId="03688115" w14:textId="4DBEC9EA" w:rsidR="00117CE7" w:rsidRPr="00F44E6D" w:rsidRDefault="00117CE7" w:rsidP="00BF2228">
            <w:pPr>
              <w:pStyle w:val="Nomenclature"/>
              <w:jc w:val="left"/>
              <w:rPr>
                <w:i/>
                <w:sz w:val="20"/>
                <w:szCs w:val="20"/>
              </w:rPr>
            </w:pPr>
            <w:r>
              <w:rPr>
                <w:i/>
                <w:sz w:val="20"/>
                <w:szCs w:val="20"/>
              </w:rPr>
              <w:t>λ</w:t>
            </w:r>
          </w:p>
        </w:tc>
        <w:tc>
          <w:tcPr>
            <w:tcW w:w="3069" w:type="dxa"/>
            <w:vAlign w:val="center"/>
          </w:tcPr>
          <w:p w14:paraId="5B2CC1B8" w14:textId="39CFB0D2" w:rsidR="00117CE7" w:rsidRPr="00F44E6D" w:rsidRDefault="00117CE7" w:rsidP="00BF2228">
            <w:pPr>
              <w:pStyle w:val="Nomenclature"/>
              <w:jc w:val="left"/>
              <w:rPr>
                <w:sz w:val="20"/>
                <w:szCs w:val="20"/>
              </w:rPr>
            </w:pPr>
            <w:r>
              <w:rPr>
                <w:sz w:val="20"/>
                <w:szCs w:val="20"/>
              </w:rPr>
              <w:t>thermal conductivity</w:t>
            </w:r>
          </w:p>
        </w:tc>
        <w:tc>
          <w:tcPr>
            <w:tcW w:w="983" w:type="dxa"/>
            <w:vAlign w:val="center"/>
          </w:tcPr>
          <w:p w14:paraId="5F10876F" w14:textId="30A89091" w:rsidR="00117CE7" w:rsidRPr="00F44E6D" w:rsidRDefault="00117CE7" w:rsidP="00BF2228">
            <w:pPr>
              <w:pStyle w:val="Nomenclature"/>
              <w:tabs>
                <w:tab w:val="clear" w:pos="540"/>
                <w:tab w:val="left" w:pos="785"/>
              </w:tabs>
              <w:ind w:left="-51" w:right="-180"/>
              <w:jc w:val="left"/>
              <w:rPr>
                <w:sz w:val="20"/>
                <w:szCs w:val="20"/>
              </w:rPr>
            </w:pPr>
            <w:r>
              <w:rPr>
                <w:sz w:val="20"/>
                <w:szCs w:val="20"/>
              </w:rPr>
              <w:t>(W/m-K)</w:t>
            </w:r>
          </w:p>
        </w:tc>
      </w:tr>
      <w:tr w:rsidR="00117CE7" w:rsidRPr="00F44E6D" w14:paraId="22A8AE12" w14:textId="77777777" w:rsidTr="00BF2228">
        <w:tc>
          <w:tcPr>
            <w:tcW w:w="646" w:type="dxa"/>
            <w:vAlign w:val="center"/>
          </w:tcPr>
          <w:p w14:paraId="0050CFE3" w14:textId="37F0EC5D" w:rsidR="00117CE7" w:rsidRDefault="00117CE7" w:rsidP="00BF2228">
            <w:pPr>
              <w:pStyle w:val="Nomenclature"/>
              <w:jc w:val="left"/>
              <w:rPr>
                <w:i/>
                <w:sz w:val="20"/>
                <w:szCs w:val="20"/>
              </w:rPr>
            </w:pPr>
            <w:r>
              <w:rPr>
                <w:i/>
                <w:sz w:val="20"/>
                <w:szCs w:val="20"/>
              </w:rPr>
              <w:t>μ</w:t>
            </w:r>
          </w:p>
        </w:tc>
        <w:tc>
          <w:tcPr>
            <w:tcW w:w="3069" w:type="dxa"/>
            <w:vAlign w:val="center"/>
          </w:tcPr>
          <w:p w14:paraId="3743DE34" w14:textId="13EF866E" w:rsidR="00117CE7" w:rsidRDefault="00117CE7" w:rsidP="00BF2228">
            <w:pPr>
              <w:pStyle w:val="Nomenclature"/>
              <w:jc w:val="left"/>
              <w:rPr>
                <w:sz w:val="20"/>
                <w:szCs w:val="20"/>
              </w:rPr>
            </w:pPr>
            <w:r>
              <w:rPr>
                <w:sz w:val="20"/>
                <w:szCs w:val="20"/>
              </w:rPr>
              <w:t>dynamic viscosity</w:t>
            </w:r>
          </w:p>
        </w:tc>
        <w:tc>
          <w:tcPr>
            <w:tcW w:w="983" w:type="dxa"/>
            <w:vAlign w:val="center"/>
          </w:tcPr>
          <w:p w14:paraId="41B04736" w14:textId="4AD06649" w:rsidR="00117CE7" w:rsidRDefault="00117CE7" w:rsidP="00BF2228">
            <w:pPr>
              <w:pStyle w:val="Nomenclature"/>
              <w:tabs>
                <w:tab w:val="clear" w:pos="540"/>
                <w:tab w:val="left" w:pos="785"/>
              </w:tabs>
              <w:ind w:left="-51" w:right="-180"/>
              <w:jc w:val="left"/>
              <w:rPr>
                <w:sz w:val="20"/>
                <w:szCs w:val="20"/>
              </w:rPr>
            </w:pPr>
            <w:r>
              <w:rPr>
                <w:sz w:val="20"/>
                <w:szCs w:val="20"/>
              </w:rPr>
              <w:t>(kg/m-s)</w:t>
            </w:r>
          </w:p>
        </w:tc>
      </w:tr>
      <w:tr w:rsidR="00117CE7" w:rsidRPr="00F44E6D" w14:paraId="0B5FAC7F" w14:textId="77777777" w:rsidTr="00BF2228">
        <w:tc>
          <w:tcPr>
            <w:tcW w:w="646" w:type="dxa"/>
            <w:vAlign w:val="center"/>
          </w:tcPr>
          <w:p w14:paraId="734879BB" w14:textId="122FB21B" w:rsidR="00117CE7" w:rsidRPr="00073DA1" w:rsidRDefault="00117CE7" w:rsidP="00BF2228">
            <w:pPr>
              <w:pStyle w:val="Nomenclature"/>
              <w:jc w:val="left"/>
              <w:rPr>
                <w:i/>
                <w:sz w:val="20"/>
                <w:szCs w:val="20"/>
                <w:vertAlign w:val="subscript"/>
              </w:rPr>
            </w:pPr>
            <w:r>
              <w:rPr>
                <w:i/>
                <w:sz w:val="20"/>
                <w:szCs w:val="20"/>
              </w:rPr>
              <w:t>μ</w:t>
            </w:r>
            <w:r>
              <w:rPr>
                <w:i/>
                <w:sz w:val="20"/>
                <w:szCs w:val="20"/>
                <w:vertAlign w:val="subscript"/>
              </w:rPr>
              <w:t>T</w:t>
            </w:r>
          </w:p>
        </w:tc>
        <w:tc>
          <w:tcPr>
            <w:tcW w:w="3069" w:type="dxa"/>
            <w:vAlign w:val="center"/>
          </w:tcPr>
          <w:p w14:paraId="3E72E0E9" w14:textId="2157DC68" w:rsidR="00117CE7" w:rsidRDefault="00117CE7" w:rsidP="00BF2228">
            <w:pPr>
              <w:pStyle w:val="Nomenclature"/>
              <w:jc w:val="left"/>
              <w:rPr>
                <w:sz w:val="20"/>
                <w:szCs w:val="20"/>
              </w:rPr>
            </w:pPr>
            <w:r>
              <w:rPr>
                <w:sz w:val="20"/>
                <w:szCs w:val="20"/>
              </w:rPr>
              <w:t xml:space="preserve">dynamic eddy </w:t>
            </w:r>
            <w:r w:rsidR="00062E71">
              <w:rPr>
                <w:sz w:val="20"/>
                <w:szCs w:val="20"/>
              </w:rPr>
              <w:t>viscosity</w:t>
            </w:r>
          </w:p>
        </w:tc>
        <w:tc>
          <w:tcPr>
            <w:tcW w:w="983" w:type="dxa"/>
            <w:vAlign w:val="center"/>
          </w:tcPr>
          <w:p w14:paraId="582B2CB9" w14:textId="5F3BBF88" w:rsidR="00117CE7" w:rsidRDefault="00117CE7" w:rsidP="00BF2228">
            <w:pPr>
              <w:pStyle w:val="Nomenclature"/>
              <w:tabs>
                <w:tab w:val="clear" w:pos="540"/>
                <w:tab w:val="left" w:pos="785"/>
              </w:tabs>
              <w:ind w:left="-51" w:right="-180"/>
              <w:jc w:val="left"/>
              <w:rPr>
                <w:sz w:val="20"/>
                <w:szCs w:val="20"/>
              </w:rPr>
            </w:pPr>
            <w:r>
              <w:rPr>
                <w:sz w:val="20"/>
                <w:szCs w:val="20"/>
              </w:rPr>
              <w:t>(kg/m-s)</w:t>
            </w:r>
          </w:p>
        </w:tc>
      </w:tr>
      <w:tr w:rsidR="00117CE7" w:rsidRPr="00F44E6D" w14:paraId="599AF0B8" w14:textId="77777777" w:rsidTr="00BF2228">
        <w:tc>
          <w:tcPr>
            <w:tcW w:w="646" w:type="dxa"/>
            <w:vAlign w:val="center"/>
          </w:tcPr>
          <w:p w14:paraId="19013F67" w14:textId="60029C87" w:rsidR="00117CE7" w:rsidRPr="004C6D7B" w:rsidRDefault="00117CE7" w:rsidP="00BF2228">
            <w:pPr>
              <w:pStyle w:val="Nomenclature"/>
              <w:jc w:val="left"/>
              <w:rPr>
                <w:i/>
                <w:sz w:val="20"/>
                <w:szCs w:val="20"/>
                <w:vertAlign w:val="subscript"/>
              </w:rPr>
            </w:pPr>
            <w:r>
              <w:rPr>
                <w:i/>
                <w:sz w:val="20"/>
                <w:szCs w:val="20"/>
              </w:rPr>
              <w:t>μ</w:t>
            </w:r>
            <w:r>
              <w:rPr>
                <w:i/>
                <w:sz w:val="20"/>
                <w:szCs w:val="20"/>
                <w:vertAlign w:val="subscript"/>
              </w:rPr>
              <w:t>w</w:t>
            </w:r>
          </w:p>
        </w:tc>
        <w:tc>
          <w:tcPr>
            <w:tcW w:w="3069" w:type="dxa"/>
            <w:vAlign w:val="center"/>
          </w:tcPr>
          <w:p w14:paraId="5FEA031F" w14:textId="62156028" w:rsidR="00117CE7" w:rsidRDefault="00117CE7" w:rsidP="00BF2228">
            <w:pPr>
              <w:pStyle w:val="Nomenclature"/>
              <w:jc w:val="left"/>
              <w:rPr>
                <w:sz w:val="20"/>
                <w:szCs w:val="20"/>
              </w:rPr>
            </w:pPr>
            <w:r>
              <w:rPr>
                <w:sz w:val="20"/>
                <w:szCs w:val="20"/>
              </w:rPr>
              <w:t>wall dynamic viscosity</w:t>
            </w:r>
          </w:p>
        </w:tc>
        <w:tc>
          <w:tcPr>
            <w:tcW w:w="983" w:type="dxa"/>
            <w:vAlign w:val="center"/>
          </w:tcPr>
          <w:p w14:paraId="2F8698A6" w14:textId="54DDE763" w:rsidR="00117CE7" w:rsidRDefault="00117CE7" w:rsidP="00BF2228">
            <w:pPr>
              <w:pStyle w:val="Nomenclature"/>
              <w:tabs>
                <w:tab w:val="clear" w:pos="540"/>
                <w:tab w:val="left" w:pos="785"/>
              </w:tabs>
              <w:ind w:left="-51" w:right="-180"/>
              <w:jc w:val="left"/>
              <w:rPr>
                <w:sz w:val="20"/>
                <w:szCs w:val="20"/>
              </w:rPr>
            </w:pPr>
            <w:r>
              <w:rPr>
                <w:sz w:val="20"/>
                <w:szCs w:val="20"/>
              </w:rPr>
              <w:t>(kg/m-s)</w:t>
            </w:r>
          </w:p>
        </w:tc>
      </w:tr>
      <w:tr w:rsidR="00117CE7" w:rsidRPr="00F44E6D" w14:paraId="4952C7A2" w14:textId="77777777" w:rsidTr="00BF2228">
        <w:tc>
          <w:tcPr>
            <w:tcW w:w="646" w:type="dxa"/>
            <w:vAlign w:val="center"/>
          </w:tcPr>
          <w:p w14:paraId="7351CCA2" w14:textId="3B700E35" w:rsidR="00117CE7" w:rsidRDefault="00117CE7" w:rsidP="00BF2228">
            <w:pPr>
              <w:pStyle w:val="Nomenclature"/>
              <w:jc w:val="left"/>
              <w:rPr>
                <w:i/>
                <w:sz w:val="20"/>
                <w:szCs w:val="20"/>
              </w:rPr>
            </w:pPr>
            <w:r>
              <w:rPr>
                <w:i/>
                <w:sz w:val="20"/>
                <w:szCs w:val="20"/>
              </w:rPr>
              <w:t>ν</w:t>
            </w:r>
          </w:p>
        </w:tc>
        <w:tc>
          <w:tcPr>
            <w:tcW w:w="3069" w:type="dxa"/>
            <w:vAlign w:val="center"/>
          </w:tcPr>
          <w:p w14:paraId="242450A0" w14:textId="2D3EA756" w:rsidR="00117CE7" w:rsidRDefault="00117CE7" w:rsidP="00BF2228">
            <w:pPr>
              <w:pStyle w:val="Nomenclature"/>
              <w:jc w:val="left"/>
              <w:rPr>
                <w:sz w:val="20"/>
                <w:szCs w:val="20"/>
              </w:rPr>
            </w:pPr>
            <w:r>
              <w:rPr>
                <w:sz w:val="20"/>
                <w:szCs w:val="20"/>
              </w:rPr>
              <w:t>kinematic viscosity</w:t>
            </w:r>
          </w:p>
        </w:tc>
        <w:tc>
          <w:tcPr>
            <w:tcW w:w="983" w:type="dxa"/>
            <w:vAlign w:val="center"/>
          </w:tcPr>
          <w:p w14:paraId="2035C1A6" w14:textId="2662E821" w:rsidR="00117CE7" w:rsidRDefault="00117CE7" w:rsidP="00BF2228">
            <w:pPr>
              <w:pStyle w:val="Nomenclature"/>
              <w:tabs>
                <w:tab w:val="clear" w:pos="540"/>
                <w:tab w:val="left" w:pos="515"/>
              </w:tabs>
              <w:ind w:left="-51" w:right="-2"/>
              <w:jc w:val="left"/>
              <w:rPr>
                <w:sz w:val="20"/>
                <w:szCs w:val="20"/>
              </w:rPr>
            </w:pPr>
            <w:r>
              <w:rPr>
                <w:sz w:val="20"/>
                <w:szCs w:val="20"/>
              </w:rPr>
              <w:t>(m</w:t>
            </w:r>
            <w:r>
              <w:rPr>
                <w:sz w:val="20"/>
                <w:szCs w:val="20"/>
                <w:vertAlign w:val="superscript"/>
              </w:rPr>
              <w:t>2</w:t>
            </w:r>
            <w:r>
              <w:rPr>
                <w:sz w:val="20"/>
                <w:szCs w:val="20"/>
              </w:rPr>
              <w:t>/s)</w:t>
            </w:r>
          </w:p>
        </w:tc>
      </w:tr>
      <w:tr w:rsidR="00117CE7" w:rsidRPr="00F44E6D" w14:paraId="339353A7" w14:textId="77777777" w:rsidTr="00BF2228">
        <w:tc>
          <w:tcPr>
            <w:tcW w:w="646" w:type="dxa"/>
            <w:vAlign w:val="center"/>
          </w:tcPr>
          <w:p w14:paraId="4567C536" w14:textId="5C4D8E8F" w:rsidR="00117CE7" w:rsidRPr="00E304D0" w:rsidRDefault="00117CE7" w:rsidP="00BF2228">
            <w:pPr>
              <w:pStyle w:val="Nomenclature"/>
              <w:jc w:val="left"/>
              <w:rPr>
                <w:sz w:val="20"/>
                <w:szCs w:val="20"/>
              </w:rPr>
            </w:pPr>
            <w:r w:rsidRPr="00E304D0">
              <w:rPr>
                <w:sz w:val="20"/>
                <w:szCs w:val="20"/>
              </w:rPr>
              <w:t>Π</w:t>
            </w:r>
          </w:p>
        </w:tc>
        <w:tc>
          <w:tcPr>
            <w:tcW w:w="3069" w:type="dxa"/>
            <w:vAlign w:val="center"/>
          </w:tcPr>
          <w:p w14:paraId="390570B3" w14:textId="47EEF111" w:rsidR="00117CE7" w:rsidRDefault="00117CE7" w:rsidP="00BF2228">
            <w:pPr>
              <w:pStyle w:val="Nomenclature"/>
              <w:jc w:val="left"/>
              <w:rPr>
                <w:sz w:val="20"/>
                <w:szCs w:val="20"/>
              </w:rPr>
            </w:pPr>
            <w:r>
              <w:rPr>
                <w:sz w:val="20"/>
                <w:szCs w:val="20"/>
              </w:rPr>
              <w:t>Nusselt number stand-in variable</w:t>
            </w:r>
          </w:p>
        </w:tc>
        <w:tc>
          <w:tcPr>
            <w:tcW w:w="983" w:type="dxa"/>
            <w:vAlign w:val="center"/>
          </w:tcPr>
          <w:p w14:paraId="20C152D4" w14:textId="3A1F42AC" w:rsidR="00117CE7" w:rsidRDefault="00117CE7" w:rsidP="00BF2228">
            <w:pPr>
              <w:pStyle w:val="Nomenclature"/>
              <w:ind w:left="-51"/>
              <w:jc w:val="left"/>
              <w:rPr>
                <w:sz w:val="20"/>
                <w:szCs w:val="20"/>
              </w:rPr>
            </w:pPr>
          </w:p>
        </w:tc>
      </w:tr>
      <w:tr w:rsidR="00117CE7" w:rsidRPr="00F44E6D" w14:paraId="36D6662B" w14:textId="77777777" w:rsidTr="00BF2228">
        <w:tc>
          <w:tcPr>
            <w:tcW w:w="646" w:type="dxa"/>
            <w:vAlign w:val="center"/>
          </w:tcPr>
          <w:p w14:paraId="6FDB0E4E" w14:textId="3B76080A" w:rsidR="00117CE7" w:rsidRPr="002B057F" w:rsidRDefault="00117CE7" w:rsidP="00BF2228">
            <w:pPr>
              <w:pStyle w:val="Nomenclature"/>
              <w:jc w:val="left"/>
              <w:rPr>
                <w:i/>
                <w:sz w:val="20"/>
                <w:szCs w:val="20"/>
                <w:vertAlign w:val="subscript"/>
              </w:rPr>
            </w:pPr>
            <w:r>
              <w:rPr>
                <w:i/>
                <w:sz w:val="20"/>
                <w:szCs w:val="20"/>
              </w:rPr>
              <w:t>ρ</w:t>
            </w:r>
          </w:p>
        </w:tc>
        <w:tc>
          <w:tcPr>
            <w:tcW w:w="3069" w:type="dxa"/>
            <w:vAlign w:val="center"/>
          </w:tcPr>
          <w:p w14:paraId="41C0C4D1" w14:textId="588F2025" w:rsidR="00117CE7" w:rsidRPr="00F44E6D" w:rsidRDefault="00062E71" w:rsidP="00BF2228">
            <w:pPr>
              <w:pStyle w:val="Nomenclature"/>
              <w:jc w:val="left"/>
              <w:rPr>
                <w:sz w:val="20"/>
                <w:szCs w:val="20"/>
              </w:rPr>
            </w:pPr>
            <w:r>
              <w:rPr>
                <w:sz w:val="20"/>
                <w:szCs w:val="20"/>
              </w:rPr>
              <w:t>D</w:t>
            </w:r>
            <w:r w:rsidR="00117CE7">
              <w:rPr>
                <w:sz w:val="20"/>
                <w:szCs w:val="20"/>
              </w:rPr>
              <w:t>ensity</w:t>
            </w:r>
          </w:p>
        </w:tc>
        <w:tc>
          <w:tcPr>
            <w:tcW w:w="983" w:type="dxa"/>
            <w:vAlign w:val="center"/>
          </w:tcPr>
          <w:p w14:paraId="1B4B67B6" w14:textId="7DAEF18F" w:rsidR="00117CE7" w:rsidRPr="002B057F" w:rsidRDefault="00117CE7" w:rsidP="00BF2228">
            <w:pPr>
              <w:pStyle w:val="Nomenclature"/>
              <w:ind w:left="-51"/>
              <w:jc w:val="left"/>
              <w:rPr>
                <w:sz w:val="20"/>
                <w:szCs w:val="20"/>
              </w:rPr>
            </w:pPr>
            <w:r>
              <w:rPr>
                <w:sz w:val="20"/>
                <w:szCs w:val="20"/>
              </w:rPr>
              <w:t>(kg/m</w:t>
            </w:r>
            <w:r>
              <w:rPr>
                <w:sz w:val="20"/>
                <w:szCs w:val="20"/>
                <w:vertAlign w:val="superscript"/>
              </w:rPr>
              <w:t>3</w:t>
            </w:r>
            <w:r>
              <w:rPr>
                <w:sz w:val="20"/>
                <w:szCs w:val="20"/>
              </w:rPr>
              <w:t>)</w:t>
            </w:r>
          </w:p>
        </w:tc>
      </w:tr>
      <w:tr w:rsidR="00117CE7" w:rsidRPr="00F44E6D" w14:paraId="4EDA8542" w14:textId="77777777" w:rsidTr="00BF2228">
        <w:tc>
          <w:tcPr>
            <w:tcW w:w="646" w:type="dxa"/>
            <w:vAlign w:val="center"/>
          </w:tcPr>
          <w:p w14:paraId="5207418A" w14:textId="413DDF5E" w:rsidR="00117CE7" w:rsidRPr="00F44E6D" w:rsidRDefault="00117CE7" w:rsidP="00BF2228">
            <w:pPr>
              <w:pStyle w:val="Nomenclature"/>
              <w:jc w:val="left"/>
              <w:rPr>
                <w:i/>
                <w:sz w:val="20"/>
                <w:szCs w:val="20"/>
              </w:rPr>
            </w:pPr>
            <w:r w:rsidRPr="002B057F">
              <w:rPr>
                <w:sz w:val="20"/>
                <w:szCs w:val="20"/>
              </w:rPr>
              <w:t>Ρ</w:t>
            </w:r>
            <w:r>
              <w:rPr>
                <w:i/>
                <w:sz w:val="20"/>
                <w:szCs w:val="20"/>
                <w:vertAlign w:val="subscript"/>
              </w:rPr>
              <w:t>k</w:t>
            </w:r>
          </w:p>
        </w:tc>
        <w:tc>
          <w:tcPr>
            <w:tcW w:w="3069" w:type="dxa"/>
            <w:vAlign w:val="center"/>
          </w:tcPr>
          <w:p w14:paraId="7B6A32C1" w14:textId="5698B890" w:rsidR="00117CE7" w:rsidRPr="00F44E6D" w:rsidRDefault="00117CE7" w:rsidP="00BF2228">
            <w:pPr>
              <w:pStyle w:val="Nomenclature"/>
              <w:jc w:val="left"/>
              <w:rPr>
                <w:sz w:val="20"/>
                <w:szCs w:val="20"/>
              </w:rPr>
            </w:pPr>
            <w:r>
              <w:rPr>
                <w:sz w:val="20"/>
                <w:szCs w:val="20"/>
              </w:rPr>
              <w:t>turbulence production term</w:t>
            </w:r>
          </w:p>
        </w:tc>
        <w:tc>
          <w:tcPr>
            <w:tcW w:w="983" w:type="dxa"/>
            <w:vAlign w:val="center"/>
          </w:tcPr>
          <w:p w14:paraId="342A1E55" w14:textId="5C158937" w:rsidR="00117CE7" w:rsidRPr="002B057F" w:rsidRDefault="00117CE7" w:rsidP="00BF2228">
            <w:pPr>
              <w:pStyle w:val="Nomenclature"/>
              <w:ind w:left="-51"/>
              <w:jc w:val="left"/>
              <w:rPr>
                <w:sz w:val="20"/>
                <w:szCs w:val="20"/>
              </w:rPr>
            </w:pPr>
            <w:r>
              <w:rPr>
                <w:sz w:val="20"/>
                <w:szCs w:val="20"/>
              </w:rPr>
              <w:t>(m</w:t>
            </w:r>
            <w:r>
              <w:rPr>
                <w:sz w:val="20"/>
                <w:szCs w:val="20"/>
                <w:vertAlign w:val="superscript"/>
              </w:rPr>
              <w:t>2</w:t>
            </w:r>
            <w:r>
              <w:rPr>
                <w:sz w:val="20"/>
                <w:szCs w:val="20"/>
              </w:rPr>
              <w:t>/s</w:t>
            </w:r>
            <w:r>
              <w:rPr>
                <w:sz w:val="20"/>
                <w:szCs w:val="20"/>
                <w:vertAlign w:val="superscript"/>
              </w:rPr>
              <w:t>2</w:t>
            </w:r>
            <w:r>
              <w:rPr>
                <w:sz w:val="20"/>
                <w:szCs w:val="20"/>
              </w:rPr>
              <w:t>)</w:t>
            </w:r>
          </w:p>
        </w:tc>
      </w:tr>
      <w:tr w:rsidR="00117CE7" w:rsidRPr="00F44E6D" w14:paraId="6D9A9B9F" w14:textId="77777777" w:rsidTr="00BF2228">
        <w:tc>
          <w:tcPr>
            <w:tcW w:w="646" w:type="dxa"/>
            <w:vAlign w:val="center"/>
          </w:tcPr>
          <w:p w14:paraId="0F8210FC" w14:textId="24834C5E" w:rsidR="00117CE7" w:rsidRPr="002B057F" w:rsidRDefault="00117CE7" w:rsidP="00BF2228">
            <w:pPr>
              <w:pStyle w:val="Nomenclature"/>
              <w:jc w:val="left"/>
              <w:rPr>
                <w:i/>
                <w:sz w:val="20"/>
                <w:szCs w:val="20"/>
                <w:vertAlign w:val="subscript"/>
              </w:rPr>
            </w:pPr>
            <w:r>
              <w:rPr>
                <w:i/>
                <w:sz w:val="20"/>
                <w:szCs w:val="20"/>
              </w:rPr>
              <w:t>σ</w:t>
            </w:r>
            <w:r>
              <w:rPr>
                <w:i/>
                <w:sz w:val="20"/>
                <w:szCs w:val="20"/>
                <w:vertAlign w:val="subscript"/>
              </w:rPr>
              <w:t>k,ε</w:t>
            </w:r>
          </w:p>
        </w:tc>
        <w:tc>
          <w:tcPr>
            <w:tcW w:w="3069" w:type="dxa"/>
            <w:vAlign w:val="center"/>
          </w:tcPr>
          <w:p w14:paraId="0BD256C3" w14:textId="5554676F" w:rsidR="00117CE7" w:rsidRPr="00F44E6D" w:rsidRDefault="00117CE7" w:rsidP="00BF2228">
            <w:pPr>
              <w:pStyle w:val="Nomenclature"/>
              <w:jc w:val="left"/>
              <w:rPr>
                <w:sz w:val="20"/>
                <w:szCs w:val="20"/>
              </w:rPr>
            </w:pPr>
            <w:r>
              <w:rPr>
                <w:i/>
                <w:sz w:val="20"/>
                <w:szCs w:val="20"/>
              </w:rPr>
              <w:t xml:space="preserve">k-ε </w:t>
            </w:r>
            <w:r>
              <w:rPr>
                <w:sz w:val="20"/>
                <w:szCs w:val="20"/>
              </w:rPr>
              <w:t>closure coefficients</w:t>
            </w:r>
          </w:p>
        </w:tc>
        <w:tc>
          <w:tcPr>
            <w:tcW w:w="983" w:type="dxa"/>
            <w:vAlign w:val="center"/>
          </w:tcPr>
          <w:p w14:paraId="1F5727B2" w14:textId="20ACE96A" w:rsidR="00117CE7" w:rsidRPr="002B057F" w:rsidRDefault="00117CE7" w:rsidP="00BF2228">
            <w:pPr>
              <w:pStyle w:val="Nomenclature"/>
              <w:ind w:left="-51"/>
              <w:jc w:val="left"/>
              <w:rPr>
                <w:sz w:val="20"/>
                <w:szCs w:val="20"/>
              </w:rPr>
            </w:pPr>
          </w:p>
        </w:tc>
      </w:tr>
      <w:tr w:rsidR="00117CE7" w:rsidRPr="00F44E6D" w14:paraId="4E4CB855" w14:textId="77777777" w:rsidTr="00BF2228">
        <w:tc>
          <w:tcPr>
            <w:tcW w:w="646" w:type="dxa"/>
            <w:vAlign w:val="center"/>
          </w:tcPr>
          <w:p w14:paraId="52347844" w14:textId="6BCFDF0D" w:rsidR="00117CE7" w:rsidRPr="002B057F" w:rsidRDefault="00117CE7" w:rsidP="00BF2228">
            <w:pPr>
              <w:pStyle w:val="Nomenclature"/>
              <w:jc w:val="left"/>
              <w:rPr>
                <w:i/>
                <w:sz w:val="20"/>
                <w:szCs w:val="20"/>
                <w:vertAlign w:val="subscript"/>
              </w:rPr>
            </w:pPr>
            <w:r>
              <w:rPr>
                <w:i/>
                <w:sz w:val="20"/>
                <w:szCs w:val="20"/>
              </w:rPr>
              <w:t>τ</w:t>
            </w:r>
            <w:r>
              <w:rPr>
                <w:i/>
                <w:sz w:val="20"/>
                <w:szCs w:val="20"/>
                <w:vertAlign w:val="subscript"/>
              </w:rPr>
              <w:t>R</w:t>
            </w:r>
          </w:p>
        </w:tc>
        <w:tc>
          <w:tcPr>
            <w:tcW w:w="3069" w:type="dxa"/>
            <w:vAlign w:val="center"/>
          </w:tcPr>
          <w:p w14:paraId="41F6B4D3" w14:textId="361399D5" w:rsidR="00117CE7" w:rsidRPr="00F44E6D" w:rsidRDefault="00117CE7" w:rsidP="00BF2228">
            <w:pPr>
              <w:pStyle w:val="Nomenclature"/>
              <w:jc w:val="left"/>
              <w:rPr>
                <w:sz w:val="20"/>
                <w:szCs w:val="20"/>
              </w:rPr>
            </w:pPr>
            <w:r>
              <w:rPr>
                <w:sz w:val="20"/>
                <w:szCs w:val="20"/>
              </w:rPr>
              <w:t>specific Fave-averaged stress tensor</w:t>
            </w:r>
          </w:p>
        </w:tc>
        <w:tc>
          <w:tcPr>
            <w:tcW w:w="983" w:type="dxa"/>
            <w:vAlign w:val="center"/>
          </w:tcPr>
          <w:p w14:paraId="3083E09D" w14:textId="18FAE27F" w:rsidR="00117CE7" w:rsidRPr="00F44E6D" w:rsidRDefault="00117CE7" w:rsidP="00BF2228">
            <w:pPr>
              <w:pStyle w:val="Nomenclature"/>
              <w:ind w:left="-51"/>
              <w:jc w:val="left"/>
              <w:rPr>
                <w:sz w:val="20"/>
                <w:szCs w:val="20"/>
              </w:rPr>
            </w:pPr>
            <w:r>
              <w:rPr>
                <w:sz w:val="20"/>
                <w:szCs w:val="20"/>
              </w:rPr>
              <w:t>(m</w:t>
            </w:r>
            <w:r>
              <w:rPr>
                <w:sz w:val="20"/>
                <w:szCs w:val="20"/>
                <w:vertAlign w:val="superscript"/>
              </w:rPr>
              <w:t>2</w:t>
            </w:r>
            <w:r>
              <w:rPr>
                <w:sz w:val="20"/>
                <w:szCs w:val="20"/>
              </w:rPr>
              <w:t>/s</w:t>
            </w:r>
            <w:r>
              <w:rPr>
                <w:sz w:val="20"/>
                <w:szCs w:val="20"/>
                <w:vertAlign w:val="superscript"/>
              </w:rPr>
              <w:t>2</w:t>
            </w:r>
            <w:r>
              <w:rPr>
                <w:sz w:val="20"/>
                <w:szCs w:val="20"/>
              </w:rPr>
              <w:t>)</w:t>
            </w:r>
          </w:p>
        </w:tc>
      </w:tr>
      <w:tr w:rsidR="00117CE7" w:rsidRPr="00F44E6D" w14:paraId="3A77AD15" w14:textId="77777777" w:rsidTr="00BF2228">
        <w:tc>
          <w:tcPr>
            <w:tcW w:w="646" w:type="dxa"/>
            <w:vAlign w:val="center"/>
          </w:tcPr>
          <w:p w14:paraId="781B43B6" w14:textId="098D9E34" w:rsidR="00117CE7" w:rsidRPr="00B20E40" w:rsidRDefault="00117CE7" w:rsidP="00BF2228">
            <w:pPr>
              <w:pStyle w:val="Nomenclature"/>
              <w:jc w:val="left"/>
              <w:rPr>
                <w:i/>
                <w:sz w:val="20"/>
                <w:szCs w:val="20"/>
                <w:vertAlign w:val="subscript"/>
              </w:rPr>
            </w:pPr>
            <w:r>
              <w:rPr>
                <w:i/>
                <w:sz w:val="20"/>
                <w:szCs w:val="20"/>
              </w:rPr>
              <w:lastRenderedPageBreak/>
              <w:t>τ</w:t>
            </w:r>
            <w:r>
              <w:rPr>
                <w:i/>
                <w:sz w:val="20"/>
                <w:szCs w:val="20"/>
                <w:vertAlign w:val="subscript"/>
              </w:rPr>
              <w:t>S</w:t>
            </w:r>
          </w:p>
        </w:tc>
        <w:tc>
          <w:tcPr>
            <w:tcW w:w="3069" w:type="dxa"/>
            <w:vAlign w:val="center"/>
          </w:tcPr>
          <w:p w14:paraId="490183FE" w14:textId="29014970" w:rsidR="00117CE7" w:rsidRDefault="00117CE7" w:rsidP="00BF2228">
            <w:pPr>
              <w:pStyle w:val="Nomenclature"/>
              <w:jc w:val="left"/>
              <w:rPr>
                <w:sz w:val="20"/>
                <w:szCs w:val="20"/>
              </w:rPr>
            </w:pPr>
            <w:r>
              <w:rPr>
                <w:sz w:val="20"/>
                <w:szCs w:val="20"/>
              </w:rPr>
              <w:t>viscous stress tensor</w:t>
            </w:r>
          </w:p>
        </w:tc>
        <w:tc>
          <w:tcPr>
            <w:tcW w:w="983" w:type="dxa"/>
            <w:vAlign w:val="center"/>
          </w:tcPr>
          <w:p w14:paraId="5A31903F" w14:textId="5D5E6676" w:rsidR="00117CE7" w:rsidRDefault="00117CE7" w:rsidP="00BF2228">
            <w:pPr>
              <w:pStyle w:val="Nomenclature"/>
              <w:ind w:left="-51"/>
              <w:jc w:val="left"/>
              <w:rPr>
                <w:sz w:val="20"/>
                <w:szCs w:val="20"/>
              </w:rPr>
            </w:pPr>
            <w:r>
              <w:rPr>
                <w:sz w:val="20"/>
                <w:szCs w:val="20"/>
              </w:rPr>
              <w:t>(m</w:t>
            </w:r>
            <w:r>
              <w:rPr>
                <w:sz w:val="20"/>
                <w:szCs w:val="20"/>
                <w:vertAlign w:val="superscript"/>
              </w:rPr>
              <w:t>2</w:t>
            </w:r>
            <w:r>
              <w:rPr>
                <w:sz w:val="20"/>
                <w:szCs w:val="20"/>
              </w:rPr>
              <w:t>/s</w:t>
            </w:r>
            <w:r>
              <w:rPr>
                <w:sz w:val="20"/>
                <w:szCs w:val="20"/>
                <w:vertAlign w:val="superscript"/>
              </w:rPr>
              <w:t>2</w:t>
            </w:r>
            <w:r>
              <w:rPr>
                <w:sz w:val="20"/>
                <w:szCs w:val="20"/>
              </w:rPr>
              <w:t>)</w:t>
            </w:r>
          </w:p>
        </w:tc>
      </w:tr>
      <w:tr w:rsidR="00117CE7" w:rsidRPr="00F44E6D" w14:paraId="7ED2E72E" w14:textId="77777777" w:rsidTr="00BF2228">
        <w:tc>
          <w:tcPr>
            <w:tcW w:w="646" w:type="dxa"/>
            <w:vAlign w:val="center"/>
          </w:tcPr>
          <w:p w14:paraId="71740911" w14:textId="386D8A46" w:rsidR="00117CE7" w:rsidRPr="002B057F" w:rsidRDefault="00117CE7" w:rsidP="00BF2228">
            <w:pPr>
              <w:pStyle w:val="Nomenclature"/>
              <w:jc w:val="left"/>
              <w:rPr>
                <w:i/>
                <w:sz w:val="20"/>
                <w:szCs w:val="20"/>
                <w:vertAlign w:val="subscript"/>
              </w:rPr>
            </w:pPr>
            <w:r>
              <w:rPr>
                <w:i/>
                <w:sz w:val="20"/>
                <w:szCs w:val="20"/>
              </w:rPr>
              <w:t>ϕ</w:t>
            </w:r>
          </w:p>
        </w:tc>
        <w:tc>
          <w:tcPr>
            <w:tcW w:w="3069" w:type="dxa"/>
            <w:vAlign w:val="center"/>
          </w:tcPr>
          <w:p w14:paraId="0B8CBBFD" w14:textId="4852FE4E" w:rsidR="00117CE7" w:rsidRPr="002B057F" w:rsidRDefault="00117CE7" w:rsidP="00BF2228">
            <w:pPr>
              <w:pStyle w:val="Nomenclature"/>
              <w:jc w:val="left"/>
              <w:rPr>
                <w:sz w:val="20"/>
                <w:szCs w:val="20"/>
              </w:rPr>
            </w:pPr>
            <w:r>
              <w:rPr>
                <w:sz w:val="20"/>
                <w:szCs w:val="20"/>
              </w:rPr>
              <w:t>dummy variable</w:t>
            </w:r>
          </w:p>
        </w:tc>
        <w:tc>
          <w:tcPr>
            <w:tcW w:w="983" w:type="dxa"/>
            <w:vAlign w:val="center"/>
          </w:tcPr>
          <w:p w14:paraId="31149CDF" w14:textId="232408AD" w:rsidR="00117CE7" w:rsidRPr="002B057F" w:rsidRDefault="00117CE7" w:rsidP="00BF2228">
            <w:pPr>
              <w:pStyle w:val="Nomenclature"/>
              <w:ind w:left="-51"/>
              <w:jc w:val="left"/>
              <w:rPr>
                <w:sz w:val="20"/>
                <w:szCs w:val="20"/>
              </w:rPr>
            </w:pPr>
          </w:p>
        </w:tc>
      </w:tr>
      <w:tr w:rsidR="00117CE7" w:rsidRPr="00F44E6D" w14:paraId="035D07AC" w14:textId="77777777" w:rsidTr="00BF2228">
        <w:tc>
          <w:tcPr>
            <w:tcW w:w="646" w:type="dxa"/>
            <w:vAlign w:val="center"/>
          </w:tcPr>
          <w:p w14:paraId="307269D3" w14:textId="04F0C0E0" w:rsidR="00117CE7" w:rsidRDefault="00117CE7" w:rsidP="00BF2228">
            <w:pPr>
              <w:pStyle w:val="Nomenclature"/>
              <w:jc w:val="left"/>
              <w:rPr>
                <w:i/>
                <w:sz w:val="20"/>
                <w:szCs w:val="20"/>
              </w:rPr>
            </w:pPr>
            <w:r>
              <w:rPr>
                <w:i/>
                <w:sz w:val="20"/>
                <w:szCs w:val="20"/>
              </w:rPr>
              <w:t>ϕ</w:t>
            </w:r>
            <w:r>
              <w:rPr>
                <w:i/>
                <w:sz w:val="20"/>
                <w:szCs w:val="20"/>
                <w:vertAlign w:val="subscript"/>
              </w:rPr>
              <w:t>n</w:t>
            </w:r>
          </w:p>
        </w:tc>
        <w:tc>
          <w:tcPr>
            <w:tcW w:w="3069" w:type="dxa"/>
            <w:vAlign w:val="center"/>
          </w:tcPr>
          <w:p w14:paraId="305289B6" w14:textId="25AF4B5B" w:rsidR="00117CE7" w:rsidRDefault="00117CE7" w:rsidP="00BF2228">
            <w:pPr>
              <w:pStyle w:val="Nomenclature"/>
              <w:jc w:val="left"/>
              <w:rPr>
                <w:sz w:val="20"/>
                <w:szCs w:val="20"/>
              </w:rPr>
            </w:pPr>
            <w:r>
              <w:rPr>
                <w:sz w:val="20"/>
                <w:szCs w:val="20"/>
              </w:rPr>
              <w:t>dummy variable finite element approximation</w:t>
            </w:r>
          </w:p>
        </w:tc>
        <w:tc>
          <w:tcPr>
            <w:tcW w:w="983" w:type="dxa"/>
            <w:vAlign w:val="center"/>
          </w:tcPr>
          <w:p w14:paraId="6979DE96" w14:textId="35CC9805" w:rsidR="00117CE7" w:rsidRPr="002B057F" w:rsidRDefault="00117CE7" w:rsidP="00BF2228">
            <w:pPr>
              <w:pStyle w:val="Nomenclature"/>
              <w:ind w:left="-51"/>
              <w:jc w:val="left"/>
              <w:rPr>
                <w:sz w:val="20"/>
                <w:szCs w:val="20"/>
              </w:rPr>
            </w:pPr>
          </w:p>
        </w:tc>
      </w:tr>
      <w:tr w:rsidR="00117CE7" w:rsidRPr="00F44E6D" w14:paraId="2CB22C7C" w14:textId="77777777" w:rsidTr="00BF2228">
        <w:tc>
          <w:tcPr>
            <w:tcW w:w="646" w:type="dxa"/>
            <w:vAlign w:val="center"/>
          </w:tcPr>
          <w:p w14:paraId="18EF69D7" w14:textId="65457CAB" w:rsidR="00117CE7" w:rsidRDefault="00117CE7" w:rsidP="00CE4D7E">
            <w:pPr>
              <w:pStyle w:val="Nomenclature"/>
              <w:spacing w:after="0"/>
              <w:ind w:left="-72"/>
              <w:jc w:val="left"/>
              <w:rPr>
                <w:i/>
                <w:sz w:val="20"/>
                <w:szCs w:val="20"/>
              </w:rPr>
            </w:pPr>
            <w:r w:rsidRPr="00E4172B">
              <w:rPr>
                <w:position w:val="-10"/>
              </w:rPr>
              <w:object w:dxaOrig="279" w:dyaOrig="320" w14:anchorId="141DEB99">
                <v:shape id="_x0000_i1041" type="#_x0000_t75" style="width:13.45pt;height:16.1pt" o:ole="">
                  <v:imagedata r:id="rId43" o:title=""/>
                </v:shape>
                <o:OLEObject Type="Embed" ProgID="Equation.3" ShapeID="_x0000_i1041" DrawAspect="Content" ObjectID="_1457171694" r:id="rId44"/>
              </w:object>
            </w:r>
          </w:p>
        </w:tc>
        <w:tc>
          <w:tcPr>
            <w:tcW w:w="3069" w:type="dxa"/>
            <w:vAlign w:val="center"/>
          </w:tcPr>
          <w:p w14:paraId="33BC09FD" w14:textId="33ECD33E" w:rsidR="00117CE7" w:rsidRPr="002B057F" w:rsidRDefault="00117CE7" w:rsidP="00BF2228">
            <w:pPr>
              <w:pStyle w:val="Nomenclature"/>
              <w:spacing w:after="0"/>
              <w:jc w:val="left"/>
              <w:rPr>
                <w:sz w:val="20"/>
                <w:szCs w:val="20"/>
              </w:rPr>
            </w:pPr>
            <w:r>
              <w:rPr>
                <w:sz w:val="20"/>
                <w:szCs w:val="20"/>
              </w:rPr>
              <w:t>fluctuating dummy variable</w:t>
            </w:r>
          </w:p>
        </w:tc>
        <w:tc>
          <w:tcPr>
            <w:tcW w:w="983" w:type="dxa"/>
            <w:vAlign w:val="center"/>
          </w:tcPr>
          <w:p w14:paraId="4FD8012E" w14:textId="58703F9E" w:rsidR="00117CE7" w:rsidRPr="00F44E6D" w:rsidRDefault="00117CE7" w:rsidP="00BF2228">
            <w:pPr>
              <w:pStyle w:val="Nomenclature"/>
              <w:spacing w:after="0"/>
              <w:jc w:val="left"/>
              <w:rPr>
                <w:sz w:val="20"/>
                <w:szCs w:val="20"/>
              </w:rPr>
            </w:pPr>
          </w:p>
        </w:tc>
      </w:tr>
      <w:tr w:rsidR="00117CE7" w:rsidRPr="00F44E6D" w14:paraId="1A639BAC" w14:textId="77777777" w:rsidTr="00BF2228">
        <w:tc>
          <w:tcPr>
            <w:tcW w:w="646" w:type="dxa"/>
            <w:vAlign w:val="center"/>
          </w:tcPr>
          <w:p w14:paraId="10F0A935" w14:textId="4B0D4DD8" w:rsidR="00117CE7" w:rsidRDefault="00117CE7" w:rsidP="00CE4D7E">
            <w:pPr>
              <w:pStyle w:val="Nomenclature"/>
              <w:spacing w:after="0"/>
              <w:ind w:left="-54"/>
              <w:jc w:val="left"/>
              <w:rPr>
                <w:i/>
                <w:sz w:val="20"/>
                <w:szCs w:val="20"/>
              </w:rPr>
            </w:pPr>
            <w:r w:rsidRPr="00E4172B">
              <w:rPr>
                <w:position w:val="-10"/>
              </w:rPr>
              <w:object w:dxaOrig="220" w:dyaOrig="360" w14:anchorId="434816B3">
                <v:shape id="_x0000_i1042" type="#_x0000_t75" style="width:11.3pt;height:18.25pt" o:ole="">
                  <v:imagedata r:id="rId45" o:title=""/>
                </v:shape>
                <o:OLEObject Type="Embed" ProgID="Equation.3" ShapeID="_x0000_i1042" DrawAspect="Content" ObjectID="_1457171695" r:id="rId46"/>
              </w:object>
            </w:r>
          </w:p>
        </w:tc>
        <w:tc>
          <w:tcPr>
            <w:tcW w:w="3069" w:type="dxa"/>
            <w:vAlign w:val="center"/>
          </w:tcPr>
          <w:p w14:paraId="7B981364" w14:textId="0B4C0D29" w:rsidR="00117CE7" w:rsidRPr="002B057F" w:rsidRDefault="00117CE7" w:rsidP="00BF2228">
            <w:pPr>
              <w:pStyle w:val="Nomenclature"/>
              <w:spacing w:after="0"/>
              <w:jc w:val="left"/>
              <w:rPr>
                <w:sz w:val="20"/>
                <w:szCs w:val="20"/>
              </w:rPr>
            </w:pPr>
            <w:r>
              <w:rPr>
                <w:sz w:val="20"/>
                <w:szCs w:val="20"/>
              </w:rPr>
              <w:t>Favre-averaged dummy variable</w:t>
            </w:r>
          </w:p>
        </w:tc>
        <w:tc>
          <w:tcPr>
            <w:tcW w:w="983" w:type="dxa"/>
            <w:vAlign w:val="center"/>
          </w:tcPr>
          <w:p w14:paraId="142CEBED" w14:textId="519B3A02" w:rsidR="00117CE7" w:rsidRPr="00F44E6D" w:rsidRDefault="00117CE7" w:rsidP="00BF2228">
            <w:pPr>
              <w:pStyle w:val="Nomenclature"/>
              <w:spacing w:after="0"/>
              <w:jc w:val="left"/>
              <w:rPr>
                <w:sz w:val="20"/>
                <w:szCs w:val="20"/>
              </w:rPr>
            </w:pPr>
          </w:p>
        </w:tc>
      </w:tr>
      <w:tr w:rsidR="00117CE7" w:rsidRPr="00F44E6D" w14:paraId="1C42AA2E" w14:textId="77777777" w:rsidTr="00BF2228">
        <w:tc>
          <w:tcPr>
            <w:tcW w:w="646" w:type="dxa"/>
            <w:vAlign w:val="center"/>
          </w:tcPr>
          <w:p w14:paraId="6E9C8D83" w14:textId="6E4B1616" w:rsidR="00117CE7" w:rsidRDefault="00117CE7" w:rsidP="00BF2228">
            <w:pPr>
              <w:pStyle w:val="Nomenclature"/>
              <w:spacing w:after="0"/>
              <w:jc w:val="left"/>
            </w:pPr>
            <w:r>
              <w:rPr>
                <w:i/>
                <w:sz w:val="20"/>
                <w:szCs w:val="20"/>
              </w:rPr>
              <w:t>Ψ</w:t>
            </w:r>
          </w:p>
        </w:tc>
        <w:tc>
          <w:tcPr>
            <w:tcW w:w="3069" w:type="dxa"/>
            <w:vAlign w:val="center"/>
          </w:tcPr>
          <w:p w14:paraId="06EDBBED" w14:textId="4F4BC113" w:rsidR="00117CE7" w:rsidRDefault="00117CE7" w:rsidP="00BF2228">
            <w:pPr>
              <w:pStyle w:val="Nomenclature"/>
              <w:spacing w:after="0"/>
              <w:jc w:val="left"/>
              <w:rPr>
                <w:sz w:val="20"/>
                <w:szCs w:val="20"/>
              </w:rPr>
            </w:pPr>
            <w:r>
              <w:rPr>
                <w:sz w:val="20"/>
                <w:szCs w:val="20"/>
              </w:rPr>
              <w:t>finite element basis function</w:t>
            </w:r>
          </w:p>
        </w:tc>
        <w:tc>
          <w:tcPr>
            <w:tcW w:w="983" w:type="dxa"/>
            <w:vAlign w:val="center"/>
          </w:tcPr>
          <w:p w14:paraId="694F24C6" w14:textId="664B355D" w:rsidR="00117CE7" w:rsidRPr="00F44E6D" w:rsidRDefault="00117CE7" w:rsidP="00BF2228">
            <w:pPr>
              <w:pStyle w:val="Nomenclature"/>
              <w:spacing w:after="0"/>
              <w:jc w:val="left"/>
              <w:rPr>
                <w:sz w:val="20"/>
                <w:szCs w:val="20"/>
              </w:rPr>
            </w:pPr>
          </w:p>
        </w:tc>
      </w:tr>
      <w:tr w:rsidR="00117CE7" w:rsidRPr="00F44E6D" w14:paraId="727E6123" w14:textId="77777777" w:rsidTr="00BF2228">
        <w:tc>
          <w:tcPr>
            <w:tcW w:w="646" w:type="dxa"/>
            <w:vAlign w:val="center"/>
          </w:tcPr>
          <w:p w14:paraId="389A20D7" w14:textId="57EE2696" w:rsidR="00117CE7" w:rsidRPr="00D341DD" w:rsidRDefault="00117CE7" w:rsidP="00BF2228">
            <w:pPr>
              <w:pStyle w:val="Nomenclature"/>
              <w:jc w:val="left"/>
              <w:rPr>
                <w:i/>
                <w:sz w:val="20"/>
                <w:szCs w:val="20"/>
                <w:vertAlign w:val="subscript"/>
              </w:rPr>
            </w:pPr>
          </w:p>
        </w:tc>
        <w:tc>
          <w:tcPr>
            <w:tcW w:w="3069" w:type="dxa"/>
            <w:vAlign w:val="center"/>
          </w:tcPr>
          <w:p w14:paraId="0BEAA0A4" w14:textId="1D40F3A1" w:rsidR="00117CE7" w:rsidRDefault="00117CE7" w:rsidP="00BF2228">
            <w:pPr>
              <w:pStyle w:val="Nomenclature"/>
              <w:jc w:val="left"/>
              <w:rPr>
                <w:sz w:val="20"/>
                <w:szCs w:val="20"/>
              </w:rPr>
            </w:pPr>
          </w:p>
        </w:tc>
        <w:tc>
          <w:tcPr>
            <w:tcW w:w="983" w:type="dxa"/>
            <w:vAlign w:val="center"/>
          </w:tcPr>
          <w:p w14:paraId="43216076" w14:textId="0036F8A9" w:rsidR="00117CE7" w:rsidRPr="00F44E6D" w:rsidRDefault="00117CE7" w:rsidP="00BF2228">
            <w:pPr>
              <w:pStyle w:val="Nomenclature"/>
              <w:jc w:val="left"/>
              <w:rPr>
                <w:sz w:val="20"/>
                <w:szCs w:val="20"/>
              </w:rPr>
            </w:pPr>
          </w:p>
        </w:tc>
      </w:tr>
      <w:tr w:rsidR="00117CE7" w:rsidRPr="00F44E6D" w14:paraId="2574F310" w14:textId="77777777" w:rsidTr="00BF2228">
        <w:tc>
          <w:tcPr>
            <w:tcW w:w="646" w:type="dxa"/>
            <w:vAlign w:val="center"/>
          </w:tcPr>
          <w:p w14:paraId="757D1511" w14:textId="255670ED" w:rsidR="00117CE7" w:rsidRDefault="00117CE7" w:rsidP="00CE4D7E">
            <w:pPr>
              <w:pStyle w:val="Nomenclature"/>
              <w:ind w:left="-54"/>
              <w:jc w:val="left"/>
              <w:rPr>
                <w:i/>
                <w:sz w:val="20"/>
                <w:szCs w:val="20"/>
              </w:rPr>
            </w:pPr>
            <w:r>
              <w:rPr>
                <w:noProof/>
                <w:position w:val="-6"/>
              </w:rPr>
              <w:drawing>
                <wp:inline distT="0" distB="0" distL="0" distR="0" wp14:anchorId="2C40CE3E" wp14:editId="4D34E77B">
                  <wp:extent cx="184150" cy="184150"/>
                  <wp:effectExtent l="0" t="0" r="635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p>
        </w:tc>
        <w:tc>
          <w:tcPr>
            <w:tcW w:w="3069" w:type="dxa"/>
            <w:vAlign w:val="center"/>
          </w:tcPr>
          <w:p w14:paraId="5A9E2A88" w14:textId="01A1340D" w:rsidR="00117CE7" w:rsidRDefault="00117CE7" w:rsidP="00BF2228">
            <w:pPr>
              <w:pStyle w:val="Nomenclature"/>
              <w:jc w:val="left"/>
              <w:rPr>
                <w:sz w:val="20"/>
                <w:szCs w:val="20"/>
              </w:rPr>
            </w:pPr>
            <w:r>
              <w:rPr>
                <w:sz w:val="20"/>
                <w:szCs w:val="20"/>
              </w:rPr>
              <w:t>linear operator</w:t>
            </w:r>
          </w:p>
        </w:tc>
        <w:tc>
          <w:tcPr>
            <w:tcW w:w="983" w:type="dxa"/>
            <w:vAlign w:val="center"/>
          </w:tcPr>
          <w:p w14:paraId="00D278E7" w14:textId="4285E2B1" w:rsidR="00117CE7" w:rsidRPr="00F44E6D" w:rsidRDefault="00117CE7" w:rsidP="00BF2228">
            <w:pPr>
              <w:pStyle w:val="Nomenclature"/>
              <w:jc w:val="left"/>
              <w:rPr>
                <w:sz w:val="20"/>
                <w:szCs w:val="20"/>
              </w:rPr>
            </w:pPr>
          </w:p>
        </w:tc>
      </w:tr>
      <w:tr w:rsidR="00117CE7" w:rsidRPr="00F44E6D" w14:paraId="0ADDAA9C" w14:textId="77777777" w:rsidTr="00BF2228">
        <w:tc>
          <w:tcPr>
            <w:tcW w:w="646" w:type="dxa"/>
            <w:vAlign w:val="center"/>
          </w:tcPr>
          <w:p w14:paraId="63D376AC" w14:textId="4CC87D90" w:rsidR="00117CE7" w:rsidRDefault="00117CE7" w:rsidP="00BF2228">
            <w:pPr>
              <w:pStyle w:val="Nomenclature"/>
              <w:jc w:val="left"/>
              <w:rPr>
                <w:i/>
                <w:sz w:val="20"/>
                <w:szCs w:val="20"/>
              </w:rPr>
            </w:pPr>
          </w:p>
        </w:tc>
        <w:tc>
          <w:tcPr>
            <w:tcW w:w="3069" w:type="dxa"/>
            <w:vAlign w:val="center"/>
          </w:tcPr>
          <w:p w14:paraId="427C7EA0" w14:textId="3356D452" w:rsidR="00117CE7" w:rsidRPr="002B057F" w:rsidRDefault="00117CE7" w:rsidP="00BF2228">
            <w:pPr>
              <w:pStyle w:val="Nomenclature"/>
              <w:jc w:val="left"/>
              <w:rPr>
                <w:sz w:val="20"/>
                <w:szCs w:val="20"/>
              </w:rPr>
            </w:pPr>
          </w:p>
        </w:tc>
        <w:tc>
          <w:tcPr>
            <w:tcW w:w="983" w:type="dxa"/>
            <w:vAlign w:val="center"/>
          </w:tcPr>
          <w:p w14:paraId="3D12874F" w14:textId="726FF9A1" w:rsidR="00117CE7" w:rsidRPr="00F44E6D" w:rsidRDefault="00117CE7" w:rsidP="00BF2228">
            <w:pPr>
              <w:pStyle w:val="Nomenclature"/>
              <w:jc w:val="left"/>
              <w:rPr>
                <w:sz w:val="20"/>
                <w:szCs w:val="20"/>
              </w:rPr>
            </w:pPr>
          </w:p>
        </w:tc>
      </w:tr>
      <w:tr w:rsidR="00117CE7" w:rsidRPr="00F44E6D" w14:paraId="4CCA6B7A" w14:textId="77777777" w:rsidTr="00BF2228">
        <w:tc>
          <w:tcPr>
            <w:tcW w:w="646" w:type="dxa"/>
            <w:vAlign w:val="center"/>
          </w:tcPr>
          <w:p w14:paraId="0213AED8" w14:textId="34D53571" w:rsidR="00117CE7" w:rsidRDefault="00117CE7" w:rsidP="00BF2228">
            <w:pPr>
              <w:pStyle w:val="Nomenclature"/>
              <w:jc w:val="left"/>
              <w:rPr>
                <w:i/>
                <w:sz w:val="20"/>
                <w:szCs w:val="20"/>
              </w:rPr>
            </w:pPr>
          </w:p>
        </w:tc>
        <w:tc>
          <w:tcPr>
            <w:tcW w:w="3069" w:type="dxa"/>
            <w:vAlign w:val="center"/>
          </w:tcPr>
          <w:p w14:paraId="482744CC" w14:textId="5A39EAAB" w:rsidR="00117CE7" w:rsidRPr="002B057F" w:rsidRDefault="00117CE7" w:rsidP="00BF2228">
            <w:pPr>
              <w:pStyle w:val="Nomenclature"/>
              <w:jc w:val="left"/>
              <w:rPr>
                <w:sz w:val="20"/>
                <w:szCs w:val="20"/>
              </w:rPr>
            </w:pPr>
          </w:p>
        </w:tc>
        <w:tc>
          <w:tcPr>
            <w:tcW w:w="983" w:type="dxa"/>
            <w:vAlign w:val="center"/>
          </w:tcPr>
          <w:p w14:paraId="25872606" w14:textId="3E7BF790" w:rsidR="00117CE7" w:rsidRPr="00F44E6D" w:rsidRDefault="00117CE7" w:rsidP="00BF2228">
            <w:pPr>
              <w:pStyle w:val="Nomenclature"/>
              <w:jc w:val="left"/>
              <w:rPr>
                <w:sz w:val="20"/>
                <w:szCs w:val="20"/>
              </w:rPr>
            </w:pPr>
          </w:p>
        </w:tc>
      </w:tr>
      <w:tr w:rsidR="00117CE7" w:rsidRPr="00F44E6D" w14:paraId="44FCFEBB" w14:textId="77777777" w:rsidTr="00BF2228">
        <w:tc>
          <w:tcPr>
            <w:tcW w:w="646" w:type="dxa"/>
            <w:vAlign w:val="center"/>
          </w:tcPr>
          <w:p w14:paraId="7CF4D42A" w14:textId="705315E5" w:rsidR="00117CE7" w:rsidRPr="002B057F" w:rsidRDefault="00117CE7" w:rsidP="00BF2228">
            <w:pPr>
              <w:pStyle w:val="Nomenclature"/>
              <w:jc w:val="left"/>
              <w:rPr>
                <w:sz w:val="20"/>
                <w:szCs w:val="20"/>
              </w:rPr>
            </w:pPr>
          </w:p>
        </w:tc>
        <w:tc>
          <w:tcPr>
            <w:tcW w:w="3069" w:type="dxa"/>
            <w:vAlign w:val="center"/>
          </w:tcPr>
          <w:p w14:paraId="577C4186" w14:textId="573DD5F4" w:rsidR="00117CE7" w:rsidRPr="002B057F" w:rsidRDefault="00117CE7" w:rsidP="00BF2228">
            <w:pPr>
              <w:pStyle w:val="Nomenclature"/>
              <w:jc w:val="left"/>
              <w:rPr>
                <w:sz w:val="20"/>
                <w:szCs w:val="20"/>
              </w:rPr>
            </w:pPr>
          </w:p>
        </w:tc>
        <w:tc>
          <w:tcPr>
            <w:tcW w:w="983" w:type="dxa"/>
            <w:vAlign w:val="center"/>
          </w:tcPr>
          <w:p w14:paraId="54EA8BAB" w14:textId="5768F385" w:rsidR="00117CE7" w:rsidRPr="00F44E6D" w:rsidRDefault="00117CE7" w:rsidP="00BF2228">
            <w:pPr>
              <w:pStyle w:val="Nomenclature"/>
              <w:jc w:val="left"/>
              <w:rPr>
                <w:sz w:val="20"/>
                <w:szCs w:val="20"/>
              </w:rPr>
            </w:pPr>
          </w:p>
        </w:tc>
      </w:tr>
    </w:tbl>
    <w:p w14:paraId="1C69DBF1" w14:textId="15CF57E2" w:rsidR="00AD799C" w:rsidRPr="002B057F" w:rsidRDefault="00AD799C" w:rsidP="00AD799C">
      <w:pPr>
        <w:pStyle w:val="Nomenclature"/>
        <w:rPr>
          <w:vertAlign w:val="subscript"/>
        </w:rPr>
      </w:pPr>
    </w:p>
    <w:p w14:paraId="42B3C908" w14:textId="77777777" w:rsidR="00AD799C" w:rsidRDefault="00AD799C" w:rsidP="00AD799C">
      <w:pPr>
        <w:tabs>
          <w:tab w:val="left" w:pos="540"/>
          <w:tab w:val="right" w:pos="4320"/>
        </w:tabs>
        <w:spacing w:after="80" w:line="240" w:lineRule="auto"/>
        <w:ind w:firstLine="0"/>
      </w:pPr>
    </w:p>
    <w:p w14:paraId="5F741630" w14:textId="77777777" w:rsidR="00AD799C" w:rsidRDefault="00AD799C" w:rsidP="00AD799C">
      <w:pPr>
        <w:tabs>
          <w:tab w:val="left" w:pos="540"/>
          <w:tab w:val="right" w:pos="4320"/>
        </w:tabs>
        <w:spacing w:after="80" w:line="240" w:lineRule="auto"/>
        <w:ind w:firstLine="0"/>
      </w:pPr>
    </w:p>
    <w:p w14:paraId="622BD239" w14:textId="0BFEB3F8" w:rsidR="00BF3A8C" w:rsidRPr="005D4FBD" w:rsidRDefault="00BF3A8C" w:rsidP="005D4FBD">
      <w:pPr>
        <w:tabs>
          <w:tab w:val="left" w:pos="540"/>
          <w:tab w:val="right" w:pos="4320"/>
        </w:tabs>
        <w:spacing w:after="80" w:line="240" w:lineRule="auto"/>
        <w:ind w:firstLine="0"/>
        <w:sectPr w:rsidR="00BF3A8C" w:rsidRPr="005D4FBD" w:rsidSect="00341B07">
          <w:endnotePr>
            <w:numFmt w:val="decimal"/>
          </w:endnotePr>
          <w:type w:val="continuous"/>
          <w:pgSz w:w="12240" w:h="15840"/>
          <w:pgMar w:top="1440" w:right="1440" w:bottom="1440" w:left="1440" w:header="720" w:footer="720" w:gutter="0"/>
          <w:pgNumType w:fmt="lowerRoman"/>
          <w:cols w:num="2" w:space="720"/>
          <w:docGrid w:linePitch="360"/>
        </w:sectPr>
      </w:pPr>
    </w:p>
    <w:p w14:paraId="701BAC87" w14:textId="77777777" w:rsidR="00C978FD" w:rsidRDefault="00C978FD" w:rsidP="00C978FD">
      <w:pPr>
        <w:pStyle w:val="Nomenclature"/>
        <w:rPr>
          <w:sz w:val="24"/>
        </w:rPr>
        <w:sectPr w:rsidR="00C978FD" w:rsidSect="00BF3A8C">
          <w:endnotePr>
            <w:numFmt w:val="decimal"/>
          </w:endnotePr>
          <w:type w:val="continuous"/>
          <w:pgSz w:w="12240" w:h="15840"/>
          <w:pgMar w:top="1440" w:right="1440" w:bottom="1440" w:left="1440" w:header="720" w:footer="720" w:gutter="0"/>
          <w:cols w:space="720"/>
          <w:docGrid w:linePitch="360"/>
        </w:sectPr>
      </w:pPr>
    </w:p>
    <w:p w14:paraId="1EA257B0" w14:textId="77777777" w:rsidR="00F359EF" w:rsidRDefault="00155E9F" w:rsidP="0038463A">
      <w:pPr>
        <w:pStyle w:val="Heading1"/>
        <w:ind w:firstLine="0"/>
      </w:pPr>
      <w:r>
        <w:lastRenderedPageBreak/>
        <w:fldChar w:fldCharType="begin"/>
      </w:r>
      <w:bookmarkStart w:id="1" w:name="_Ref377567341"/>
      <w:bookmarkEnd w:id="1"/>
      <w:r>
        <w:instrText xml:space="preserve"> LISTNUM CHAP </w:instrText>
      </w:r>
      <w:bookmarkStart w:id="2" w:name="_Toc382921528"/>
      <w:r>
        <w:fldChar w:fldCharType="end"/>
      </w:r>
      <w:r>
        <w:t xml:space="preserve">    </w:t>
      </w:r>
      <w:r w:rsidRPr="00A62B9B">
        <w:t>Background</w:t>
      </w:r>
      <w:bookmarkEnd w:id="2"/>
      <w:r w:rsidR="00F359EF">
        <w:t xml:space="preserve"> </w:t>
      </w:r>
    </w:p>
    <w:p w14:paraId="630BD039" w14:textId="550AB276" w:rsidR="00155E9F" w:rsidRPr="003D3483" w:rsidRDefault="00155E9F" w:rsidP="00F359EF">
      <w:pPr>
        <w:pStyle w:val="Subtitle"/>
      </w:pPr>
      <w:r w:rsidRPr="00FF3A17">
        <w:rPr>
          <w:rStyle w:val="SubtitleChar"/>
        </w:rPr>
        <w:fldChar w:fldCharType="begin"/>
      </w:r>
      <w:r w:rsidRPr="00FF3A17">
        <w:rPr>
          <w:rStyle w:val="SubtitleChar"/>
        </w:rPr>
        <w:instrText xml:space="preserve"> LISTNUM EQN </w:instrText>
      </w:r>
      <w:r w:rsidRPr="00FF3A17">
        <w:rPr>
          <w:rStyle w:val="SubtitleChar"/>
        </w:rPr>
        <w:fldChar w:fldCharType="end"/>
      </w:r>
      <w:r w:rsidRPr="00FF3A17">
        <w:rPr>
          <w:rStyle w:val="SubtitleChar"/>
        </w:rPr>
        <w:fldChar w:fldCharType="begin"/>
      </w:r>
      <w:r w:rsidRPr="00FF3A17">
        <w:rPr>
          <w:rStyle w:val="SubtitleChar"/>
        </w:rPr>
        <w:instrText xml:space="preserve"> LISTNUM FIG </w:instrText>
      </w:r>
      <w:r w:rsidRPr="00FF3A17">
        <w:rPr>
          <w:rStyle w:val="SubtitleChar"/>
        </w:rPr>
        <w:fldChar w:fldCharType="end"/>
      </w:r>
      <w:r w:rsidR="005B50CC" w:rsidRPr="00FF3A17">
        <w:rPr>
          <w:rStyle w:val="SubtitleChar"/>
        </w:rPr>
        <w:fldChar w:fldCharType="begin"/>
      </w:r>
      <w:r w:rsidR="005B50CC" w:rsidRPr="00FF3A17">
        <w:rPr>
          <w:rStyle w:val="SubtitleChar"/>
        </w:rPr>
        <w:instrText xml:space="preserve">LISTNUM TAB </w:instrText>
      </w:r>
      <w:r w:rsidR="005B50CC" w:rsidRPr="00FF3A17">
        <w:rPr>
          <w:rStyle w:val="SubtitleChar"/>
        </w:rPr>
        <w:fldChar w:fldCharType="end"/>
      </w:r>
    </w:p>
    <w:p w14:paraId="3BC9293E" w14:textId="29F7F3A2" w:rsidR="00155E9F" w:rsidRDefault="00155E9F" w:rsidP="00DF0C87">
      <w:pPr>
        <w:pStyle w:val="Heading2"/>
      </w:pPr>
      <w:r>
        <w:fldChar w:fldCharType="begin"/>
      </w:r>
      <w:r>
        <w:instrText xml:space="preserve"> LISTNUM CHAP \l 2 </w:instrText>
      </w:r>
      <w:bookmarkStart w:id="3" w:name="_Toc382921529"/>
      <w:r>
        <w:fldChar w:fldCharType="end"/>
      </w:r>
      <w:r>
        <w:t xml:space="preserve">    Reactor </w:t>
      </w:r>
      <w:r w:rsidRPr="00A62B9B">
        <w:t>History</w:t>
      </w:r>
      <w:bookmarkEnd w:id="3"/>
    </w:p>
    <w:p w14:paraId="573FF824" w14:textId="2F05DEFC" w:rsidR="00155E9F" w:rsidRDefault="00155E9F" w:rsidP="00DF0C87">
      <w:r w:rsidRPr="00D138A0">
        <w:t>The High Flux Isotope Reactor (</w:t>
      </w:r>
      <w:r w:rsidR="00D5702F">
        <w:t>HFIR) at Oak Ridge National Laboratory</w:t>
      </w:r>
      <w:r w:rsidRPr="00D138A0">
        <w:t xml:space="preserve"> (ORNL) was constructed as a result of a review of the United States’ transuranium isotope production capabilities by the now-defunct Atomi</w:t>
      </w:r>
      <w:r>
        <w:t>c Energy Commission in 1958.</w:t>
      </w:r>
      <w:r>
        <w:rPr>
          <w:rStyle w:val="EndnoteReference"/>
        </w:rPr>
        <w:endnoteReference w:id="1"/>
      </w:r>
      <w:r w:rsidRPr="00D138A0">
        <w:t xml:space="preserve">  To this day, HFIR maintains the distinction of producing the highest research reactor-based neutron flux, approximately</w:t>
      </w:r>
      <w:r w:rsidR="0018519A">
        <w:t xml:space="preserve"> 4 X 10</w:t>
      </w:r>
      <w:r w:rsidR="0018519A">
        <w:rPr>
          <w:vertAlign w:val="superscript"/>
        </w:rPr>
        <w:t>15</w:t>
      </w:r>
      <w:r w:rsidR="0018519A">
        <w:t xml:space="preserve"> neutrons/cm</w:t>
      </w:r>
      <w:r w:rsidR="0018519A">
        <w:rPr>
          <w:vertAlign w:val="superscript"/>
        </w:rPr>
        <w:t>2</w:t>
      </w:r>
      <w:r w:rsidR="0018519A">
        <w:t>/s</w:t>
      </w:r>
      <w:r w:rsidR="00E2446D">
        <w:t>,</w:t>
      </w:r>
      <w:r w:rsidR="0018519A">
        <w:t xml:space="preserve"> </w:t>
      </w:r>
      <w:r w:rsidRPr="00D138A0">
        <w:t>in the United States.</w:t>
      </w:r>
      <w:r>
        <w:rPr>
          <w:rStyle w:val="EndnoteReference"/>
        </w:rPr>
        <w:endnoteReference w:id="2"/>
      </w:r>
      <w:r w:rsidRPr="00D138A0">
        <w:t xml:space="preserve">  In the </w:t>
      </w:r>
      <w:r w:rsidR="00D5702F">
        <w:t>decades since</w:t>
      </w:r>
      <w:r w:rsidR="00802455">
        <w:t xml:space="preserve"> its activation,</w:t>
      </w:r>
      <w:r w:rsidRPr="00D138A0">
        <w:t xml:space="preserve"> HFIR’s capabilities have expanded and evolved with the country’s needs.  Today the reactor is used for material irradiation, neutron activation analysis, and neutron scattering studies in addition to the production of transuranium isotopes.  Most notably, HFIR is the sole producer of Californium-252 </w:t>
      </w:r>
      <w:r w:rsidR="00DB41C2">
        <w:t>(Cf</w:t>
      </w:r>
      <w:r w:rsidR="00DB41C2">
        <w:rPr>
          <w:vertAlign w:val="superscript"/>
        </w:rPr>
        <w:t>252</w:t>
      </w:r>
      <w:r w:rsidR="00DB41C2">
        <w:t xml:space="preserve">) </w:t>
      </w:r>
      <w:r w:rsidRPr="00D138A0">
        <w:t>in the west</w:t>
      </w:r>
      <w:r>
        <w:t>ern</w:t>
      </w:r>
      <w:r w:rsidR="00DB41C2">
        <w:t xml:space="preserve"> world.  Cf</w:t>
      </w:r>
      <w:r w:rsidRPr="00DB41C2">
        <w:rPr>
          <w:vertAlign w:val="superscript"/>
        </w:rPr>
        <w:t>252</w:t>
      </w:r>
      <w:r w:rsidRPr="00D138A0">
        <w:t xml:space="preserve"> is used in pollution and explosives detectors</w:t>
      </w:r>
      <w:r>
        <w:t xml:space="preserve"> as well as cancer therapy.</w:t>
      </w:r>
      <w:r>
        <w:rPr>
          <w:rStyle w:val="EndnoteReference"/>
        </w:rPr>
        <w:endnoteReference w:id="3"/>
      </w:r>
      <w:r w:rsidRPr="00D138A0">
        <w:t xml:space="preserve">  </w:t>
      </w:r>
      <w:r w:rsidR="003B4F27">
        <w:t>HFIR is</w:t>
      </w:r>
      <w:r w:rsidR="00802455">
        <w:t xml:space="preserve"> slated to begin production</w:t>
      </w:r>
      <w:r w:rsidRPr="00D138A0">
        <w:t xml:space="preserve"> of plutonium-238</w:t>
      </w:r>
      <w:r w:rsidR="00DB41C2">
        <w:t xml:space="preserve"> (Pu</w:t>
      </w:r>
      <w:r w:rsidR="00DB41C2">
        <w:rPr>
          <w:vertAlign w:val="superscript"/>
        </w:rPr>
        <w:t>238</w:t>
      </w:r>
      <w:r w:rsidR="00DB41C2">
        <w:t>)</w:t>
      </w:r>
      <w:r w:rsidR="003B4F27">
        <w:t>, the</w:t>
      </w:r>
      <w:r w:rsidRPr="00D138A0">
        <w:t xml:space="preserve"> fuel</w:t>
      </w:r>
      <w:r>
        <w:t xml:space="preserve"> source in </w:t>
      </w:r>
      <w:r w:rsidR="00883789">
        <w:t>Radioisotope Thermoelectric G</w:t>
      </w:r>
      <w:r>
        <w:t>ener</w:t>
      </w:r>
      <w:r w:rsidRPr="00D138A0">
        <w:t>ators (RTGs) employed by NASA aboard</w:t>
      </w:r>
      <w:r>
        <w:t xml:space="preserve"> interplanetary spacecraft.</w:t>
      </w:r>
      <w:r w:rsidRPr="00D138A0">
        <w:t xml:space="preserve">  Prior to HFIR’s on-going efforts to</w:t>
      </w:r>
      <w:r w:rsidR="00DB41C2">
        <w:t xml:space="preserve"> become a stable provider of Pu</w:t>
      </w:r>
      <w:r w:rsidRPr="00DB41C2">
        <w:rPr>
          <w:vertAlign w:val="superscript"/>
        </w:rPr>
        <w:t>238</w:t>
      </w:r>
      <w:r w:rsidRPr="00D138A0">
        <w:t>, the Unite</w:t>
      </w:r>
      <w:r>
        <w:t>d States had</w:t>
      </w:r>
      <w:r w:rsidRPr="00D138A0">
        <w:t xml:space="preserve"> been without a production source since 1988 forcing the cou</w:t>
      </w:r>
      <w:r w:rsidR="00802455">
        <w:t>ntry to rely on Russia to sell off</w:t>
      </w:r>
      <w:r w:rsidRPr="00D138A0">
        <w:t xml:space="preserve"> portions of their own stores of the isotope.</w:t>
      </w:r>
      <w:r>
        <w:rPr>
          <w:rStyle w:val="EndnoteReference"/>
        </w:rPr>
        <w:endnoteReference w:id="4"/>
      </w:r>
      <w:r>
        <w:t xml:space="preserve">  The reactor has even been used by the candy manufacturer Mars, Inc. to perfect its pretzel M&amp;M formula.  The reactor’s neutron flux was used to produce detailed images of the candy pieces </w:t>
      </w:r>
      <w:r w:rsidR="00802455">
        <w:t>in order to analyze the bleed-through of water for</w:t>
      </w:r>
      <w:r>
        <w:t xml:space="preserve"> the various colored shells.</w:t>
      </w:r>
      <w:r>
        <w:rPr>
          <w:rStyle w:val="EndnoteReference"/>
        </w:rPr>
        <w:endnoteReference w:id="5"/>
      </w:r>
    </w:p>
    <w:p w14:paraId="1A57E710" w14:textId="2D15F425" w:rsidR="00155E9F" w:rsidRDefault="00155E9F" w:rsidP="00DF0C87">
      <w:pPr>
        <w:pStyle w:val="Heading2"/>
      </w:pPr>
      <w:r>
        <w:fldChar w:fldCharType="begin"/>
      </w:r>
      <w:r>
        <w:instrText xml:space="preserve"> LISTNUM CHAP \l 2 </w:instrText>
      </w:r>
      <w:bookmarkStart w:id="4" w:name="_Toc382921530"/>
      <w:r>
        <w:fldChar w:fldCharType="end"/>
      </w:r>
      <w:r>
        <w:t xml:space="preserve">    </w:t>
      </w:r>
      <w:r w:rsidR="002F6E4E" w:rsidRPr="00A62B9B">
        <w:rPr>
          <w:rStyle w:val="Heading2Char"/>
          <w:b/>
        </w:rPr>
        <w:t>Design Overview</w:t>
      </w:r>
      <w:bookmarkEnd w:id="4"/>
    </w:p>
    <w:p w14:paraId="4C1F6A53" w14:textId="40A7EC9C" w:rsidR="00155E9F" w:rsidRDefault="00155E9F" w:rsidP="00DF0C87">
      <w:r w:rsidRPr="00D138A0">
        <w:t xml:space="preserve">  </w:t>
      </w:r>
      <w:r>
        <w:t>HFIR was designed with an intended power output of 100 MW.  But accelerated reactor vessel embrittlement due to neutron irradiation was identified in 1986, prompting the reactor’s power output to be dropped to 85 MW ever since.</w:t>
      </w:r>
      <w:r>
        <w:rPr>
          <w:rStyle w:val="EndnoteReference"/>
        </w:rPr>
        <w:endnoteReference w:id="6"/>
      </w:r>
      <w:r>
        <w:t xml:space="preserve">  Subsequent reactor vessel analysis has shown this level of power output to be sustainable in this regard.  Current projections predict that HFIR will continue to operate well into </w:t>
      </w:r>
      <w:r w:rsidRPr="00A629E0">
        <w:t>2040</w:t>
      </w:r>
      <w:r>
        <w:t xml:space="preserve"> and beyond.  The reactor itself is water-cooled, having coolant pumped in vertically through two concentric circular annuli at a flow rate of approximately </w:t>
      </w:r>
      <w:r w:rsidR="00802455">
        <w:t>1.0</w:t>
      </w:r>
      <w:r>
        <w:t xml:space="preserve"> m</w:t>
      </w:r>
      <w:r>
        <w:rPr>
          <w:vertAlign w:val="superscript"/>
        </w:rPr>
        <w:t>3</w:t>
      </w:r>
      <w:r>
        <w:t>/s.  The system is designed to o</w:t>
      </w:r>
      <w:r w:rsidR="00EF534C">
        <w:t>perate at an inlet pressure of 3</w:t>
      </w:r>
      <w:r w:rsidR="00802455">
        <w:t>.3</w:t>
      </w:r>
      <w:r w:rsidR="00112CA7">
        <w:t xml:space="preserve"> M</w:t>
      </w:r>
      <w:r w:rsidR="00802455">
        <w:t>Pa with a velocity of 7.8</w:t>
      </w:r>
      <w:r>
        <w:t xml:space="preserve"> m/s</w:t>
      </w:r>
      <w:r w:rsidR="00802455">
        <w:t xml:space="preserve"> and a temperature of 322</w:t>
      </w:r>
      <w:r w:rsidR="00DB198A">
        <w:t xml:space="preserve"> K</w:t>
      </w:r>
      <w:r>
        <w:t>.  With the current high-enriched uranium (HEU) fuel configuration, the co</w:t>
      </w:r>
      <w:r w:rsidR="003B4F27">
        <w:t>olant undergoes a</w:t>
      </w:r>
      <w:r>
        <w:t xml:space="preserve"> 20 K temperature increase from inlet to outl</w:t>
      </w:r>
      <w:r w:rsidR="003B4F27">
        <w:t>et with a pressure drop of</w:t>
      </w:r>
      <w:r>
        <w:t xml:space="preserve"> </w:t>
      </w:r>
      <w:r w:rsidR="00112CA7">
        <w:t>0.</w:t>
      </w:r>
      <w:r w:rsidR="00802455">
        <w:t>76</w:t>
      </w:r>
      <w:r w:rsidR="00112CA7">
        <w:t xml:space="preserve"> M</w:t>
      </w:r>
      <w:r>
        <w:t>Pa.</w:t>
      </w:r>
      <w:bookmarkStart w:id="5" w:name="_Ref382821344"/>
      <w:r>
        <w:rPr>
          <w:rStyle w:val="EndnoteReference"/>
        </w:rPr>
        <w:endnoteReference w:id="7"/>
      </w:r>
      <w:bookmarkEnd w:id="5"/>
      <w:r>
        <w:t xml:space="preserve">  A top-down schematic of the reactor core and adjacent experi</w:t>
      </w:r>
      <w:r w:rsidR="006E01EF">
        <w:t xml:space="preserve">mental setups is shown in Fig. </w:t>
      </w:r>
      <w:r w:rsidR="006E01EF">
        <w:fldChar w:fldCharType="begin"/>
      </w:r>
      <w:r w:rsidR="006E01EF">
        <w:instrText xml:space="preserve"> REF _Ref377387323 \r \h </w:instrText>
      </w:r>
      <w:r w:rsidR="006E01EF">
        <w:fldChar w:fldCharType="separate"/>
      </w:r>
      <w:r w:rsidR="001C5EC1">
        <w:t>1.1</w:t>
      </w:r>
      <w:r w:rsidR="006E01EF">
        <w:fldChar w:fldCharType="end"/>
      </w:r>
      <w:r w:rsidR="006E01EF">
        <w:t>.</w:t>
      </w:r>
    </w:p>
    <w:p w14:paraId="6C3EC58C" w14:textId="77777777" w:rsidR="00155E9F" w:rsidRDefault="00155E9F" w:rsidP="003E0C5E">
      <w:pPr>
        <w:pStyle w:val="PictureSytel"/>
      </w:pPr>
      <w:r>
        <w:rPr>
          <w:noProof/>
        </w:rPr>
        <w:lastRenderedPageBreak/>
        <w:drawing>
          <wp:inline distT="0" distB="0" distL="0" distR="0" wp14:anchorId="1D1AE630" wp14:editId="2BFD7A1C">
            <wp:extent cx="5027961" cy="3481434"/>
            <wp:effectExtent l="19050" t="19050" r="20320" b="2413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025095" cy="3479449"/>
                    </a:xfrm>
                    <a:prstGeom prst="rect">
                      <a:avLst/>
                    </a:prstGeom>
                    <a:ln>
                      <a:solidFill>
                        <a:schemeClr val="tx1"/>
                      </a:solidFill>
                    </a:ln>
                  </pic:spPr>
                </pic:pic>
              </a:graphicData>
            </a:graphic>
          </wp:inline>
        </w:drawing>
      </w:r>
    </w:p>
    <w:p w14:paraId="3F2D6C11" w14:textId="7E9879D0" w:rsidR="00155E9F" w:rsidRPr="00BB2354" w:rsidRDefault="006E01EF" w:rsidP="00BB2354">
      <w:pPr>
        <w:pStyle w:val="FigTitleStyle"/>
        <w:rPr>
          <w:b w:val="0"/>
        </w:rPr>
      </w:pPr>
      <w:bookmarkStart w:id="6" w:name="_Toc380157634"/>
      <w:bookmarkStart w:id="7" w:name="_Toc380156089"/>
      <w:bookmarkStart w:id="8" w:name="_Toc382920240"/>
      <w:r>
        <w:t xml:space="preserve">Fig. </w:t>
      </w:r>
      <w:r>
        <w:fldChar w:fldCharType="begin"/>
      </w:r>
      <w:bookmarkStart w:id="9" w:name="_Ref377387323"/>
      <w:bookmarkEnd w:id="9"/>
      <w:r>
        <w:instrText xml:space="preserve"> LISTNUM FIG \l 2 </w:instrText>
      </w:r>
      <w:r>
        <w:fldChar w:fldCharType="end"/>
      </w:r>
      <w:r w:rsidR="00155E9F" w:rsidRPr="006E01EF">
        <w:t>.  Top-Down Reactor Vessel Schematic.</w:t>
      </w:r>
      <w:bookmarkStart w:id="10" w:name="_Ref382817828"/>
      <w:bookmarkEnd w:id="6"/>
      <w:r w:rsidR="00783CD4">
        <w:rPr>
          <w:rStyle w:val="EndnoteReference"/>
        </w:rPr>
        <w:endnoteReference w:id="8"/>
      </w:r>
      <w:bookmarkEnd w:id="10"/>
      <w:r w:rsidR="00155E9F" w:rsidRPr="002470C7">
        <w:rPr>
          <w:rStyle w:val="TitleChar"/>
        </w:rPr>
        <w:t xml:space="preserve">  </w:t>
      </w:r>
      <w:bookmarkStart w:id="11" w:name="_Toc380157635"/>
      <w:r w:rsidR="00155E9F" w:rsidRPr="002470C7">
        <w:rPr>
          <w:rStyle w:val="TitleChar"/>
        </w:rPr>
        <w:t>The directio</w:t>
      </w:r>
      <w:r w:rsidR="003B4F27" w:rsidRPr="002470C7">
        <w:rPr>
          <w:rStyle w:val="TitleChar"/>
        </w:rPr>
        <w:t xml:space="preserve">n of flow through the core </w:t>
      </w:r>
      <w:r w:rsidR="00155E9F" w:rsidRPr="002470C7">
        <w:rPr>
          <w:rStyle w:val="TitleChar"/>
        </w:rPr>
        <w:t>is into the page.  Coolant flows through the two circular annuli between the target flux trap and the removable control plates.  The beam tubes are the primary experiment</w:t>
      </w:r>
      <w:r w:rsidR="00783CD4">
        <w:rPr>
          <w:rStyle w:val="TitleChar"/>
        </w:rPr>
        <w:t>al setups used in the reactor.</w:t>
      </w:r>
      <w:bookmarkEnd w:id="7"/>
      <w:bookmarkEnd w:id="8"/>
      <w:bookmarkEnd w:id="11"/>
    </w:p>
    <w:p w14:paraId="4C97AAB5" w14:textId="1F69D119" w:rsidR="00155E9F" w:rsidRDefault="00155E9F" w:rsidP="00DF0C87">
      <w:r w:rsidRPr="00C97723">
        <w:t>The</w:t>
      </w:r>
      <w:r>
        <w:t xml:space="preserve"> reactor core is divided into two radial elements, inner and outer, with 171 and 369 fuel plates, respectively.  A mock-up of the reactor core’s fuel el</w:t>
      </w:r>
      <w:r w:rsidR="00C2233B">
        <w:t xml:space="preserve">ement section is shown in Fig. </w:t>
      </w:r>
      <w:r w:rsidR="00C2233B">
        <w:fldChar w:fldCharType="begin"/>
      </w:r>
      <w:r w:rsidR="00C2233B">
        <w:instrText xml:space="preserve"> REF _Ref377387361 \r \h </w:instrText>
      </w:r>
      <w:r w:rsidR="00C2233B">
        <w:fldChar w:fldCharType="separate"/>
      </w:r>
      <w:r w:rsidR="001C5EC1">
        <w:t>1.2</w:t>
      </w:r>
      <w:r w:rsidR="00C2233B">
        <w:fldChar w:fldCharType="end"/>
      </w:r>
      <w:r>
        <w:t>.   Each fuel element is held between two concentric cylindrical side plates.  The side plates and the outer cladding of the fuel elem</w:t>
      </w:r>
      <w:r w:rsidR="008D27A9">
        <w:t>ents are made of aluminum-1100</w:t>
      </w:r>
      <w:r>
        <w:t>.</w:t>
      </w:r>
      <w:r w:rsidR="00F57086" w:rsidRPr="00F57086">
        <w:rPr>
          <w:vertAlign w:val="superscript"/>
        </w:rPr>
        <w:fldChar w:fldCharType="begin"/>
      </w:r>
      <w:r w:rsidR="00F57086" w:rsidRPr="00F57086">
        <w:rPr>
          <w:vertAlign w:val="superscript"/>
        </w:rPr>
        <w:instrText xml:space="preserve"> NOTEREF _Ref382821344 \h </w:instrText>
      </w:r>
      <w:r w:rsidR="00F57086">
        <w:rPr>
          <w:vertAlign w:val="superscript"/>
        </w:rPr>
        <w:instrText xml:space="preserve"> \* MERGEFORMAT </w:instrText>
      </w:r>
      <w:r w:rsidR="00F57086" w:rsidRPr="00F57086">
        <w:rPr>
          <w:vertAlign w:val="superscript"/>
        </w:rPr>
      </w:r>
      <w:r w:rsidR="00F57086" w:rsidRPr="00F57086">
        <w:rPr>
          <w:vertAlign w:val="superscript"/>
        </w:rPr>
        <w:fldChar w:fldCharType="separate"/>
      </w:r>
      <w:r w:rsidR="001C5EC1">
        <w:rPr>
          <w:vertAlign w:val="superscript"/>
        </w:rPr>
        <w:t>7</w:t>
      </w:r>
      <w:r w:rsidR="00F57086" w:rsidRPr="00F57086">
        <w:rPr>
          <w:vertAlign w:val="superscript"/>
        </w:rPr>
        <w:fldChar w:fldCharType="end"/>
      </w:r>
    </w:p>
    <w:p w14:paraId="717CB61F" w14:textId="77777777" w:rsidR="00155E9F" w:rsidRDefault="00155E9F" w:rsidP="003E0C5E">
      <w:pPr>
        <w:pStyle w:val="PictureSytel"/>
      </w:pPr>
      <w:r>
        <w:rPr>
          <w:noProof/>
        </w:rPr>
        <w:lastRenderedPageBreak/>
        <w:drawing>
          <wp:inline distT="0" distB="0" distL="0" distR="0" wp14:anchorId="36424044" wp14:editId="26A83E1B">
            <wp:extent cx="5018227" cy="3757237"/>
            <wp:effectExtent l="19050" t="19050" r="11430" b="152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021361" cy="3759583"/>
                    </a:xfrm>
                    <a:prstGeom prst="rect">
                      <a:avLst/>
                    </a:prstGeom>
                    <a:ln>
                      <a:solidFill>
                        <a:schemeClr val="tx1"/>
                      </a:solidFill>
                    </a:ln>
                  </pic:spPr>
                </pic:pic>
              </a:graphicData>
            </a:graphic>
          </wp:inline>
        </w:drawing>
      </w:r>
    </w:p>
    <w:p w14:paraId="2EC4578F" w14:textId="3D141883" w:rsidR="00FC3005" w:rsidRPr="00A3685B" w:rsidRDefault="00C2233B" w:rsidP="00A3685B">
      <w:pPr>
        <w:pStyle w:val="FigTitleStyle"/>
        <w:rPr>
          <w:b w:val="0"/>
        </w:rPr>
      </w:pPr>
      <w:bookmarkStart w:id="12" w:name="_Toc380156090"/>
      <w:bookmarkStart w:id="13" w:name="_Toc380157636"/>
      <w:bookmarkStart w:id="14" w:name="_Toc382920241"/>
      <w:r>
        <w:t xml:space="preserve">Fig. </w:t>
      </w:r>
      <w:r>
        <w:fldChar w:fldCharType="begin"/>
      </w:r>
      <w:bookmarkStart w:id="15" w:name="_Ref377387361"/>
      <w:bookmarkEnd w:id="15"/>
      <w:r>
        <w:instrText xml:space="preserve"> LISTNUM FIG \l 2 </w:instrText>
      </w:r>
      <w:r>
        <w:fldChar w:fldCharType="end"/>
      </w:r>
      <w:r w:rsidR="00155E9F">
        <w:t>.  Reactor Core Mock-Up.</w:t>
      </w:r>
      <w:r w:rsidR="002A6094" w:rsidRPr="002A6094">
        <w:rPr>
          <w:b w:val="0"/>
          <w:vertAlign w:val="superscript"/>
        </w:rPr>
        <w:fldChar w:fldCharType="begin"/>
      </w:r>
      <w:r w:rsidR="002A6094" w:rsidRPr="002A6094">
        <w:rPr>
          <w:b w:val="0"/>
          <w:vertAlign w:val="superscript"/>
        </w:rPr>
        <w:instrText xml:space="preserve"> NOTEREF _Ref382817828 \h  \* MERGEFORMAT </w:instrText>
      </w:r>
      <w:r w:rsidR="002A6094" w:rsidRPr="002A6094">
        <w:rPr>
          <w:b w:val="0"/>
          <w:vertAlign w:val="superscript"/>
        </w:rPr>
      </w:r>
      <w:r w:rsidR="002A6094" w:rsidRPr="002A6094">
        <w:rPr>
          <w:b w:val="0"/>
          <w:vertAlign w:val="superscript"/>
        </w:rPr>
        <w:fldChar w:fldCharType="separate"/>
      </w:r>
      <w:r w:rsidR="001C5EC1">
        <w:rPr>
          <w:b w:val="0"/>
          <w:vertAlign w:val="superscript"/>
        </w:rPr>
        <w:t>8</w:t>
      </w:r>
      <w:r w:rsidR="002A6094" w:rsidRPr="002A6094">
        <w:rPr>
          <w:b w:val="0"/>
          <w:vertAlign w:val="superscript"/>
        </w:rPr>
        <w:fldChar w:fldCharType="end"/>
      </w:r>
      <w:r w:rsidR="00155E9F">
        <w:t xml:space="preserve">  </w:t>
      </w:r>
      <w:r w:rsidR="003B4F27" w:rsidRPr="008B6304">
        <w:rPr>
          <w:rStyle w:val="TitleChar"/>
        </w:rPr>
        <w:t>I</w:t>
      </w:r>
      <w:r w:rsidR="00155E9F" w:rsidRPr="008B6304">
        <w:rPr>
          <w:rStyle w:val="TitleChar"/>
        </w:rPr>
        <w:t>nner and outer elements are both shown.  The axial hole through the center of the core is occupied by the target flux trap during use.  The direction of flow is from top to bottom.  This mock-up has an added element known as a “comb” that is not present in the actual HFIR core design.  The comb can be seen bisecting the concentric mid-plane of both elements approximately 3 mm below the leading edge.</w:t>
      </w:r>
      <w:bookmarkEnd w:id="12"/>
      <w:bookmarkEnd w:id="13"/>
      <w:bookmarkEnd w:id="14"/>
      <w:r w:rsidR="00FC3005">
        <w:br w:type="page"/>
      </w:r>
    </w:p>
    <w:p w14:paraId="1ED8883E" w14:textId="77777777" w:rsidR="00F359EF" w:rsidRDefault="001E0F26" w:rsidP="0038463A">
      <w:pPr>
        <w:pStyle w:val="Heading1"/>
        <w:ind w:firstLine="0"/>
        <w:rPr>
          <w:rStyle w:val="SubtitleChar"/>
        </w:rPr>
      </w:pPr>
      <w:r>
        <w:lastRenderedPageBreak/>
        <w:fldChar w:fldCharType="begin"/>
      </w:r>
      <w:r>
        <w:instrText xml:space="preserve"> LISTNUM CHAP \l 1</w:instrText>
      </w:r>
      <w:bookmarkStart w:id="16" w:name="_Toc382921531"/>
      <w:r>
        <w:fldChar w:fldCharType="end"/>
      </w:r>
      <w:r>
        <w:t xml:space="preserve">    Motivation</w:t>
      </w:r>
      <w:bookmarkEnd w:id="16"/>
      <w:r w:rsidRPr="00FF3A17">
        <w:rPr>
          <w:rStyle w:val="SubtitleChar"/>
        </w:rPr>
        <w:t xml:space="preserve"> </w:t>
      </w:r>
    </w:p>
    <w:p w14:paraId="567AA36A" w14:textId="73EF6A9B" w:rsidR="001E0F26" w:rsidRPr="00E3342F" w:rsidRDefault="001E0F26" w:rsidP="00F359EF">
      <w:pPr>
        <w:pStyle w:val="Subtitle"/>
      </w:pPr>
      <w:r w:rsidRPr="00FF3A17">
        <w:rPr>
          <w:rStyle w:val="SubtitleChar"/>
        </w:rPr>
        <w:fldChar w:fldCharType="begin"/>
      </w:r>
      <w:r w:rsidRPr="00FF3A17">
        <w:rPr>
          <w:rStyle w:val="SubtitleChar"/>
        </w:rPr>
        <w:instrText xml:space="preserve"> LISTNUM EQN </w:instrText>
      </w:r>
      <w:r w:rsidRPr="00FF3A17">
        <w:rPr>
          <w:rStyle w:val="SubtitleChar"/>
        </w:rPr>
        <w:fldChar w:fldCharType="end"/>
      </w:r>
      <w:r w:rsidRPr="00FF3A17">
        <w:rPr>
          <w:rStyle w:val="SubtitleChar"/>
        </w:rPr>
        <w:fldChar w:fldCharType="begin"/>
      </w:r>
      <w:r w:rsidRPr="00FF3A17">
        <w:rPr>
          <w:rStyle w:val="SubtitleChar"/>
        </w:rPr>
        <w:instrText xml:space="preserve"> LISTNUM FIG </w:instrText>
      </w:r>
      <w:r w:rsidRPr="00FF3A17">
        <w:rPr>
          <w:rStyle w:val="SubtitleChar"/>
        </w:rPr>
        <w:fldChar w:fldCharType="end"/>
      </w:r>
      <w:r w:rsidR="005B50CC" w:rsidRPr="00FF3A17">
        <w:rPr>
          <w:rStyle w:val="SubtitleChar"/>
        </w:rPr>
        <w:fldChar w:fldCharType="begin"/>
      </w:r>
      <w:r w:rsidR="005B50CC" w:rsidRPr="00FF3A17">
        <w:rPr>
          <w:rStyle w:val="SubtitleChar"/>
        </w:rPr>
        <w:instrText xml:space="preserve">LISTNUM TAB </w:instrText>
      </w:r>
      <w:r w:rsidR="005B50CC" w:rsidRPr="00FF3A17">
        <w:rPr>
          <w:rStyle w:val="SubtitleChar"/>
        </w:rPr>
        <w:fldChar w:fldCharType="end"/>
      </w:r>
    </w:p>
    <w:p w14:paraId="0247CC34" w14:textId="083D78FD" w:rsidR="003508CA" w:rsidRDefault="003508CA" w:rsidP="00DF0C87">
      <w:pPr>
        <w:pStyle w:val="Heading2"/>
      </w:pPr>
      <w:r>
        <w:fldChar w:fldCharType="begin"/>
      </w:r>
      <w:r>
        <w:instrText xml:space="preserve"> LISTNUM CHAP \l 2 </w:instrText>
      </w:r>
      <w:bookmarkStart w:id="17" w:name="_Toc382921532"/>
      <w:r>
        <w:fldChar w:fldCharType="end"/>
      </w:r>
      <w:r>
        <w:t xml:space="preserve">    Global Threat Reduction Initiative</w:t>
      </w:r>
      <w:bookmarkEnd w:id="17"/>
    </w:p>
    <w:p w14:paraId="4B76329E" w14:textId="0211E249" w:rsidR="00B2539E" w:rsidRPr="00B2539E" w:rsidRDefault="00D21ECF" w:rsidP="00DF0C87">
      <w:r>
        <w:t xml:space="preserve">As mentioned in Section </w:t>
      </w:r>
      <w:r>
        <w:fldChar w:fldCharType="begin"/>
      </w:r>
      <w:r>
        <w:instrText xml:space="preserve"> REF _Ref377567341 \r \h </w:instrText>
      </w:r>
      <w:r>
        <w:fldChar w:fldCharType="separate"/>
      </w:r>
      <w:r w:rsidR="001C5EC1">
        <w:t>I</w:t>
      </w:r>
      <w:r>
        <w:fldChar w:fldCharType="end"/>
      </w:r>
      <w:r w:rsidR="00B2539E" w:rsidRPr="00B2539E">
        <w:t xml:space="preserve">, HFIR was constructed to utilize high-enriched uranium (HEU) fuel.  </w:t>
      </w:r>
      <w:r w:rsidR="00541AB1">
        <w:t>Uranium</w:t>
      </w:r>
      <w:r w:rsidR="00B2539E" w:rsidRPr="00B2539E">
        <w:t xml:space="preserve"> fuel’s grading is based on its percentage of uranium-235 (U</w:t>
      </w:r>
      <w:r w:rsidR="00B2539E" w:rsidRPr="00B2539E">
        <w:rPr>
          <w:vertAlign w:val="superscript"/>
        </w:rPr>
        <w:t>235</w:t>
      </w:r>
      <w:r w:rsidR="00B2539E" w:rsidRPr="00B2539E">
        <w:t>) by weight.  The remainder of the fuel is composed of U</w:t>
      </w:r>
      <w:r w:rsidR="00B2539E" w:rsidRPr="00B2539E">
        <w:rPr>
          <w:vertAlign w:val="superscript"/>
        </w:rPr>
        <w:t>238</w:t>
      </w:r>
      <w:r w:rsidR="00B2539E" w:rsidRPr="00B2539E">
        <w:t>, a more abundant uranium isotope found commonly in nature.  HEU fuel is characterized by a U</w:t>
      </w:r>
      <w:r w:rsidR="00B2539E" w:rsidRPr="00B2539E">
        <w:rPr>
          <w:vertAlign w:val="superscript"/>
        </w:rPr>
        <w:t>235</w:t>
      </w:r>
      <w:r w:rsidR="00B2539E" w:rsidRPr="00B2539E">
        <w:t xml:space="preserve"> concentration of at least 20% or greater.  Anything below this level is considered low-enriched uranium (LEU).  As a basis for comparison, naturally occurring un-enriched uranium has a U</w:t>
      </w:r>
      <w:r w:rsidR="00B2539E" w:rsidRPr="00B2539E">
        <w:rPr>
          <w:vertAlign w:val="superscript"/>
        </w:rPr>
        <w:t>235</w:t>
      </w:r>
      <w:r w:rsidR="00B2539E" w:rsidRPr="00B2539E">
        <w:t xml:space="preserve"> concentration of only 0.711%.  The HEU fuel currently utilized by HFIR is 93.1% U</w:t>
      </w:r>
      <w:r w:rsidR="00B2539E" w:rsidRPr="00B2539E">
        <w:rPr>
          <w:vertAlign w:val="superscript"/>
        </w:rPr>
        <w:t>235</w:t>
      </w:r>
      <w:r w:rsidR="00B2539E" w:rsidRPr="00B2539E">
        <w:t xml:space="preserve"> by weight.</w:t>
      </w:r>
      <w:r w:rsidR="00B2539E" w:rsidRPr="00B2539E">
        <w:rPr>
          <w:rStyle w:val="EndnoteReference"/>
        </w:rPr>
        <w:endnoteReference w:id="9"/>
      </w:r>
      <w:r w:rsidR="00B2539E" w:rsidRPr="00B2539E">
        <w:t xml:space="preserve">  This high concentration of U</w:t>
      </w:r>
      <w:r w:rsidR="00B2539E" w:rsidRPr="00B2539E">
        <w:rPr>
          <w:vertAlign w:val="superscript"/>
        </w:rPr>
        <w:t xml:space="preserve">235 </w:t>
      </w:r>
      <w:r w:rsidR="00B2539E" w:rsidRPr="00B2539E">
        <w:t>makes HFIR’s current fuel composition an efficient and desirable fuel source.  With a U</w:t>
      </w:r>
      <w:r w:rsidR="00B2539E" w:rsidRPr="00B2539E">
        <w:rPr>
          <w:vertAlign w:val="superscript"/>
        </w:rPr>
        <w:t xml:space="preserve">235 </w:t>
      </w:r>
      <w:r w:rsidR="00B2539E" w:rsidRPr="00B2539E">
        <w:t>concentration greater than 85%, however, it also puts it in the classification of weapons-grade uranium.</w:t>
      </w:r>
    </w:p>
    <w:p w14:paraId="1080B463" w14:textId="77777777" w:rsidR="00B2539E" w:rsidRPr="00B2539E" w:rsidRDefault="00B2539E" w:rsidP="00DF0C87">
      <w:r w:rsidRPr="00B2539E">
        <w:t>The conversion of nuclear reactor sites worldwide from HEU to LEU fuel sources has been a goal of the Department of Energy (DOE) for over three decades.  In order to facilitate the widespread conversion of nuclear reactors, the DOE created the Reduced Enrichment for Research and Test Reactors (RERTR) program in 1978.  Over 40 reactors have successfully made the conversion since the program’s inception.</w:t>
      </w:r>
      <w:r w:rsidRPr="00B2539E">
        <w:rPr>
          <w:rStyle w:val="EndnoteReference"/>
        </w:rPr>
        <w:endnoteReference w:id="10"/>
      </w:r>
    </w:p>
    <w:p w14:paraId="3494FD67" w14:textId="77777777" w:rsidR="00B2539E" w:rsidRPr="00B2539E" w:rsidRDefault="00B2539E" w:rsidP="00DF0C87">
      <w:r w:rsidRPr="00B2539E">
        <w:t>A handful of the country’s high-flux reactors remain holdouts in the conversion process, however, due primarily to their exceptional output requirements and design complexity.  These reactors include the Advanced Test Reactor (ATR) at Idaho National Laboratory, the National Institute of Standards and Technology (NIST) research reactor, the Missouri University Research Reactor (MURR), the Massachusetts Institute of Technology Research (MITR-II) reactor, and HFIR at ORNL.</w:t>
      </w:r>
      <w:r w:rsidRPr="00B2539E">
        <w:rPr>
          <w:rStyle w:val="EndnoteReference"/>
        </w:rPr>
        <w:endnoteReference w:id="11"/>
      </w:r>
      <w:r w:rsidRPr="00B2539E">
        <w:t xml:space="preserve">   </w:t>
      </w:r>
    </w:p>
    <w:p w14:paraId="52CA1E2D" w14:textId="200F1B9F" w:rsidR="00B2539E" w:rsidRPr="00B2539E" w:rsidRDefault="00B2539E" w:rsidP="00DF0C87">
      <w:r w:rsidRPr="00B2539E">
        <w:t>Increased interest has arisen in the past decade in converting these five remaining holdouts to LEU fuel sources with the creation of the Global Threat Reduction Initiative (GTRI) by the National Nuclear Security Administration (NNSA) in 2004.  The GTRI has taken a more aggressive security-oriented approach to removing what it considers “WMD-usable” HEU fuel from the world in order to prevent theft and misuse.  The initiative’s missi</w:t>
      </w:r>
      <w:r w:rsidR="00687966">
        <w:t>on is to convert or shutdown all</w:t>
      </w:r>
      <w:r w:rsidRPr="00B2539E">
        <w:t xml:space="preserve"> HEU-powered reactors, remove all excess HEU materials, and protect any remaining sources from theft.  To that aim it claims to have converted or confirmed the shutdown of 88 HEU research reactors, removed over 2,500 kilograms of </w:t>
      </w:r>
      <w:r w:rsidRPr="00B2539E">
        <w:lastRenderedPageBreak/>
        <w:t>HEU—the equivalent of over 140 nuclear bombs—and secured more than 1,500 radiological sites across the globe.</w:t>
      </w:r>
      <w:r w:rsidRPr="00B2539E">
        <w:rPr>
          <w:rStyle w:val="EndnoteReference"/>
        </w:rPr>
        <w:endnoteReference w:id="12"/>
      </w:r>
    </w:p>
    <w:p w14:paraId="1019DE6A" w14:textId="05FB2A5A" w:rsidR="00B2539E" w:rsidRPr="00B2539E" w:rsidRDefault="00B2539E" w:rsidP="00DF0C87">
      <w:r w:rsidRPr="00B2539E">
        <w:t xml:space="preserve">This global effort from the NNSA has spurred renewed national interest in converting the five remaining research reactors as a means of demonstrating commitment to its international partners.  The same issues regarding exacting output criteria and complicated design geometries still apply, however.  A project with the goal of researching the feasibility of converting HFIR to an LEU fuel source was started in </w:t>
      </w:r>
      <w:r w:rsidR="00A629E0">
        <w:t>2004</w:t>
      </w:r>
      <w:r w:rsidRPr="00B2539E">
        <w:t xml:space="preserve"> and is currently scheduled to conclude in </w:t>
      </w:r>
      <w:r w:rsidR="00A629E0">
        <w:t>2030</w:t>
      </w:r>
      <w:r w:rsidRPr="00B2539E">
        <w:t>.</w:t>
      </w:r>
      <w:r w:rsidR="001728B1">
        <w:t xml:space="preserve"> </w:t>
      </w:r>
    </w:p>
    <w:p w14:paraId="760C31CD" w14:textId="3257F745" w:rsidR="003508CA" w:rsidRDefault="003508CA" w:rsidP="00DF0C87">
      <w:pPr>
        <w:pStyle w:val="Heading2"/>
      </w:pPr>
      <w:r>
        <w:fldChar w:fldCharType="begin"/>
      </w:r>
      <w:r>
        <w:instrText xml:space="preserve"> LISTNUM CHAP \l 2 </w:instrText>
      </w:r>
      <w:bookmarkStart w:id="18" w:name="_Toc382921533"/>
      <w:r>
        <w:fldChar w:fldCharType="end"/>
      </w:r>
      <w:r>
        <w:t xml:space="preserve">    Goals of the Coupled Model</w:t>
      </w:r>
      <w:bookmarkEnd w:id="18"/>
    </w:p>
    <w:p w14:paraId="55CE1400" w14:textId="2772C39E" w:rsidR="00247FB1" w:rsidRDefault="002B6256" w:rsidP="00BE2E97">
      <w:r>
        <w:t xml:space="preserve">The primary purpose of this thesis will be to present a novel computer model for the study of the thermal-hydraulics of the HFIR core.  This model will be referred to herein as the coupled model.  </w:t>
      </w:r>
      <w:r w:rsidR="005370A9">
        <w:t>The intent of the coupled model is two-fold:  To model, explicitly and in sufficient detail</w:t>
      </w:r>
      <w:r w:rsidR="005A3551">
        <w:t>,</w:t>
      </w:r>
      <w:r w:rsidR="005370A9">
        <w:t xml:space="preserve"> the flow of energy in the form of heat from the </w:t>
      </w:r>
      <w:r w:rsidR="005A3551">
        <w:t xml:space="preserve">fissile </w:t>
      </w:r>
      <w:r w:rsidR="005370A9">
        <w:t xml:space="preserve">fuel plates in the reactor core to the </w:t>
      </w:r>
      <w:r w:rsidR="005A3551">
        <w:t>surrounding coolant</w:t>
      </w:r>
      <w:r w:rsidR="005370A9">
        <w:t xml:space="preserve"> in as computationally-inexpensive a manner as possible.  The first of these aims is due to the </w:t>
      </w:r>
      <w:r w:rsidR="003F1F56">
        <w:t>close relationship between vari</w:t>
      </w:r>
      <w:r w:rsidR="005A3551">
        <w:t>ous reactor component temperatures</w:t>
      </w:r>
      <w:r w:rsidR="003F1F56">
        <w:t xml:space="preserve"> and the integrity of the reactor.  An abnormality in the former begets a deviation from the latter.  </w:t>
      </w:r>
      <w:r w:rsidR="00247FB1">
        <w:t>Understanding the heat transfer internal to the reactor core, both throug</w:t>
      </w:r>
      <w:r w:rsidR="005A3551">
        <w:t>h the fuel plate itself and from the fuel plate into</w:t>
      </w:r>
      <w:r w:rsidR="00247FB1">
        <w:t xml:space="preserve"> the coolant, is essential to predicting the reactor’s performance.</w:t>
      </w:r>
    </w:p>
    <w:p w14:paraId="0A7C091D" w14:textId="7D6EB093" w:rsidR="005370A9" w:rsidRDefault="00C25755" w:rsidP="00DF0C87">
      <w:r>
        <w:t>Three primary variables of interest are the maximum temperatures in the fuel meat, the fuel plate, and the coolant channel.  The first two must remain below the melting points of their respective materials while the third must remain below its</w:t>
      </w:r>
      <w:r w:rsidR="00F319BB">
        <w:t xml:space="preserve"> incipient</w:t>
      </w:r>
      <w:r>
        <w:t xml:space="preserve"> boiling point at which</w:t>
      </w:r>
      <w:r w:rsidR="006F17D4">
        <w:t xml:space="preserve"> nucleate boiling gives rise to two-phase flow</w:t>
      </w:r>
      <w:r>
        <w:t xml:space="preserve">.  Given that the coolant is intentionally held just below this point, it is </w:t>
      </w:r>
      <w:r w:rsidR="002B6256">
        <w:t>most likely that this variable will breach its upper bound first</w:t>
      </w:r>
      <w:r>
        <w:t>.  It can, however, be extrapolated as a function of the first two</w:t>
      </w:r>
      <w:r w:rsidR="00DE5720">
        <w:t xml:space="preserve"> through wall superheat relations</w:t>
      </w:r>
      <w:r w:rsidR="006F17D4">
        <w:rPr>
          <w:rStyle w:val="EndnoteReference"/>
        </w:rPr>
        <w:endnoteReference w:id="13"/>
      </w:r>
      <w:r>
        <w:t>.</w:t>
      </w:r>
      <w:r w:rsidR="00EC74F8">
        <w:t xml:space="preserve">  The maximum temperatures in the solid domains—and, to a lesser extent, the temperature profiles in each—are therefore the primary concerns of the coupled model.</w:t>
      </w:r>
    </w:p>
    <w:p w14:paraId="0A1A6E93" w14:textId="0A720AA0" w:rsidR="00373AB1" w:rsidRDefault="00C25755" w:rsidP="00DF0C87">
      <w:r>
        <w:t>The coupled model utilizes this fact in realizing its second goal</w:t>
      </w:r>
      <w:r w:rsidR="00EC74F8">
        <w:t xml:space="preserve"> of simplifying</w:t>
      </w:r>
      <w:r>
        <w:t xml:space="preserve"> the model as much as possi</w:t>
      </w:r>
      <w:r w:rsidR="00EC74F8">
        <w:t>ble.  In order to cut down on the degrees of freedom</w:t>
      </w:r>
      <w:r w:rsidR="009B2B50">
        <w:t xml:space="preserve"> (DOF)</w:t>
      </w:r>
      <w:r w:rsidR="00EC74F8">
        <w:t xml:space="preserve"> in the model, the coolant domain is represented via a simplified 2D slice.  The fuel plate and fuel meat are represen</w:t>
      </w:r>
      <w:r w:rsidR="00227625">
        <w:t>ted explicitly in 3D</w:t>
      </w:r>
      <w:r w:rsidR="00EC74F8">
        <w:t>.  The pairing of the two</w:t>
      </w:r>
      <w:r w:rsidR="00227625">
        <w:t xml:space="preserve"> dimensionally inconsistent</w:t>
      </w:r>
      <w:r w:rsidR="00EC74F8">
        <w:t xml:space="preserve"> domains, solid and coolant, is achieved through interdimensional model coupling.  In this configuration, with the focus of the model being on the solid domain, the coolant domain essentially serves as an adaptive boundary condition.</w:t>
      </w:r>
    </w:p>
    <w:p w14:paraId="7E01B532" w14:textId="4F59A059" w:rsidR="00883789" w:rsidRPr="00EC74F8" w:rsidRDefault="00373AB1" w:rsidP="00DF0C87">
      <w:r>
        <w:lastRenderedPageBreak/>
        <w:t xml:space="preserve">A fully three-dimensional model, referred to herein as the 3D model, will be presented alongside the coupled model as a means of comparison.  Where the coupled model seeks to simplify the computational domain as much as possible, the 3D model seeks to simulate the </w:t>
      </w:r>
      <w:r w:rsidR="00F41A69">
        <w:t>same domain with as much detail and accuracy as is reasonably possible</w:t>
      </w:r>
      <w:r w:rsidR="007703BB">
        <w:t xml:space="preserve"> given available computational resources</w:t>
      </w:r>
      <w:r w:rsidR="00F41A69">
        <w:t xml:space="preserve">.  This serves to provide a metric for the degree of inaccuracy and loss of fidelity introduced in the simplifications of the coupled model.  </w:t>
      </w:r>
      <w:r w:rsidR="00EC74F8">
        <w:t xml:space="preserve">  </w:t>
      </w:r>
    </w:p>
    <w:p w14:paraId="7D586D04" w14:textId="1E746C58" w:rsidR="003508CA" w:rsidRDefault="003508CA" w:rsidP="00DF0C87">
      <w:pPr>
        <w:pStyle w:val="Heading2"/>
      </w:pPr>
      <w:r>
        <w:fldChar w:fldCharType="begin"/>
      </w:r>
      <w:r>
        <w:instrText xml:space="preserve"> LISTNUM CHAP \l 2 </w:instrText>
      </w:r>
      <w:bookmarkStart w:id="19" w:name="_Toc382921534"/>
      <w:r>
        <w:fldChar w:fldCharType="end"/>
      </w:r>
      <w:r>
        <w:t xml:space="preserve">    Previous Implementations of Interdimensional Coupling</w:t>
      </w:r>
      <w:bookmarkEnd w:id="19"/>
    </w:p>
    <w:p w14:paraId="0D95A42D" w14:textId="2B910539" w:rsidR="00DE5C91" w:rsidRPr="00C24BE9" w:rsidRDefault="00DE5C91" w:rsidP="006E01EF">
      <w:r w:rsidRPr="00C24BE9">
        <w:t xml:space="preserve">Blanco, </w:t>
      </w:r>
      <w:r w:rsidRPr="00C24BE9">
        <w:rPr>
          <w:i/>
        </w:rPr>
        <w:t>et al</w:t>
      </w:r>
      <w:r w:rsidR="00B95A34" w:rsidRPr="00C24BE9">
        <w:t>.</w:t>
      </w:r>
      <w:r w:rsidR="00B95A34" w:rsidRPr="00C24BE9">
        <w:rPr>
          <w:rStyle w:val="EndnoteReference"/>
          <w:szCs w:val="24"/>
        </w:rPr>
        <w:endnoteReference w:id="14"/>
      </w:r>
      <w:r w:rsidR="00B95A34" w:rsidRPr="00C24BE9">
        <w:t xml:space="preserve"> </w:t>
      </w:r>
      <w:r w:rsidRPr="00C24BE9">
        <w:t>make a case for the use of interdimensional m</w:t>
      </w:r>
      <w:r w:rsidR="00EA3D06">
        <w:t>odel coupling in the</w:t>
      </w:r>
      <w:r w:rsidRPr="00C24BE9">
        <w:t xml:space="preserve"> capacity</w:t>
      </w:r>
      <w:r w:rsidR="00EA3D06">
        <w:t xml:space="preserve"> of an adaptive boundary condition</w:t>
      </w:r>
      <w:r w:rsidRPr="00C24BE9">
        <w:t xml:space="preserve"> versus the implementation of a static Dirichlet or Neumann b</w:t>
      </w:r>
      <w:r w:rsidR="00EA3D06">
        <w:t>oundary condition, which impose</w:t>
      </w:r>
      <w:r w:rsidRPr="00C24BE9">
        <w:t xml:space="preserve"> a certain degree of rigidity on the evolving solution’s ability to adapt to changing conditions.  They coin this adaptive feedback across the interdimensional coupling the “systemic response” of the entire coupled domain.   </w:t>
      </w:r>
    </w:p>
    <w:p w14:paraId="40C7F87D" w14:textId="02453475" w:rsidR="00DE5C91" w:rsidRPr="00C24BE9" w:rsidRDefault="00DE5C91" w:rsidP="006E01EF">
      <w:r w:rsidRPr="00C24BE9">
        <w:t xml:space="preserve">Interdimensional model coupling has appeared in many applications across many fields ranging from thermal circuitry analysis to structural mechanics and computational fluid dynamics.  In the vein of producing a systemic response, the method has been applied in particular to systems </w:t>
      </w:r>
      <w:r w:rsidR="00254394">
        <w:t>modeling</w:t>
      </w:r>
      <w:r w:rsidRPr="00C24BE9">
        <w:t xml:space="preserve"> in which a complex, or at least multi-component, system is modeled with varying degrees of detail throughout.  For any given component in a system, it at once influences the rest of the system even as the system imparts an influence back upon it.  This breeds a looped dependency across coupling interfaces in which boundary condition</w:t>
      </w:r>
      <w:r w:rsidR="00B95A34" w:rsidRPr="00C24BE9">
        <w:t>s must be formatted and shared.</w:t>
      </w:r>
      <w:r w:rsidR="00B95A34" w:rsidRPr="00C24BE9">
        <w:rPr>
          <w:rStyle w:val="EndnoteReference"/>
          <w:szCs w:val="24"/>
        </w:rPr>
        <w:endnoteReference w:id="15"/>
      </w:r>
    </w:p>
    <w:p w14:paraId="52949858" w14:textId="1F6FDD6D" w:rsidR="00DE5C91" w:rsidRPr="00C24BE9" w:rsidRDefault="00DE5C91" w:rsidP="006E01EF">
      <w:r w:rsidRPr="00C24BE9">
        <w:t>There has been a particular interest in coupling fluid domains in an effort to reduce the computational costs associated with solving the Navier-Stokes equations in three-dimens</w:t>
      </w:r>
      <w:r w:rsidR="00B95A34" w:rsidRPr="00C24BE9">
        <w:t>ions in large solution domains.</w:t>
      </w:r>
      <w:r w:rsidR="00B95A34" w:rsidRPr="00C24BE9">
        <w:rPr>
          <w:rStyle w:val="EndnoteReference"/>
          <w:szCs w:val="24"/>
        </w:rPr>
        <w:endnoteReference w:id="16"/>
      </w:r>
      <w:r w:rsidRPr="00C24BE9">
        <w:t xml:space="preserve">  Systems in which the flow impedance of a single </w:t>
      </w:r>
      <w:r w:rsidR="00B95A34" w:rsidRPr="00C24BE9">
        <w:t>component—ranging from a valve</w:t>
      </w:r>
      <w:r w:rsidR="00B95A34" w:rsidRPr="00C24BE9">
        <w:rPr>
          <w:rStyle w:val="EndnoteReference"/>
          <w:szCs w:val="24"/>
        </w:rPr>
        <w:endnoteReference w:id="17"/>
      </w:r>
      <w:r w:rsidR="00B95A34" w:rsidRPr="00C24BE9">
        <w:t xml:space="preserve"> to a burst dam</w:t>
      </w:r>
      <w:r w:rsidR="00B95A34" w:rsidRPr="00C24BE9">
        <w:rPr>
          <w:rStyle w:val="EndnoteReference"/>
          <w:szCs w:val="24"/>
        </w:rPr>
        <w:endnoteReference w:id="18"/>
      </w:r>
      <w:r w:rsidRPr="00C24BE9">
        <w:t xml:space="preserve">—requires detailed </w:t>
      </w:r>
      <w:r w:rsidR="00254394">
        <w:t>modeling</w:t>
      </w:r>
      <w:r w:rsidRPr="00C24BE9">
        <w:t xml:space="preserve"> have been attached to pipe flow models as a means of enforcing reactive boundary conditions.  This has been applied in the automotive industry using the full 3D N-S equations to model the cavitation flow around fuel injection nozzles while utilizing 1D upstream systems to pro</w:t>
      </w:r>
      <w:r w:rsidR="00D9178E" w:rsidRPr="00C24BE9">
        <w:t>vide accurate inlet conditions</w:t>
      </w:r>
      <w:r w:rsidRPr="00C24BE9">
        <w:t>.</w:t>
      </w:r>
      <w:r w:rsidR="00D9178E" w:rsidRPr="00C24BE9">
        <w:rPr>
          <w:rStyle w:val="EndnoteReference"/>
          <w:szCs w:val="24"/>
        </w:rPr>
        <w:endnoteReference w:id="19"/>
      </w:r>
    </w:p>
    <w:p w14:paraId="29A54601" w14:textId="3A1D33C1" w:rsidR="00DE5C91" w:rsidRPr="00C24BE9" w:rsidRDefault="00DE5C91" w:rsidP="006E01EF">
      <w:r w:rsidRPr="00C24BE9">
        <w:t>Interdimensional model coupling has also found prevalence in the study of large flow environments such as rivers, lakes, and ocean currents where 2D surface flow mingles wi</w:t>
      </w:r>
      <w:r w:rsidR="00D9178E" w:rsidRPr="00C24BE9">
        <w:t>th 3D sub-surface flow effects</w:t>
      </w:r>
      <w:r w:rsidRPr="00C24BE9">
        <w:t>.</w:t>
      </w:r>
      <w:r w:rsidR="00D9178E" w:rsidRPr="00C24BE9">
        <w:rPr>
          <w:rStyle w:val="EndnoteReference"/>
          <w:szCs w:val="24"/>
        </w:rPr>
        <w:endnoteReference w:id="20"/>
      </w:r>
      <w:r w:rsidR="0011409B">
        <w:rPr>
          <w:vertAlign w:val="superscript"/>
        </w:rPr>
        <w:t xml:space="preserve">, </w:t>
      </w:r>
      <w:r w:rsidR="00D9178E" w:rsidRPr="00C24BE9">
        <w:rPr>
          <w:rStyle w:val="EndnoteReference"/>
          <w:szCs w:val="24"/>
        </w:rPr>
        <w:endnoteReference w:id="21"/>
      </w:r>
      <w:r w:rsidR="00D9178E" w:rsidRPr="00C24BE9">
        <w:rPr>
          <w:vertAlign w:val="superscript"/>
        </w:rPr>
        <w:t xml:space="preserve">, </w:t>
      </w:r>
      <w:r w:rsidR="00D9178E" w:rsidRPr="00C24BE9">
        <w:rPr>
          <w:rStyle w:val="EndnoteReference"/>
          <w:szCs w:val="24"/>
        </w:rPr>
        <w:endnoteReference w:id="22"/>
      </w:r>
      <w:r w:rsidR="00D9178E" w:rsidRPr="00C24BE9">
        <w:rPr>
          <w:vertAlign w:val="superscript"/>
        </w:rPr>
        <w:t xml:space="preserve">, </w:t>
      </w:r>
      <w:r w:rsidR="00D9178E" w:rsidRPr="00C24BE9">
        <w:rPr>
          <w:rStyle w:val="EndnoteReference"/>
          <w:szCs w:val="24"/>
        </w:rPr>
        <w:endnoteReference w:id="23"/>
      </w:r>
      <w:r w:rsidRPr="00C24BE9">
        <w:t xml:space="preserve"> </w:t>
      </w:r>
      <w:r w:rsidR="00D9178E" w:rsidRPr="00C24BE9">
        <w:t xml:space="preserve"> </w:t>
      </w:r>
      <w:r w:rsidRPr="00C24BE9">
        <w:t xml:space="preserve">Similar work has been done with a focus on locally selected regions of detailed </w:t>
      </w:r>
      <w:r w:rsidRPr="00C24BE9">
        <w:lastRenderedPageBreak/>
        <w:t>resolution amidst a broader solution domain, especially with regards to flows with imp</w:t>
      </w:r>
      <w:r w:rsidR="00D9178E" w:rsidRPr="00C24BE9">
        <w:t>eding structures and blockages</w:t>
      </w:r>
      <w:r w:rsidR="00D9178E" w:rsidRPr="00C24BE9">
        <w:rPr>
          <w:rStyle w:val="EndnoteReference"/>
          <w:szCs w:val="24"/>
        </w:rPr>
        <w:endnoteReference w:id="24"/>
      </w:r>
      <w:r w:rsidR="00D9178E" w:rsidRPr="00C24BE9">
        <w:rPr>
          <w:vertAlign w:val="superscript"/>
        </w:rPr>
        <w:t xml:space="preserve">, </w:t>
      </w:r>
      <w:r w:rsidR="00D9178E" w:rsidRPr="00C24BE9">
        <w:rPr>
          <w:rStyle w:val="EndnoteReference"/>
          <w:szCs w:val="24"/>
        </w:rPr>
        <w:endnoteReference w:id="25"/>
      </w:r>
      <w:r w:rsidR="00D9178E" w:rsidRPr="00C24BE9">
        <w:t xml:space="preserve"> </w:t>
      </w:r>
      <w:r w:rsidR="00FB0381" w:rsidRPr="00C24BE9">
        <w:t>and flows over uneven surfaces</w:t>
      </w:r>
      <w:r w:rsidRPr="00C24BE9">
        <w:t>.</w:t>
      </w:r>
      <w:r w:rsidR="00FB0381" w:rsidRPr="00C24BE9">
        <w:rPr>
          <w:rStyle w:val="EndnoteReference"/>
          <w:szCs w:val="24"/>
        </w:rPr>
        <w:endnoteReference w:id="26"/>
      </w:r>
      <w:r w:rsidR="00FB0381" w:rsidRPr="00C24BE9">
        <w:rPr>
          <w:vertAlign w:val="superscript"/>
        </w:rPr>
        <w:t xml:space="preserve">, </w:t>
      </w:r>
      <w:r w:rsidR="00FB0381" w:rsidRPr="00C24BE9">
        <w:rPr>
          <w:rStyle w:val="EndnoteReference"/>
          <w:szCs w:val="24"/>
        </w:rPr>
        <w:endnoteReference w:id="27"/>
      </w:r>
      <w:r w:rsidR="00FB0381" w:rsidRPr="00C24BE9">
        <w:rPr>
          <w:vertAlign w:val="superscript"/>
        </w:rPr>
        <w:t xml:space="preserve">, </w:t>
      </w:r>
      <w:r w:rsidR="00FB0381" w:rsidRPr="00C24BE9">
        <w:rPr>
          <w:rStyle w:val="EndnoteReference"/>
          <w:szCs w:val="24"/>
        </w:rPr>
        <w:endnoteReference w:id="28"/>
      </w:r>
    </w:p>
    <w:p w14:paraId="4E033547" w14:textId="71931A72" w:rsidR="00DE5C91" w:rsidRPr="00C24BE9" w:rsidRDefault="00DE5C91" w:rsidP="006E01EF">
      <w:r w:rsidRPr="00C24BE9">
        <w:t xml:space="preserve">Miglio, </w:t>
      </w:r>
      <w:r w:rsidRPr="00C24BE9">
        <w:rPr>
          <w:i/>
        </w:rPr>
        <w:t>et al</w:t>
      </w:r>
      <w:r w:rsidR="00FB0381" w:rsidRPr="00C24BE9">
        <w:t>.</w:t>
      </w:r>
      <w:r w:rsidR="00FB0381" w:rsidRPr="00C24BE9">
        <w:rPr>
          <w:rStyle w:val="EndnoteReference"/>
          <w:szCs w:val="24"/>
        </w:rPr>
        <w:endnoteReference w:id="29"/>
      </w:r>
      <w:r w:rsidR="00FB0381" w:rsidRPr="00C24BE9">
        <w:t xml:space="preserve"> </w:t>
      </w:r>
      <w:r w:rsidRPr="00C24BE9">
        <w:t xml:space="preserve">lump model coupling efforts into two categories:  dimensionally homogeneous-physically heterogeneous couplings and dimensionally heterogeneous-physically homogeneous couplings.  The former is concerned with the coupling of dissimilar physics models, such as fluid flow and solid heat conduction, in dimensionally consistent domains.  The latter category constitutes interdimensional model couplings in which the same physics model is considered across dimensionally inconsistent domains.  The bulk of examples cited above fall into this latter category.  </w:t>
      </w:r>
    </w:p>
    <w:p w14:paraId="6C1FC7FF" w14:textId="77777777" w:rsidR="00DE5C91" w:rsidRPr="00C24BE9" w:rsidRDefault="00DE5C91" w:rsidP="006E01EF">
      <w:r w:rsidRPr="00C24BE9">
        <w:t xml:space="preserve">The groupings are incomplete, however, due to their mutually exclusive nature.  They assume that if one form of coupling is present then the other must not be.  In order to rank the coupled model according to this rubric a third category must be introduced—that of the dimensionally heterogeneous-physically heterogeneous coupling.  This constitutes a coupling occurring across dissimilar physics models and dimensionally inconsistent domains.     </w:t>
      </w:r>
    </w:p>
    <w:p w14:paraId="286D8971" w14:textId="1D4AD8F9" w:rsidR="001E0F26" w:rsidRDefault="00DE5C91" w:rsidP="006E01EF">
      <w:r w:rsidRPr="00C24BE9">
        <w:t>Not only does this provide a convenient interface across which to couple, but it also breaks the model down into two discrete domains with only minimal interaction between them.  This results in a much smaller model which is the focus of this work.  Note that this model requires neither the computational resources nor the solution time of a fully three-dimensional model while still returning comparable results.  This makes it an efficient and reasonably accurate alternative to the full-3D approach.</w:t>
      </w:r>
    </w:p>
    <w:p w14:paraId="7398406B" w14:textId="6F78EBD5" w:rsidR="00BE2E97" w:rsidRDefault="00BE2E97" w:rsidP="00BE2E97">
      <w:pPr>
        <w:pStyle w:val="Heading2"/>
      </w:pPr>
      <w:r>
        <w:fldChar w:fldCharType="begin"/>
      </w:r>
      <w:r>
        <w:instrText xml:space="preserve"> LISTNUM CHAP \l 2 </w:instrText>
      </w:r>
      <w:bookmarkStart w:id="20" w:name="_Toc382921535"/>
      <w:r>
        <w:fldChar w:fldCharType="end"/>
      </w:r>
      <w:r>
        <w:t xml:space="preserve">    Past </w:t>
      </w:r>
      <w:r w:rsidR="0070435A">
        <w:t xml:space="preserve">Uses of CFD in Reactor Core </w:t>
      </w:r>
      <w:r w:rsidR="00254394">
        <w:t>Modeling</w:t>
      </w:r>
      <w:bookmarkEnd w:id="20"/>
    </w:p>
    <w:p w14:paraId="40609501" w14:textId="46A35DD8" w:rsidR="005C1A03" w:rsidRDefault="0070435A" w:rsidP="006E01EF">
      <w:r>
        <w:t>Many nuclear reactors in operation today were designed well before the advent of computational fluid dynamics (CFD) as a mainstream engineering tool.  Even recently constructed reactors are</w:t>
      </w:r>
      <w:r w:rsidR="00874C80">
        <w:t xml:space="preserve"> largely</w:t>
      </w:r>
      <w:r>
        <w:t xml:space="preserve"> derivatives of past models, built on relatively well understood principles of nuclear engineering and design.  While commercial and open-source codes have found uses in this process, they tend to be either systems based</w:t>
      </w:r>
      <w:r w:rsidR="005C1A03">
        <w:t>, relegating the reactor core itself to a zero-dime</w:t>
      </w:r>
      <w:r w:rsidR="009430C6">
        <w:t>nsional node in a loop, or are</w:t>
      </w:r>
      <w:r w:rsidR="005C1A03">
        <w:t xml:space="preserve"> heavily reliant upon experimentally derived correlations, limiting any such code’s use to a narrow window of optimal operating conditions.  Explicitly </w:t>
      </w:r>
      <w:r w:rsidR="00254394">
        <w:t>modeling</w:t>
      </w:r>
      <w:r w:rsidR="005C1A03">
        <w:t xml:space="preserve"> the reactor core using CFD not only expands the applicability of such models to various and dissimilar operating conditions, it also allows for preemptive simulations </w:t>
      </w:r>
      <w:r w:rsidR="00874C80">
        <w:t xml:space="preserve">and accident analysis </w:t>
      </w:r>
      <w:r w:rsidR="005C1A03">
        <w:t>to be performed without the need for prior experimental work.</w:t>
      </w:r>
    </w:p>
    <w:p w14:paraId="16606522" w14:textId="24223820" w:rsidR="005C1A03" w:rsidRDefault="005C1A03" w:rsidP="006E01EF">
      <w:r>
        <w:lastRenderedPageBreak/>
        <w:t xml:space="preserve">An early standout in this regard is the work of Anglart, </w:t>
      </w:r>
      <w:r>
        <w:rPr>
          <w:i/>
        </w:rPr>
        <w:t>et al</w:t>
      </w:r>
      <w:r>
        <w:t>.</w:t>
      </w:r>
      <w:r>
        <w:rPr>
          <w:rStyle w:val="EndnoteReference"/>
        </w:rPr>
        <w:endnoteReference w:id="30"/>
      </w:r>
      <w:r>
        <w:t xml:space="preserve"> </w:t>
      </w:r>
      <w:r w:rsidR="009430C6">
        <w:t>who</w:t>
      </w:r>
      <w:r>
        <w:t xml:space="preserve"> use</w:t>
      </w:r>
      <w:r w:rsidR="00245523">
        <w:t xml:space="preserve">d a commercial CFD code known as CFDS-FLOW3D to simulate two-phase flow in a boiling water reactor </w:t>
      </w:r>
      <w:r w:rsidR="009430C6">
        <w:t>(BWR).  In their work, they</w:t>
      </w:r>
      <w:r w:rsidR="00245523">
        <w:t xml:space="preserve"> make note of the difficulties associated with explicitly </w:t>
      </w:r>
      <w:r w:rsidR="00254394">
        <w:t>modeling</w:t>
      </w:r>
      <w:r w:rsidR="00245523">
        <w:t xml:space="preserve"> reactor core thermal-hydraulics, owing primarily to complex internal geometries and numerical difficulties.  More contemporary work has been performed by Krepper, </w:t>
      </w:r>
      <w:r w:rsidR="00245523">
        <w:rPr>
          <w:i/>
        </w:rPr>
        <w:t>et al</w:t>
      </w:r>
      <w:r w:rsidR="00245523">
        <w:t>.</w:t>
      </w:r>
      <w:r w:rsidR="00926CFD">
        <w:rPr>
          <w:rStyle w:val="EndnoteReference"/>
        </w:rPr>
        <w:endnoteReference w:id="31"/>
      </w:r>
      <w:r w:rsidR="009430C6">
        <w:t xml:space="preserve"> who,</w:t>
      </w:r>
      <w:r w:rsidR="00245523">
        <w:t xml:space="preserve"> citing the limiting effects of 1D core simulations and their inability to account for the effects of internal core geometries</w:t>
      </w:r>
      <w:r w:rsidR="0037396A">
        <w:t>, used</w:t>
      </w:r>
      <w:r w:rsidR="00245523">
        <w:t xml:space="preserve"> FLUENT to </w:t>
      </w:r>
      <w:r w:rsidR="00926CFD">
        <w:t xml:space="preserve">explicitly model mass and heat flow </w:t>
      </w:r>
      <w:r w:rsidR="00791DF7">
        <w:t xml:space="preserve">in 3D </w:t>
      </w:r>
      <w:r w:rsidR="00926CFD">
        <w:t>around such geometries</w:t>
      </w:r>
      <w:r w:rsidR="00245523">
        <w:t>.</w:t>
      </w:r>
    </w:p>
    <w:p w14:paraId="7C6F3952" w14:textId="00DD49B6" w:rsidR="00926CFD" w:rsidRDefault="00926CFD" w:rsidP="006E01EF">
      <w:r>
        <w:t xml:space="preserve">Similar work was performed in </w:t>
      </w:r>
      <w:r w:rsidR="009430C6">
        <w:t xml:space="preserve">the </w:t>
      </w:r>
      <w:r w:rsidR="00254394">
        <w:t>modeling</w:t>
      </w:r>
      <w:r>
        <w:t xml:space="preserve"> </w:t>
      </w:r>
      <w:r w:rsidR="00791DF7">
        <w:t>of</w:t>
      </w:r>
      <w:r>
        <w:t xml:space="preserve"> BWRs using FLUENT by Kocar and Sokmen</w:t>
      </w:r>
      <w:r>
        <w:rPr>
          <w:rStyle w:val="EndnoteReference"/>
        </w:rPr>
        <w:endnoteReference w:id="32"/>
      </w:r>
      <w:r>
        <w:t xml:space="preserve"> who built upon the earlier advances of Lahey</w:t>
      </w:r>
      <w:r w:rsidR="009430C6">
        <w:t xml:space="preserve"> and Drew</w:t>
      </w:r>
      <w:r>
        <w:rPr>
          <w:rStyle w:val="EndnoteReference"/>
        </w:rPr>
        <w:endnoteReference w:id="33"/>
      </w:r>
      <w:r>
        <w:t xml:space="preserve"> and Končar</w:t>
      </w:r>
      <w:r w:rsidR="009430C6">
        <w:t xml:space="preserve">, </w:t>
      </w:r>
      <w:r w:rsidR="009430C6">
        <w:rPr>
          <w:i/>
        </w:rPr>
        <w:t>et al</w:t>
      </w:r>
      <w:r w:rsidR="009430C6">
        <w:t>.</w:t>
      </w:r>
      <w:r>
        <w:rPr>
          <w:rStyle w:val="EndnoteReference"/>
        </w:rPr>
        <w:endnoteReference w:id="34"/>
      </w:r>
      <w:r>
        <w:t xml:space="preserve"> in the </w:t>
      </w:r>
      <w:r w:rsidR="00254394">
        <w:t>modeling</w:t>
      </w:r>
      <w:r>
        <w:t xml:space="preserve"> of two-phase flow.</w:t>
      </w:r>
      <w:r w:rsidR="0037396A">
        <w:t xml:space="preserve">  Rohde, </w:t>
      </w:r>
      <w:r w:rsidR="0037396A">
        <w:rPr>
          <w:i/>
        </w:rPr>
        <w:t>et al</w:t>
      </w:r>
      <w:r w:rsidR="0037396A">
        <w:t>.</w:t>
      </w:r>
      <w:r w:rsidR="00791DF7">
        <w:rPr>
          <w:rStyle w:val="EndnoteReference"/>
        </w:rPr>
        <w:endnoteReference w:id="35"/>
      </w:r>
      <w:r w:rsidR="0037396A">
        <w:t xml:space="preserve"> </w:t>
      </w:r>
      <w:r w:rsidR="00791DF7">
        <w:t>used a combination of CFX and FLUENT to model coolant circulation in pressurized water reactors (PWRs)</w:t>
      </w:r>
      <w:r w:rsidR="009430C6">
        <w:t>.  Their focus was on tracking</w:t>
      </w:r>
      <w:r w:rsidR="00791DF7">
        <w:t xml:space="preserve"> boron</w:t>
      </w:r>
      <w:r w:rsidR="009430C6">
        <w:t xml:space="preserve"> used</w:t>
      </w:r>
      <w:r w:rsidR="00791DF7">
        <w:t xml:space="preserve"> in the coolant to counteract excess reactivity in freshly installed fuel.  Using C</w:t>
      </w:r>
      <w:r w:rsidR="008B7822">
        <w:t xml:space="preserve">FD they </w:t>
      </w:r>
      <w:r w:rsidR="002916F2">
        <w:t xml:space="preserve">were </w:t>
      </w:r>
      <w:r w:rsidR="008B7822">
        <w:t>able to simulate the mixing which occurred inside the reactor core</w:t>
      </w:r>
      <w:r w:rsidR="009430C6">
        <w:t xml:space="preserve"> and thus determine local boron concentrations</w:t>
      </w:r>
      <w:r w:rsidR="008B7822">
        <w:t>.</w:t>
      </w:r>
    </w:p>
    <w:p w14:paraId="3FCAE985" w14:textId="6BDD97E8" w:rsidR="008B7822" w:rsidRDefault="00467E63" w:rsidP="006E01EF">
      <w:r>
        <w:t xml:space="preserve">These studies represent isolated cases in which CFD was used to understand flow conditions in pre-existing reactors.  Only in the most recent reactor design initiatives does one see the use of CFD rise to prominence.  The next generation of nuclear reactors has been labelled generation IV.  With plans to begin operation before 2030, the design for many generation IV reactors is still in the predominantly theoretical stage.  </w:t>
      </w:r>
      <w:r w:rsidR="00D47F8B">
        <w:t>Generation IV reactor designs are all different variations on the concept of a very high temperature reactor (VHTR).</w:t>
      </w:r>
      <w:r w:rsidR="00D47F8B">
        <w:rPr>
          <w:rStyle w:val="EndnoteReference"/>
        </w:rPr>
        <w:endnoteReference w:id="36"/>
      </w:r>
      <w:r w:rsidR="00D47F8B">
        <w:t xml:space="preserve">  One of these is the Pebble Bed Modular Reactor (PBMR) project in South Africa.  CFD has played an increasingly prominent role in the PBMR’s design since the project’s inception in 1994.  Becker and Laurien</w:t>
      </w:r>
      <w:r w:rsidR="00D47F8B">
        <w:rPr>
          <w:rStyle w:val="EndnoteReference"/>
        </w:rPr>
        <w:endnoteReference w:id="37"/>
      </w:r>
      <w:r w:rsidR="00D47F8B">
        <w:t xml:space="preserve"> used CFX-D to conduct early 3D simulations of the PBMR, focusing </w:t>
      </w:r>
      <w:r w:rsidR="00AB0961">
        <w:t xml:space="preserve">their work </w:t>
      </w:r>
      <w:r w:rsidR="00D47F8B">
        <w:t>on</w:t>
      </w:r>
      <w:r w:rsidR="00AB0961">
        <w:t xml:space="preserve"> the </w:t>
      </w:r>
      <w:r w:rsidR="00254394">
        <w:t>modeling</w:t>
      </w:r>
      <w:r w:rsidR="00AB0961">
        <w:t xml:space="preserve"> of</w:t>
      </w:r>
      <w:r w:rsidR="00D47F8B">
        <w:t xml:space="preserve"> possible accident-related non-axially symmetric core operating conditions.</w:t>
      </w:r>
    </w:p>
    <w:p w14:paraId="74448A74" w14:textId="0A2EE387" w:rsidR="00E90C67" w:rsidRPr="00245523" w:rsidRDefault="00E90C67" w:rsidP="006E01EF">
      <w:r>
        <w:t>Shang</w:t>
      </w:r>
      <w:r>
        <w:rPr>
          <w:rStyle w:val="EndnoteReference"/>
        </w:rPr>
        <w:endnoteReference w:id="38"/>
      </w:r>
      <w:r>
        <w:t xml:space="preserve"> has applied 3D CFD to the research process for another generation IV reactor, the Supercritical Water-Cooled Nuclear Reactor (SCWR).  Using STAR-CD he was able to investigate alternative fuel rod geometry configurations, an ability which had been nonexistent prior to his work due to the </w:t>
      </w:r>
      <w:r w:rsidR="009430C6">
        <w:t>limitations</w:t>
      </w:r>
      <w:r>
        <w:t xml:space="preserve"> of 2D models.  </w:t>
      </w:r>
      <w:r w:rsidR="00EB3F66">
        <w:t>Johnson,</w:t>
      </w:r>
      <w:r w:rsidR="00EB3F66">
        <w:rPr>
          <w:rStyle w:val="EndnoteReference"/>
        </w:rPr>
        <w:endnoteReference w:id="39"/>
      </w:r>
      <w:r w:rsidR="00EB3F66">
        <w:t xml:space="preserve"> similarly,</w:t>
      </w:r>
      <w:r w:rsidR="002916F2">
        <w:t xml:space="preserve"> used STAR-CCM+ to simulate coolant flow and heat transfer as it </w:t>
      </w:r>
      <w:r w:rsidR="00864CF1">
        <w:t>exits the reactor vessel of the proposed</w:t>
      </w:r>
      <w:r w:rsidR="002916F2">
        <w:t xml:space="preserve"> Next Generation Nuclear Plant (NGNP) design</w:t>
      </w:r>
      <w:r w:rsidR="00864CF1">
        <w:t xml:space="preserve"> in the US</w:t>
      </w:r>
      <w:r w:rsidR="002916F2">
        <w:t xml:space="preserve">.  </w:t>
      </w:r>
      <w:r w:rsidR="00BF5716">
        <w:t xml:space="preserve">In their work, Baqué, </w:t>
      </w:r>
      <w:r w:rsidR="00BF5716">
        <w:rPr>
          <w:i/>
        </w:rPr>
        <w:t>et al</w:t>
      </w:r>
      <w:r w:rsidR="00BF5716">
        <w:t>.,</w:t>
      </w:r>
      <w:r w:rsidR="00BF5716">
        <w:rPr>
          <w:rStyle w:val="EndnoteReference"/>
        </w:rPr>
        <w:endnoteReference w:id="40"/>
      </w:r>
      <w:r w:rsidR="00BF5716">
        <w:t xml:space="preserve"> </w:t>
      </w:r>
      <w:r w:rsidR="00864CF1">
        <w:t xml:space="preserve">state future plans to make use of CFD to model the effect of internal core geometry on coolant flow rates in the proposed Sodium-Cooled Fast Reactor (SFR) in France.  Schulenberg, </w:t>
      </w:r>
      <w:r w:rsidR="00864CF1">
        <w:rPr>
          <w:i/>
        </w:rPr>
        <w:t>et al</w:t>
      </w:r>
      <w:r w:rsidR="00864CF1">
        <w:t>.</w:t>
      </w:r>
      <w:r w:rsidR="00864CF1">
        <w:rPr>
          <w:rStyle w:val="EndnoteReference"/>
        </w:rPr>
        <w:endnoteReference w:id="41"/>
      </w:r>
      <w:r w:rsidR="00EB3F66">
        <w:t xml:space="preserve"> </w:t>
      </w:r>
      <w:r w:rsidR="00864CF1">
        <w:t xml:space="preserve">make mention of the critical role that CFD has played in multiple aspects of </w:t>
      </w:r>
      <w:r w:rsidR="00864CF1">
        <w:lastRenderedPageBreak/>
        <w:t>the design of the European High Performance Light Water Reactor (HPLWR).</w:t>
      </w:r>
      <w:r w:rsidR="00433FC0">
        <w:t xml:space="preserve">  Ferng and Chen</w:t>
      </w:r>
      <w:r w:rsidR="00433FC0">
        <w:rPr>
          <w:rStyle w:val="EndnoteReference"/>
        </w:rPr>
        <w:endnoteReference w:id="42"/>
      </w:r>
      <w:r w:rsidR="00433FC0">
        <w:t xml:space="preserve"> have conducted hypothetical accident analyses of the prototype HTR-10 reactor in China using FLUENT.  </w:t>
      </w:r>
    </w:p>
    <w:p w14:paraId="4770C0BA" w14:textId="02142BBC" w:rsidR="00467E63" w:rsidRDefault="00B6497A" w:rsidP="006E01EF">
      <w:r>
        <w:t xml:space="preserve">Interdimensional model coupling has even found rare use in reactor core </w:t>
      </w:r>
      <w:r w:rsidR="00254394">
        <w:t>modeling</w:t>
      </w:r>
      <w:r>
        <w:t>.  Many of these couplings include a link between a systems-level code such as RELAP5 or Flownex to model the entire reactor loop and a CFD package to explicitly model the reactor core itself.  1D inputs are fed into the reactor core node from the systems-level code whi</w:t>
      </w:r>
      <w:r w:rsidR="009430C6">
        <w:t>ch the CFD model then uses</w:t>
      </w:r>
      <w:r>
        <w:t xml:space="preserve"> as inlet conditions with which to drive internal core flow.  Outlet conditions are then homogenized and fed back into the reactor loop.</w:t>
      </w:r>
    </w:p>
    <w:p w14:paraId="74368B0D" w14:textId="4E34303C" w:rsidR="00D6655A" w:rsidRPr="00A3685B" w:rsidRDefault="007133AA" w:rsidP="00A3685B">
      <w:r>
        <w:t>Jeon</w:t>
      </w:r>
      <w:r w:rsidR="00CE507A">
        <w:t>g</w:t>
      </w:r>
      <w:r>
        <w:t xml:space="preserve">, </w:t>
      </w:r>
      <w:r>
        <w:rPr>
          <w:i/>
        </w:rPr>
        <w:t>et al</w:t>
      </w:r>
      <w:r>
        <w:t>.</w:t>
      </w:r>
      <w:r>
        <w:rPr>
          <w:rStyle w:val="EndnoteReference"/>
        </w:rPr>
        <w:endnoteReference w:id="43"/>
      </w:r>
      <w:r>
        <w:t xml:space="preserve"> </w:t>
      </w:r>
      <w:r w:rsidR="00CE507A">
        <w:t xml:space="preserve">and Lee, </w:t>
      </w:r>
      <w:r w:rsidR="00CE507A">
        <w:rPr>
          <w:i/>
        </w:rPr>
        <w:t>et al</w:t>
      </w:r>
      <w:r w:rsidR="00CE507A">
        <w:t>.</w:t>
      </w:r>
      <w:r w:rsidR="00CE507A">
        <w:rPr>
          <w:rStyle w:val="EndnoteReference"/>
        </w:rPr>
        <w:endnoteReference w:id="44"/>
      </w:r>
      <w:r w:rsidR="00CE507A">
        <w:t xml:space="preserve"> both created such</w:t>
      </w:r>
      <w:r>
        <w:t xml:space="preserve"> coupling</w:t>
      </w:r>
      <w:r w:rsidR="00CE507A">
        <w:t>s</w:t>
      </w:r>
      <w:r>
        <w:t xml:space="preserve"> using RELAP5 to mod</w:t>
      </w:r>
      <w:r w:rsidR="00CE507A">
        <w:t>el the reactor loop and COBRA</w:t>
      </w:r>
      <w:r>
        <w:t xml:space="preserve"> to create a localized 3D hydrodynamic model.</w:t>
      </w:r>
      <w:r w:rsidR="00CE507A">
        <w:t xml:space="preserve">  Aumiller, </w:t>
      </w:r>
      <w:r w:rsidR="00CE507A">
        <w:rPr>
          <w:i/>
        </w:rPr>
        <w:t>et al</w:t>
      </w:r>
      <w:r w:rsidR="00CE507A">
        <w:t>.</w:t>
      </w:r>
      <w:r w:rsidR="00CE507A">
        <w:rPr>
          <w:rStyle w:val="EndnoteReference"/>
        </w:rPr>
        <w:endnoteReference w:id="45"/>
      </w:r>
      <w:r w:rsidR="00CE507A">
        <w:t xml:space="preserve"> created a similar coupling using RELAP5 and CFX.  </w:t>
      </w:r>
      <w:r w:rsidR="00771CB2">
        <w:t xml:space="preserve">Walter, </w:t>
      </w:r>
      <w:r w:rsidR="00771CB2">
        <w:rPr>
          <w:i/>
        </w:rPr>
        <w:t>et al</w:t>
      </w:r>
      <w:r w:rsidR="00771CB2">
        <w:t>.,</w:t>
      </w:r>
      <w:r w:rsidR="00771CB2">
        <w:rPr>
          <w:rStyle w:val="EndnoteReference"/>
        </w:rPr>
        <w:endnoteReference w:id="46"/>
      </w:r>
      <w:r w:rsidR="00771CB2">
        <w:t xml:space="preserve"> in work related to the design of the PBMR, have created a coupling using Flownex to model the reactor loop and a 2D neutronics/thermal-hydraulics code known as RZKIND to model the core.  Perhaps the most </w:t>
      </w:r>
      <w:r w:rsidR="009430C6">
        <w:t>elaborate</w:t>
      </w:r>
      <w:r w:rsidR="00771CB2">
        <w:t xml:space="preserve"> instance of reactor code coupling comes from the work of Venter and Mitchell</w:t>
      </w:r>
      <w:r w:rsidR="00771CB2">
        <w:rPr>
          <w:rStyle w:val="EndnoteReference"/>
        </w:rPr>
        <w:endnoteReference w:id="47"/>
      </w:r>
      <w:r w:rsidR="00BA1EDA">
        <w:t xml:space="preserve"> who used a combination of Flownex and two CFD packages, STAR-CD and FLUENT, to create a</w:t>
      </w:r>
      <w:r w:rsidR="00AD2247">
        <w:t xml:space="preserve"> code combining elements of</w:t>
      </w:r>
      <w:r w:rsidR="00BA1EDA">
        <w:t xml:space="preserve"> neutron</w:t>
      </w:r>
      <w:r w:rsidR="00AD2247">
        <w:t xml:space="preserve">ics, CFD, shielding, and systems-level </w:t>
      </w:r>
      <w:r w:rsidR="00254394">
        <w:t>modeling</w:t>
      </w:r>
      <w:r w:rsidR="00AD2247">
        <w:t>.</w:t>
      </w:r>
      <w:r w:rsidR="00D6655A">
        <w:br w:type="page"/>
      </w:r>
    </w:p>
    <w:p w14:paraId="3E60EE02" w14:textId="77777777" w:rsidR="00F359EF" w:rsidRDefault="005A1BCC" w:rsidP="0038463A">
      <w:pPr>
        <w:pStyle w:val="Heading1"/>
        <w:ind w:firstLine="0"/>
        <w:rPr>
          <w:rStyle w:val="SubtitleChar"/>
        </w:rPr>
      </w:pPr>
      <w:r>
        <w:lastRenderedPageBreak/>
        <w:fldChar w:fldCharType="begin"/>
      </w:r>
      <w:r>
        <w:instrText xml:space="preserve"> LISTNUM CHAP </w:instrText>
      </w:r>
      <w:r w:rsidR="00155E9F">
        <w:instrText>\l 1</w:instrText>
      </w:r>
      <w:bookmarkStart w:id="21" w:name="_Toc382921536"/>
      <w:r>
        <w:fldChar w:fldCharType="end"/>
      </w:r>
      <w:r w:rsidR="00EF35E7">
        <w:t xml:space="preserve">    The Involute</w:t>
      </w:r>
      <w:bookmarkEnd w:id="21"/>
      <w:r w:rsidR="007A0AF6" w:rsidRPr="00FF3A17">
        <w:rPr>
          <w:rStyle w:val="SubtitleChar"/>
        </w:rPr>
        <w:t xml:space="preserve"> </w:t>
      </w:r>
    </w:p>
    <w:p w14:paraId="3AB083D4" w14:textId="279786D7" w:rsidR="004A1807" w:rsidRPr="00E3342F" w:rsidRDefault="007A0AF6" w:rsidP="00F359EF">
      <w:pPr>
        <w:pStyle w:val="Subtitle"/>
      </w:pPr>
      <w:r w:rsidRPr="00FF3A17">
        <w:rPr>
          <w:rStyle w:val="SubtitleChar"/>
        </w:rPr>
        <w:fldChar w:fldCharType="begin"/>
      </w:r>
      <w:r w:rsidRPr="00FF3A17">
        <w:rPr>
          <w:rStyle w:val="SubtitleChar"/>
        </w:rPr>
        <w:instrText xml:space="preserve"> LISTNUM EQN </w:instrText>
      </w:r>
      <w:r w:rsidRPr="00FF3A17">
        <w:rPr>
          <w:rStyle w:val="SubtitleChar"/>
        </w:rPr>
        <w:fldChar w:fldCharType="end"/>
      </w:r>
      <w:r w:rsidR="00086F9B" w:rsidRPr="00FF3A17">
        <w:rPr>
          <w:rStyle w:val="SubtitleChar"/>
        </w:rPr>
        <w:fldChar w:fldCharType="begin"/>
      </w:r>
      <w:r w:rsidR="00086F9B" w:rsidRPr="00FF3A17">
        <w:rPr>
          <w:rStyle w:val="SubtitleChar"/>
        </w:rPr>
        <w:instrText xml:space="preserve"> LISTNUM FIG </w:instrText>
      </w:r>
      <w:r w:rsidR="00086F9B" w:rsidRPr="00FF3A17">
        <w:rPr>
          <w:rStyle w:val="SubtitleChar"/>
        </w:rPr>
        <w:fldChar w:fldCharType="end"/>
      </w:r>
      <w:r w:rsidR="005B50CC" w:rsidRPr="00FF3A17">
        <w:rPr>
          <w:rStyle w:val="SubtitleChar"/>
        </w:rPr>
        <w:fldChar w:fldCharType="begin"/>
      </w:r>
      <w:r w:rsidR="005B50CC" w:rsidRPr="00FF3A17">
        <w:rPr>
          <w:rStyle w:val="SubtitleChar"/>
        </w:rPr>
        <w:instrText xml:space="preserve">LISTNUM TAB </w:instrText>
      </w:r>
      <w:r w:rsidR="005B50CC" w:rsidRPr="00FF3A17">
        <w:rPr>
          <w:rStyle w:val="SubtitleChar"/>
        </w:rPr>
        <w:fldChar w:fldCharType="end"/>
      </w:r>
    </w:p>
    <w:p w14:paraId="5F8DD72A" w14:textId="6130941B" w:rsidR="00234626" w:rsidRPr="009358D1" w:rsidRDefault="004B331C" w:rsidP="00DF0C87">
      <w:pPr>
        <w:pStyle w:val="Heading2"/>
      </w:pPr>
      <w:r>
        <w:fldChar w:fldCharType="begin"/>
      </w:r>
      <w:r>
        <w:instrText xml:space="preserve"> LISTNUM CHAP \l 2 </w:instrText>
      </w:r>
      <w:bookmarkStart w:id="22" w:name="_Toc382921537"/>
      <w:r>
        <w:fldChar w:fldCharType="end"/>
      </w:r>
      <w:r w:rsidR="005C5105">
        <w:t xml:space="preserve">    </w:t>
      </w:r>
      <w:r w:rsidR="00454F19">
        <w:t>The Basic Involute</w:t>
      </w:r>
      <w:bookmarkEnd w:id="22"/>
    </w:p>
    <w:p w14:paraId="5F84535A" w14:textId="56378329" w:rsidR="007E5B0E" w:rsidRDefault="00E96DE3" w:rsidP="00DF0C87">
      <w:r>
        <w:t>The HFIR core fuel plate</w:t>
      </w:r>
      <w:r w:rsidR="00064501">
        <w:t xml:space="preserve"> take</w:t>
      </w:r>
      <w:r>
        <w:t>s</w:t>
      </w:r>
      <w:r w:rsidR="00064501">
        <w:t xml:space="preserve"> the sha</w:t>
      </w:r>
      <w:r>
        <w:t>pe of</w:t>
      </w:r>
      <w:r w:rsidR="0007781B">
        <w:t xml:space="preserve"> </w:t>
      </w:r>
      <w:r>
        <w:t xml:space="preserve">a </w:t>
      </w:r>
      <w:r w:rsidR="0007781B">
        <w:t>circular involute curve.</w:t>
      </w:r>
      <w:r w:rsidR="00772949">
        <w:t xml:space="preserve">  The concept of an involute was first proposed by Christiaan Huygens in 1673.  </w:t>
      </w:r>
      <w:r w:rsidR="0057628B">
        <w:t>Involutes and their opposites, evolutes, have played prominent roles in the development of early pendulum clocks and mechanical gearing tooth design</w:t>
      </w:r>
      <w:r w:rsidR="00953C50">
        <w:t>s</w:t>
      </w:r>
      <w:r w:rsidR="00D228FE">
        <w:t>.</w:t>
      </w:r>
      <w:r w:rsidR="0057628B">
        <w:rPr>
          <w:rStyle w:val="EndnoteReference"/>
        </w:rPr>
        <w:endnoteReference w:id="48"/>
      </w:r>
      <w:r w:rsidR="0057628B">
        <w:rPr>
          <w:vertAlign w:val="superscript"/>
        </w:rPr>
        <w:t xml:space="preserve">, </w:t>
      </w:r>
      <w:r w:rsidR="0057628B">
        <w:rPr>
          <w:rStyle w:val="EndnoteReference"/>
        </w:rPr>
        <w:endnoteReference w:id="49"/>
      </w:r>
      <w:r w:rsidR="00B9039F">
        <w:t xml:space="preserve">  </w:t>
      </w:r>
      <w:r w:rsidR="0007781B">
        <w:t xml:space="preserve">A simple means of envisioning the path a circular involute takes is to consider </w:t>
      </w:r>
      <w:r w:rsidR="006046D3">
        <w:t xml:space="preserve">a tetherball wound around a pole.  The circular involute is the locus of points traced by the tetherball as it is unwound from the pole.  Its position is a function of the increasing length of the tangent line emanating from sequential points along the </w:t>
      </w:r>
      <w:r w:rsidR="00373A4E">
        <w:t>perimeter</w:t>
      </w:r>
      <w:r w:rsidR="006046D3">
        <w:t xml:space="preserve"> of the base circle</w:t>
      </w:r>
      <w:r w:rsidR="003418E8">
        <w:t>.</w:t>
      </w:r>
      <w:r w:rsidR="005A0C26">
        <w:t xml:space="preserve">  By contrast, if the circular involute were considered the</w:t>
      </w:r>
      <w:r w:rsidR="001B35ED">
        <w:t xml:space="preserve"> </w:t>
      </w:r>
      <w:r w:rsidR="005A0C26">
        <w:t>original function and the circle was generated by means of the opposite procedure, the circle would be considered its evolute.</w:t>
      </w:r>
      <w:r w:rsidR="007370D7">
        <w:rPr>
          <w:rStyle w:val="EndnoteReference"/>
        </w:rPr>
        <w:endnoteReference w:id="50"/>
      </w:r>
      <w:r w:rsidR="005A0C26">
        <w:t xml:space="preserve"> </w:t>
      </w:r>
      <w:r w:rsidR="001B35ED">
        <w:t xml:space="preserve"> A circular i</w:t>
      </w:r>
      <w:r w:rsidR="00DE3CF0">
        <w:t xml:space="preserve">nvolute is shown in Fig. </w:t>
      </w:r>
      <w:r w:rsidR="00DE3CF0">
        <w:fldChar w:fldCharType="begin"/>
      </w:r>
      <w:r w:rsidR="00DE3CF0">
        <w:instrText xml:space="preserve"> REF _Ref363558628 \r \h </w:instrText>
      </w:r>
      <w:r w:rsidR="00DE3CF0">
        <w:fldChar w:fldCharType="separate"/>
      </w:r>
      <w:r w:rsidR="001C5EC1">
        <w:t>3.1</w:t>
      </w:r>
      <w:r w:rsidR="00DE3CF0">
        <w:fldChar w:fldCharType="end"/>
      </w:r>
      <w:r w:rsidR="008D3322">
        <w:t>.</w:t>
      </w:r>
    </w:p>
    <w:p w14:paraId="727E8F84" w14:textId="77777777" w:rsidR="00E96DE3" w:rsidRDefault="007E5B0E" w:rsidP="003E0C5E">
      <w:pPr>
        <w:pStyle w:val="PictureSytel"/>
      </w:pPr>
      <w:r>
        <w:rPr>
          <w:noProof/>
        </w:rPr>
        <w:lastRenderedPageBreak/>
        <w:drawing>
          <wp:inline distT="0" distB="0" distL="0" distR="0" wp14:anchorId="657FF059" wp14:editId="78346470">
            <wp:extent cx="4981651" cy="5570674"/>
            <wp:effectExtent l="19050" t="19050" r="9525" b="11430"/>
            <wp:docPr id="1" name="Picture 1" descr="C:\Users\atk\Desktop\Involute Tetherball F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k\Desktop\Involute Tetherball Fig.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82476" cy="5571597"/>
                    </a:xfrm>
                    <a:prstGeom prst="rect">
                      <a:avLst/>
                    </a:prstGeom>
                    <a:noFill/>
                    <a:ln>
                      <a:solidFill>
                        <a:schemeClr val="tx1"/>
                      </a:solidFill>
                    </a:ln>
                  </pic:spPr>
                </pic:pic>
              </a:graphicData>
            </a:graphic>
          </wp:inline>
        </w:drawing>
      </w:r>
    </w:p>
    <w:p w14:paraId="7C54A366" w14:textId="3E04FBE6" w:rsidR="00571545" w:rsidRPr="00DE3CF0" w:rsidRDefault="00DE3CF0" w:rsidP="00CC0DFD">
      <w:pPr>
        <w:pStyle w:val="FigTitleStyle"/>
      </w:pPr>
      <w:bookmarkStart w:id="23" w:name="_Toc380156091"/>
      <w:bookmarkStart w:id="24" w:name="_Toc380157637"/>
      <w:bookmarkStart w:id="25" w:name="_Toc382920242"/>
      <w:r w:rsidRPr="006E01EF">
        <w:rPr>
          <w:rStyle w:val="FigTitleStyleChar"/>
          <w:b/>
        </w:rPr>
        <w:t xml:space="preserve">Fig. </w:t>
      </w:r>
      <w:r w:rsidRPr="006E01EF">
        <w:rPr>
          <w:rStyle w:val="FigTitleStyleChar"/>
          <w:b/>
        </w:rPr>
        <w:fldChar w:fldCharType="begin"/>
      </w:r>
      <w:bookmarkStart w:id="26" w:name="_Ref363558628"/>
      <w:bookmarkEnd w:id="26"/>
      <w:r w:rsidRPr="006E01EF">
        <w:rPr>
          <w:rStyle w:val="FigTitleStyleChar"/>
          <w:b/>
        </w:rPr>
        <w:instrText xml:space="preserve"> LISTNUM FIG \l 2</w:instrText>
      </w:r>
      <w:r w:rsidRPr="006E01EF">
        <w:rPr>
          <w:rStyle w:val="FigTitleStyleChar"/>
          <w:b/>
        </w:rPr>
        <w:fldChar w:fldCharType="end"/>
      </w:r>
      <w:r w:rsidR="00E96DE3" w:rsidRPr="006E01EF">
        <w:rPr>
          <w:rStyle w:val="FigTitleStyleChar"/>
          <w:b/>
        </w:rPr>
        <w:t xml:space="preserve">.  </w:t>
      </w:r>
      <w:r w:rsidR="00A161DF" w:rsidRPr="006E01EF">
        <w:rPr>
          <w:rStyle w:val="FigTitleStyleChar"/>
          <w:b/>
        </w:rPr>
        <w:t xml:space="preserve">Basic </w:t>
      </w:r>
      <w:r w:rsidR="00E96DE3" w:rsidRPr="006E01EF">
        <w:rPr>
          <w:rStyle w:val="FigTitleStyleChar"/>
          <w:b/>
        </w:rPr>
        <w:t>Circular Involute</w:t>
      </w:r>
      <w:r w:rsidR="00E96DE3" w:rsidRPr="006E01EF">
        <w:rPr>
          <w:b w:val="0"/>
        </w:rPr>
        <w:t>.</w:t>
      </w:r>
      <w:r w:rsidR="00E96DE3" w:rsidRPr="00DE3CF0">
        <w:t xml:space="preserve">  </w:t>
      </w:r>
      <w:r w:rsidR="00553B7A" w:rsidRPr="006E01EF">
        <w:rPr>
          <w:b w:val="0"/>
        </w:rPr>
        <w:t xml:space="preserve">The involute curve is shown along with its base circle.  Tangent guidelines are represented by dashed lines.  </w:t>
      </w:r>
      <w:r w:rsidR="00FF52F5" w:rsidRPr="006E01EF">
        <w:rPr>
          <w:b w:val="0"/>
        </w:rPr>
        <w:t xml:space="preserve">The numbers </w:t>
      </w:r>
      <w:r w:rsidR="00224284" w:rsidRPr="006E01EF">
        <w:rPr>
          <w:b w:val="0"/>
        </w:rPr>
        <w:t>indicate</w:t>
      </w:r>
      <w:r w:rsidR="00FF52F5" w:rsidRPr="006E01EF">
        <w:rPr>
          <w:b w:val="0"/>
        </w:rPr>
        <w:t xml:space="preserve"> the direction of progression of the involute in the direction deemed “positive.”</w:t>
      </w:r>
      <w:bookmarkEnd w:id="23"/>
      <w:bookmarkEnd w:id="24"/>
      <w:bookmarkEnd w:id="25"/>
    </w:p>
    <w:p w14:paraId="584A8850" w14:textId="36305560" w:rsidR="00B41E5C" w:rsidRDefault="00FF52F5" w:rsidP="00DF0C87">
      <w:r>
        <w:rPr>
          <w:sz w:val="20"/>
        </w:rPr>
        <w:t xml:space="preserve">  </w:t>
      </w:r>
      <w:r w:rsidR="00625B6C">
        <w:t xml:space="preserve">The </w:t>
      </w:r>
      <w:r w:rsidR="00B41E5C">
        <w:t>basic</w:t>
      </w:r>
      <w:r w:rsidR="00A161DF">
        <w:t xml:space="preserve"> circular</w:t>
      </w:r>
      <w:r w:rsidR="00B41E5C">
        <w:t xml:space="preserve"> involute is given</w:t>
      </w:r>
      <w:r w:rsidR="00625B6C">
        <w:t xml:space="preserve"> </w:t>
      </w:r>
      <w:r w:rsidR="00A209B7">
        <w:t>by the</w:t>
      </w:r>
      <w:r w:rsidR="00B41E5C">
        <w:t xml:space="preserve"> </w:t>
      </w:r>
      <w:r w:rsidR="00075BBA">
        <w:t>relation</w:t>
      </w:r>
    </w:p>
    <w:p w14:paraId="77D6E831" w14:textId="68D48205" w:rsidR="00B41E5C" w:rsidRDefault="00860F38" w:rsidP="006E01EF">
      <w:pPr>
        <w:pStyle w:val="EqnParStyle"/>
      </w:pPr>
      <w:r>
        <w:tab/>
      </w:r>
      <w:r w:rsidR="005D4FBD" w:rsidRPr="005D4FBD">
        <w:rPr>
          <w:position w:val="-10"/>
        </w:rPr>
        <w:object w:dxaOrig="4959" w:dyaOrig="460" w14:anchorId="17441726">
          <v:shape id="_x0000_i1043" type="#_x0000_t75" style="width:252pt;height:20.95pt" o:ole="">
            <v:imagedata r:id="rId51" o:title=""/>
          </v:shape>
          <o:OLEObject Type="Embed" ProgID="Equation.3" ShapeID="_x0000_i1043" DrawAspect="Content" ObjectID="_1457171696" r:id="rId52"/>
        </w:object>
      </w:r>
      <w:r w:rsidRPr="00860F38">
        <w:tab/>
      </w:r>
      <w:r w:rsidRPr="00860F38">
        <w:fldChar w:fldCharType="begin"/>
      </w:r>
      <w:bookmarkStart w:id="27" w:name="_Ref363646163"/>
      <w:bookmarkEnd w:id="27"/>
      <w:r w:rsidRPr="00860F38">
        <w:instrText xml:space="preserve"> LISTNUM EQN \l 2 </w:instrText>
      </w:r>
      <w:r w:rsidRPr="00860F38">
        <w:fldChar w:fldCharType="end"/>
      </w:r>
      <w:r w:rsidRPr="00860F38">
        <w:t>)</w:t>
      </w:r>
    </w:p>
    <w:p w14:paraId="671ED582" w14:textId="22B77D87" w:rsidR="00A161DF" w:rsidRDefault="00860F38" w:rsidP="00A55401">
      <w:pPr>
        <w:ind w:firstLine="0"/>
      </w:pPr>
      <w:r>
        <w:t xml:space="preserve">where </w:t>
      </w:r>
      <w:r w:rsidRPr="00C2285E">
        <w:rPr>
          <w:i/>
        </w:rPr>
        <w:t>r</w:t>
      </w:r>
      <w:r w:rsidRPr="00C2285E">
        <w:rPr>
          <w:i/>
          <w:vertAlign w:val="subscript"/>
        </w:rPr>
        <w:t>b</w:t>
      </w:r>
      <w:r>
        <w:t xml:space="preserve"> is the radius of the base involute, assumed </w:t>
      </w:r>
      <w:r w:rsidR="00C8727B">
        <w:t xml:space="preserve">to be </w:t>
      </w:r>
      <w:r>
        <w:t xml:space="preserve">positive, and </w:t>
      </w:r>
      <w:r w:rsidRPr="009F0A5D">
        <w:rPr>
          <w:i/>
        </w:rPr>
        <w:t>θ</w:t>
      </w:r>
      <w:r>
        <w:t xml:space="preserve"> is measured in radians.</w:t>
      </w:r>
      <w:r w:rsidR="00884C00">
        <w:rPr>
          <w:rStyle w:val="EndnoteReference"/>
        </w:rPr>
        <w:endnoteReference w:id="51"/>
      </w:r>
      <w:r w:rsidR="00A161DF">
        <w:t xml:space="preserve">  The circular involute’s </w:t>
      </w:r>
      <w:r w:rsidR="006A2446">
        <w:t>reliance on</w:t>
      </w:r>
      <w:r w:rsidR="00A161DF">
        <w:t xml:space="preserve"> a base circle is easy to see in this formulation.  In comparison with the equation for a circle</w:t>
      </w:r>
    </w:p>
    <w:p w14:paraId="68DC9098" w14:textId="295BD2E8" w:rsidR="00A161DF" w:rsidRDefault="00A161DF" w:rsidP="00DF0C87">
      <w:pPr>
        <w:pStyle w:val="numberedeqnstyle"/>
      </w:pPr>
      <w:r w:rsidRPr="00A025AE">
        <w:lastRenderedPageBreak/>
        <w:tab/>
      </w:r>
      <w:r w:rsidR="00C7586E" w:rsidRPr="00860F38">
        <w:rPr>
          <w:position w:val="-12"/>
        </w:rPr>
        <w:object w:dxaOrig="4380" w:dyaOrig="400" w14:anchorId="1DDFAF7B">
          <v:shape id="_x0000_i1044" type="#_x0000_t75" style="width:216.55pt;height:21.5pt" o:ole="">
            <v:imagedata r:id="rId53" o:title=""/>
          </v:shape>
          <o:OLEObject Type="Embed" ProgID="Equation.3" ShapeID="_x0000_i1044" DrawAspect="Content" ObjectID="_1457171697" r:id="rId54"/>
        </w:object>
      </w:r>
      <w:r>
        <w:tab/>
      </w:r>
      <w:r>
        <w:fldChar w:fldCharType="begin"/>
      </w:r>
      <w:bookmarkStart w:id="28" w:name="_Ref363641163"/>
      <w:bookmarkEnd w:id="28"/>
      <w:r>
        <w:instrText xml:space="preserve"> LISTNUM EQN \l 2 </w:instrText>
      </w:r>
      <w:r>
        <w:fldChar w:fldCharType="end"/>
      </w:r>
      <w:r>
        <w:t>)</w:t>
      </w:r>
    </w:p>
    <w:p w14:paraId="24A32DE7" w14:textId="4A5E51A8" w:rsidR="00075BBA" w:rsidRDefault="00075BBA" w:rsidP="00A55401">
      <w:pPr>
        <w:pStyle w:val="numberedeqnstyle"/>
        <w:ind w:firstLine="0"/>
      </w:pPr>
      <w:r>
        <w:t xml:space="preserve">it is apparent that the circular involute equation is the same equation merely with a constantly-increasing amplitude attached to the second term in each </w:t>
      </w:r>
      <w:r w:rsidR="00994731">
        <w:t xml:space="preserve">bracket.  For the basic circular involute this constantly-increasing amplitude is a direct function of the angular position </w:t>
      </w:r>
      <w:r w:rsidR="00994731" w:rsidRPr="009F0A5D">
        <w:rPr>
          <w:i/>
        </w:rPr>
        <w:t>θ</w:t>
      </w:r>
      <w:r w:rsidR="00994731">
        <w:t>.</w:t>
      </w:r>
    </w:p>
    <w:p w14:paraId="560D8859" w14:textId="7C4FB061" w:rsidR="00E96DE3" w:rsidRDefault="004F3D21" w:rsidP="00DF0C87">
      <w:r>
        <w:t xml:space="preserve">For the purpose of brevity, the basic circular involute will be </w:t>
      </w:r>
      <w:r w:rsidR="00AB25E0">
        <w:t>called</w:t>
      </w:r>
      <w:r>
        <w:t xml:space="preserve"> the basic involute </w:t>
      </w:r>
      <w:r w:rsidR="00D315A3">
        <w:t>herein</w:t>
      </w:r>
      <w:r>
        <w:t>.  The fact that it is a circular involute will be implied as this</w:t>
      </w:r>
      <w:r w:rsidR="008B3992">
        <w:t xml:space="preserve"> is the only involute curve detailed explicitly</w:t>
      </w:r>
      <w:r>
        <w:t xml:space="preserve">.  </w:t>
      </w:r>
      <w:r w:rsidR="00566F8D">
        <w:t>The basic involute i</w:t>
      </w:r>
      <w:r w:rsidR="00A55401">
        <w:t xml:space="preserve">n Eqn. </w:t>
      </w:r>
      <w:r w:rsidR="00566F8D">
        <w:fldChar w:fldCharType="begin"/>
      </w:r>
      <w:r w:rsidR="00566F8D">
        <w:instrText xml:space="preserve"> REF _Ref363646163 \n \h </w:instrText>
      </w:r>
      <w:r w:rsidR="00566F8D">
        <w:fldChar w:fldCharType="separate"/>
      </w:r>
      <w:r w:rsidR="001C5EC1">
        <w:t>(3.1</w:t>
      </w:r>
      <w:r w:rsidR="00566F8D">
        <w:fldChar w:fldCharType="end"/>
      </w:r>
      <w:r w:rsidR="00566F8D">
        <w:t>)</w:t>
      </w:r>
      <w:r w:rsidR="0069335E">
        <w:t xml:space="preserve"> can be expressed in parametric form</w:t>
      </w:r>
      <w:r w:rsidR="005F143F">
        <w:t xml:space="preserve"> such that</w:t>
      </w:r>
    </w:p>
    <w:p w14:paraId="779D6043" w14:textId="7AE30091" w:rsidR="008D3322" w:rsidRPr="00A025AE" w:rsidRDefault="008D3322" w:rsidP="00DF0C87">
      <w:pPr>
        <w:pStyle w:val="numberedeqnstyle"/>
      </w:pPr>
      <w:r w:rsidRPr="00A025AE">
        <w:tab/>
      </w:r>
      <w:r w:rsidR="00206FDF" w:rsidRPr="00234181">
        <w:rPr>
          <w:position w:val="-12"/>
        </w:rPr>
        <w:object w:dxaOrig="3019" w:dyaOrig="499" w14:anchorId="2BF5419D">
          <v:shape id="_x0000_i1045" type="#_x0000_t75" style="width:151.5pt;height:21.5pt" o:ole="">
            <v:imagedata r:id="rId55" o:title=""/>
          </v:shape>
          <o:OLEObject Type="Embed" ProgID="Equation.3" ShapeID="_x0000_i1045" DrawAspect="Content" ObjectID="_1457171698" r:id="rId56"/>
        </w:object>
      </w:r>
      <w:r>
        <w:tab/>
      </w:r>
      <w:r>
        <w:fldChar w:fldCharType="begin"/>
      </w:r>
      <w:bookmarkStart w:id="29" w:name="_Ref363586054"/>
      <w:bookmarkEnd w:id="29"/>
      <w:r>
        <w:instrText xml:space="preserve"> LISTNUM EQN \l 2 </w:instrText>
      </w:r>
      <w:r>
        <w:fldChar w:fldCharType="end"/>
      </w:r>
      <w:r w:rsidR="00206FDF">
        <w:t>a</w:t>
      </w:r>
      <w:r>
        <w:t>)</w:t>
      </w:r>
    </w:p>
    <w:p w14:paraId="5330BD33" w14:textId="3DDCDFDC" w:rsidR="00206FDF" w:rsidRDefault="00206FDF" w:rsidP="00DF0C87">
      <w:pPr>
        <w:pStyle w:val="numberedeqnstyle"/>
      </w:pPr>
      <w:r w:rsidRPr="00A025AE">
        <w:tab/>
      </w:r>
      <w:r w:rsidR="0013247A" w:rsidRPr="00234181">
        <w:rPr>
          <w:position w:val="-12"/>
        </w:rPr>
        <w:object w:dxaOrig="3040" w:dyaOrig="499" w14:anchorId="0F5BFB3A">
          <v:shape id="_x0000_i1046" type="#_x0000_t75" style="width:152.05pt;height:21.5pt" o:ole="">
            <v:imagedata r:id="rId57" o:title=""/>
          </v:shape>
          <o:OLEObject Type="Embed" ProgID="Equation.3" ShapeID="_x0000_i1046" DrawAspect="Content" ObjectID="_1457171699" r:id="rId58"/>
        </w:object>
      </w:r>
      <w:r w:rsidR="006B236E">
        <w:t>.</w:t>
      </w:r>
      <w:r>
        <w:tab/>
      </w:r>
      <w:fldSimple w:instr=" REF _Ref363586054 \n ">
        <w:r w:rsidR="001C5EC1">
          <w:t>(3.3</w:t>
        </w:r>
      </w:fldSimple>
      <w:r w:rsidR="00F12DBF">
        <w:t>b</w:t>
      </w:r>
      <w:r>
        <w:t>)</w:t>
      </w:r>
    </w:p>
    <w:p w14:paraId="47DFE815" w14:textId="6E0E0E7B" w:rsidR="0080694E" w:rsidRDefault="00057FCE" w:rsidP="00DF0C87">
      <w:r>
        <w:t>While this is considered the basic involute equation, in truth however, this is a simplification of a more ge</w:t>
      </w:r>
      <w:r w:rsidR="004B48A8">
        <w:t xml:space="preserve">neralized form.  In this </w:t>
      </w:r>
      <w:r w:rsidR="005F009F">
        <w:t xml:space="preserve">more general </w:t>
      </w:r>
      <w:r w:rsidR="004B48A8">
        <w:t>form</w:t>
      </w:r>
      <w:r>
        <w:t xml:space="preserve"> there are two parameters, </w:t>
      </w:r>
      <w:r w:rsidRPr="00C2285E">
        <w:rPr>
          <w:i/>
        </w:rPr>
        <w:t>θ</w:t>
      </w:r>
      <w:r>
        <w:t xml:space="preserve"> and </w:t>
      </w:r>
      <w:r w:rsidRPr="00C2285E">
        <w:rPr>
          <w:i/>
        </w:rPr>
        <w:t>α</w:t>
      </w:r>
      <w:r>
        <w:t xml:space="preserve">, where one is a linear function of the other.  </w:t>
      </w:r>
      <w:r w:rsidR="002F082A">
        <w:t>This generalized form is g</w:t>
      </w:r>
      <w:r w:rsidR="0080694E">
        <w:t>iven by the parametric equation</w:t>
      </w:r>
    </w:p>
    <w:p w14:paraId="4373695A" w14:textId="0B39F139" w:rsidR="00206FDF" w:rsidRPr="00A025AE" w:rsidRDefault="00206FDF" w:rsidP="00DF0C87">
      <w:pPr>
        <w:pStyle w:val="numberedeqnstyle"/>
      </w:pPr>
      <w:r w:rsidRPr="00A025AE">
        <w:tab/>
      </w:r>
      <w:r w:rsidR="0013247A" w:rsidRPr="00234181">
        <w:rPr>
          <w:position w:val="-12"/>
        </w:rPr>
        <w:object w:dxaOrig="3080" w:dyaOrig="499" w14:anchorId="6908A1F4">
          <v:shape id="_x0000_i1047" type="#_x0000_t75" style="width:153.65pt;height:21.5pt" o:ole="">
            <v:imagedata r:id="rId59" o:title=""/>
          </v:shape>
          <o:OLEObject Type="Embed" ProgID="Equation.3" ShapeID="_x0000_i1047" DrawAspect="Content" ObjectID="_1457171700" r:id="rId60"/>
        </w:object>
      </w:r>
      <w:r>
        <w:tab/>
      </w:r>
      <w:r>
        <w:fldChar w:fldCharType="begin"/>
      </w:r>
      <w:bookmarkStart w:id="30" w:name="_Ref363560060"/>
      <w:bookmarkEnd w:id="30"/>
      <w:r>
        <w:instrText xml:space="preserve"> LISTNUM EQN \l 2 </w:instrText>
      </w:r>
      <w:r>
        <w:fldChar w:fldCharType="end"/>
      </w:r>
      <w:r>
        <w:t>a)</w:t>
      </w:r>
    </w:p>
    <w:p w14:paraId="5AFB4693" w14:textId="30ACE6BD" w:rsidR="00206FDF" w:rsidRPr="00A025AE" w:rsidRDefault="00206FDF" w:rsidP="00DF0C87">
      <w:pPr>
        <w:pStyle w:val="numberedeqnstyle"/>
      </w:pPr>
      <w:r w:rsidRPr="00A025AE">
        <w:tab/>
      </w:r>
      <w:r w:rsidR="0013247A" w:rsidRPr="00234181">
        <w:rPr>
          <w:position w:val="-12"/>
        </w:rPr>
        <w:object w:dxaOrig="3080" w:dyaOrig="499" w14:anchorId="6E7F9CBD">
          <v:shape id="_x0000_i1048" type="#_x0000_t75" style="width:153.65pt;height:21.5pt" o:ole="">
            <v:imagedata r:id="rId61" o:title=""/>
          </v:shape>
          <o:OLEObject Type="Embed" ProgID="Equation.3" ShapeID="_x0000_i1048" DrawAspect="Content" ObjectID="_1457171701" r:id="rId62"/>
        </w:object>
      </w:r>
      <w:r>
        <w:tab/>
      </w:r>
      <w:fldSimple w:instr=" REF _Ref363560060 \n ">
        <w:r w:rsidR="001C5EC1">
          <w:t>(3.4</w:t>
        </w:r>
      </w:fldSimple>
      <w:r>
        <w:t>b)</w:t>
      </w:r>
    </w:p>
    <w:p w14:paraId="688F2C7A" w14:textId="4CEB135C" w:rsidR="00206FDF" w:rsidRPr="00A209B7" w:rsidRDefault="00206FDF" w:rsidP="00DF0C87">
      <w:pPr>
        <w:pStyle w:val="numberedeqnstyle"/>
      </w:pPr>
      <w:r w:rsidRPr="00A025AE">
        <w:tab/>
      </w:r>
      <w:r w:rsidR="00494F31" w:rsidRPr="0013247A">
        <w:rPr>
          <w:position w:val="-10"/>
        </w:rPr>
        <w:object w:dxaOrig="780" w:dyaOrig="300" w14:anchorId="0A60BDAB">
          <v:shape id="_x0000_i1049" type="#_x0000_t75" style="width:38.7pt;height:14.5pt" o:ole="">
            <v:imagedata r:id="rId63" o:title=""/>
          </v:shape>
          <o:OLEObject Type="Embed" ProgID="Equation.3" ShapeID="_x0000_i1049" DrawAspect="Content" ObjectID="_1457171702" r:id="rId64"/>
        </w:object>
      </w:r>
      <w:r>
        <w:tab/>
      </w:r>
      <w:fldSimple w:instr=" REF _Ref363560060 \n ">
        <w:r w:rsidR="001C5EC1">
          <w:t>(3.4</w:t>
        </w:r>
      </w:fldSimple>
      <w:r>
        <w:t>c)</w:t>
      </w:r>
    </w:p>
    <w:p w14:paraId="3CC06376" w14:textId="0D245C03" w:rsidR="00625B6C" w:rsidRDefault="0080694E" w:rsidP="009A5798">
      <w:pPr>
        <w:ind w:firstLine="0"/>
      </w:pPr>
      <w:r>
        <w:t xml:space="preserve">where the </w:t>
      </w:r>
      <w:r w:rsidR="001C5EC1">
        <w:rPr>
          <w:position w:val="-6"/>
        </w:rPr>
        <w:pict w14:anchorId="6C2FCCB7">
          <v:shape id="_x0000_i1050" type="#_x0000_t75" style="width:14.5pt;height:14.5pt">
            <v:imagedata r:id="rId65" o:title=""/>
          </v:shape>
        </w:pict>
      </w:r>
      <w:r>
        <w:t xml:space="preserve">operator denotes that </w:t>
      </w:r>
      <w:r w:rsidR="00494F31" w:rsidRPr="00C2285E">
        <w:rPr>
          <w:i/>
        </w:rPr>
        <w:t>θ</w:t>
      </w:r>
      <w:r>
        <w:t xml:space="preserve"> is a linear function of</w:t>
      </w:r>
      <w:r w:rsidR="00494F31">
        <w:t xml:space="preserve"> </w:t>
      </w:r>
      <w:r w:rsidR="00494F31" w:rsidRPr="007923D8">
        <w:rPr>
          <w:i/>
        </w:rPr>
        <w:t>α</w:t>
      </w:r>
      <w:r>
        <w:t>.</w:t>
      </w:r>
      <w:r w:rsidR="006729EC">
        <w:t xml:space="preserve">  </w:t>
      </w:r>
      <w:r w:rsidR="00C53B75">
        <w:t xml:space="preserve">In this generalized form, the parameter </w:t>
      </w:r>
      <w:r w:rsidR="00C53B75" w:rsidRPr="00024ED3">
        <w:rPr>
          <w:i/>
        </w:rPr>
        <w:t>θ</w:t>
      </w:r>
      <w:r w:rsidR="00C53B75">
        <w:t xml:space="preserve"> specifies the angular position of the tangent line emanating from the perimeter of the base circle.  The parameter </w:t>
      </w:r>
      <w:r w:rsidR="00C53B75" w:rsidRPr="00C2285E">
        <w:rPr>
          <w:i/>
        </w:rPr>
        <w:t>α</w:t>
      </w:r>
      <w:r w:rsidR="00C53B75">
        <w:t xml:space="preserve"> specifies the angular position along the length of the involute curve itself.</w:t>
      </w:r>
      <w:r w:rsidR="00C9283C">
        <w:t xml:space="preserve">  Or, in terms of the tetherball analogy, </w:t>
      </w:r>
      <w:r w:rsidR="00C9283C" w:rsidRPr="00C2285E">
        <w:rPr>
          <w:i/>
        </w:rPr>
        <w:t>θ</w:t>
      </w:r>
      <w:r w:rsidR="00C9283C">
        <w:t xml:space="preserve"> describes the point of contact of the tether with the pole and </w:t>
      </w:r>
      <w:r w:rsidR="00C9283C" w:rsidRPr="00C2285E">
        <w:rPr>
          <w:i/>
        </w:rPr>
        <w:t>α</w:t>
      </w:r>
      <w:r w:rsidR="00C9283C">
        <w:t xml:space="preserve"> describes the corresponding location of the tetherball.</w:t>
      </w:r>
      <w:r w:rsidR="00C53B75">
        <w:t xml:space="preserve">  </w:t>
      </w:r>
      <w:r w:rsidR="00740291">
        <w:t>An ex</w:t>
      </w:r>
      <w:r w:rsidR="00DE3CF0">
        <w:t xml:space="preserve">ample of this is shown in Fig. </w:t>
      </w:r>
      <w:r w:rsidR="00DE3CF0">
        <w:fldChar w:fldCharType="begin"/>
      </w:r>
      <w:r w:rsidR="00DE3CF0">
        <w:instrText xml:space="preserve"> REF _Ref363558686 \r \h </w:instrText>
      </w:r>
      <w:r w:rsidR="00DE3CF0">
        <w:fldChar w:fldCharType="separate"/>
      </w:r>
      <w:r w:rsidR="001C5EC1">
        <w:t>3.2</w:t>
      </w:r>
      <w:r w:rsidR="00DE3CF0">
        <w:fldChar w:fldCharType="end"/>
      </w:r>
      <w:r w:rsidR="00740291">
        <w:t xml:space="preserve">.  </w:t>
      </w:r>
    </w:p>
    <w:p w14:paraId="3BB48524" w14:textId="77777777" w:rsidR="0079372B" w:rsidRDefault="0079372B" w:rsidP="003E0C5E">
      <w:pPr>
        <w:pStyle w:val="PictureSytel"/>
      </w:pPr>
      <w:r>
        <w:rPr>
          <w:noProof/>
        </w:rPr>
        <w:lastRenderedPageBreak/>
        <w:drawing>
          <wp:inline distT="0" distB="0" distL="0" distR="0" wp14:anchorId="00CD688B" wp14:editId="63304AE0">
            <wp:extent cx="5018227" cy="4184294"/>
            <wp:effectExtent l="19050" t="19050" r="11430" b="260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atk\Desktop\Involute Coordinate Fig.png"/>
                    <pic:cNvPicPr>
                      <a:picLocks noChangeAspect="1" noChangeArrowheads="1"/>
                    </pic:cNvPicPr>
                  </pic:nvPicPr>
                  <pic:blipFill rotWithShape="1">
                    <a:blip r:embed="rId66">
                      <a:extLst>
                        <a:ext uri="{28A0092B-C50C-407E-A947-70E740481C1C}">
                          <a14:useLocalDpi xmlns:a14="http://schemas.microsoft.com/office/drawing/2010/main" val="0"/>
                        </a:ext>
                      </a:extLst>
                    </a:blip>
                    <a:srcRect l="-24583" t="4736" r="-21392" b="4371"/>
                    <a:stretch/>
                  </pic:blipFill>
                  <pic:spPr bwMode="auto">
                    <a:xfrm>
                      <a:off x="0" y="0"/>
                      <a:ext cx="5031458" cy="419532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7647B04" w14:textId="3369514B" w:rsidR="0079372B" w:rsidRPr="00FE2F5E" w:rsidRDefault="00DE3CF0" w:rsidP="00CC0DFD">
      <w:pPr>
        <w:pStyle w:val="FigTitleStyle"/>
      </w:pPr>
      <w:bookmarkStart w:id="31" w:name="_Toc380156092"/>
      <w:bookmarkStart w:id="32" w:name="_Toc380157638"/>
      <w:bookmarkStart w:id="33" w:name="_Toc382920243"/>
      <w:r>
        <w:t xml:space="preserve">Fig. </w:t>
      </w:r>
      <w:r>
        <w:fldChar w:fldCharType="begin"/>
      </w:r>
      <w:bookmarkStart w:id="34" w:name="_Ref363558686"/>
      <w:bookmarkEnd w:id="34"/>
      <w:r>
        <w:instrText xml:space="preserve"> LISTNUM FIG \l 2</w:instrText>
      </w:r>
      <w:r>
        <w:fldChar w:fldCharType="end"/>
      </w:r>
      <w:r w:rsidR="0079372B">
        <w:t>.</w:t>
      </w:r>
      <w:r w:rsidR="00FE2F5E">
        <w:t xml:space="preserve">  Angular Parameters.  </w:t>
      </w:r>
      <w:r w:rsidR="00FE2F5E" w:rsidRPr="00B049FE">
        <w:rPr>
          <w:rStyle w:val="FigTitleStyleChar"/>
        </w:rPr>
        <w:t>In this example α = θ – π/</w:t>
      </w:r>
      <w:r w:rsidR="008544AD" w:rsidRPr="00B049FE">
        <w:rPr>
          <w:rStyle w:val="FigTitleStyleChar"/>
        </w:rPr>
        <w:t>4</w:t>
      </w:r>
      <w:r w:rsidR="00FE2F5E" w:rsidRPr="00B049FE">
        <w:rPr>
          <w:rStyle w:val="FigTitleStyleChar"/>
        </w:rPr>
        <w:t>.</w:t>
      </w:r>
      <w:r w:rsidR="00F41907" w:rsidRPr="00B049FE">
        <w:rPr>
          <w:rStyle w:val="FigTitleStyleChar"/>
        </w:rPr>
        <w:t xml:space="preserve">  Instances in which α does not start </w:t>
      </w:r>
      <w:r w:rsidR="00445B44" w:rsidRPr="00B049FE">
        <w:rPr>
          <w:rStyle w:val="FigTitleStyleChar"/>
        </w:rPr>
        <w:t>at</w:t>
      </w:r>
      <w:r w:rsidR="00F41907" w:rsidRPr="00B049FE">
        <w:rPr>
          <w:rStyle w:val="FigTitleStyleChar"/>
        </w:rPr>
        <w:t xml:space="preserve"> zero are also possible.  These will, however, have some angular offset separating them from contact with the base circle.</w:t>
      </w:r>
      <w:bookmarkEnd w:id="31"/>
      <w:bookmarkEnd w:id="32"/>
      <w:bookmarkEnd w:id="33"/>
    </w:p>
    <w:p w14:paraId="67C150B6" w14:textId="46EAA213" w:rsidR="00396D07" w:rsidRDefault="004A1E7C" w:rsidP="00DF0C87">
      <w:r>
        <w:t>Using this generalized form of the parametric equation</w:t>
      </w:r>
      <w:r w:rsidR="00DB023C">
        <w:t>, an entire array of involute curves can be created by varying</w:t>
      </w:r>
      <w:r>
        <w:t xml:space="preserve"> </w:t>
      </w:r>
      <w:r w:rsidRPr="00C2285E">
        <w:rPr>
          <w:i/>
        </w:rPr>
        <w:t>θ</w:t>
      </w:r>
      <w:r>
        <w:rPr>
          <w:vertAlign w:val="subscript"/>
        </w:rPr>
        <w:t>o</w:t>
      </w:r>
      <w:r>
        <w:t>.</w:t>
      </w:r>
      <w:r w:rsidR="00D46D88">
        <w:t xml:space="preserve">  </w:t>
      </w:r>
      <w:r w:rsidR="00C94E69">
        <w:t xml:space="preserve">In fact, the circular involute was chosen for the shape of the fuel plates due to its characteristics under such a circumstance.  </w:t>
      </w:r>
      <w:r w:rsidR="00814743">
        <w:t xml:space="preserve">If carried out far </w:t>
      </w:r>
      <w:r w:rsidR="00943143">
        <w:t>enough</w:t>
      </w:r>
      <w:r w:rsidR="00814743">
        <w:t xml:space="preserve"> a circular involute produces a spiral.  The </w:t>
      </w:r>
      <w:r w:rsidR="00445B44">
        <w:t>distance</w:t>
      </w:r>
      <w:r w:rsidR="00814743">
        <w:t xml:space="preserve"> between successive spirals measured at any point perpendicular to both i</w:t>
      </w:r>
      <w:r w:rsidR="00DE3CF0">
        <w:t xml:space="preserve">s a constant, as shown in Fig. </w:t>
      </w:r>
      <w:r w:rsidR="00DE3CF0">
        <w:fldChar w:fldCharType="begin"/>
      </w:r>
      <w:r w:rsidR="00DE3CF0">
        <w:instrText xml:space="preserve"> REF _Ref363558728 \r \h </w:instrText>
      </w:r>
      <w:r w:rsidR="00DE3CF0">
        <w:fldChar w:fldCharType="separate"/>
      </w:r>
      <w:r w:rsidR="001C5EC1">
        <w:t>3.3</w:t>
      </w:r>
      <w:r w:rsidR="00DE3CF0">
        <w:fldChar w:fldCharType="end"/>
      </w:r>
      <w:r w:rsidR="00814743">
        <w:t>.</w:t>
      </w:r>
      <w:bookmarkStart w:id="35" w:name="_Ref364339449"/>
      <w:r w:rsidR="00943143">
        <w:rPr>
          <w:rStyle w:val="EndnoteReference"/>
        </w:rPr>
        <w:endnoteReference w:id="52"/>
      </w:r>
      <w:bookmarkEnd w:id="35"/>
      <w:r w:rsidR="00850682">
        <w:t xml:space="preserve">  </w:t>
      </w:r>
    </w:p>
    <w:p w14:paraId="6944C6D8" w14:textId="77777777" w:rsidR="00396D07" w:rsidRDefault="00396D07" w:rsidP="003E0C5E">
      <w:pPr>
        <w:pStyle w:val="PictureSytel"/>
      </w:pPr>
      <w:r>
        <w:rPr>
          <w:noProof/>
        </w:rPr>
        <w:lastRenderedPageBreak/>
        <w:drawing>
          <wp:inline distT="0" distB="0" distL="0" distR="0" wp14:anchorId="599E83E0" wp14:editId="31361A44">
            <wp:extent cx="5018227" cy="5077028"/>
            <wp:effectExtent l="19050" t="19050" r="11430" b="9525"/>
            <wp:docPr id="3" name="Picture 3" descr="C:\Users\atk\Desktop\Involute Separation F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Users\atk\Desktop\Involute Separation Fig.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015583" cy="5074353"/>
                    </a:xfrm>
                    <a:prstGeom prst="rect">
                      <a:avLst/>
                    </a:prstGeom>
                    <a:noFill/>
                    <a:ln>
                      <a:solidFill>
                        <a:schemeClr val="tx1"/>
                      </a:solidFill>
                    </a:ln>
                  </pic:spPr>
                </pic:pic>
              </a:graphicData>
            </a:graphic>
          </wp:inline>
        </w:drawing>
      </w:r>
    </w:p>
    <w:p w14:paraId="5218D7E9" w14:textId="06BF0E9B" w:rsidR="00396D07" w:rsidRPr="00396D07" w:rsidRDefault="00396D07" w:rsidP="00CC0DFD">
      <w:pPr>
        <w:pStyle w:val="FigTitleStyle"/>
      </w:pPr>
      <w:bookmarkStart w:id="36" w:name="_Toc380156093"/>
      <w:bookmarkStart w:id="37" w:name="_Toc380157639"/>
      <w:bookmarkStart w:id="38" w:name="_Toc382920244"/>
      <w:r>
        <w:t xml:space="preserve">Fig. </w:t>
      </w:r>
      <w:r>
        <w:fldChar w:fldCharType="begin"/>
      </w:r>
      <w:bookmarkStart w:id="39" w:name="_Ref363558728"/>
      <w:bookmarkEnd w:id="39"/>
      <w:r>
        <w:instrText xml:space="preserve"> LISTNUM FIG \l 2 </w:instrText>
      </w:r>
      <w:r>
        <w:fldChar w:fldCharType="end"/>
      </w:r>
      <w:r>
        <w:t>.  Involute Curve Constant Offset.</w:t>
      </w:r>
      <w:bookmarkEnd w:id="36"/>
      <w:bookmarkEnd w:id="37"/>
      <w:bookmarkEnd w:id="38"/>
    </w:p>
    <w:p w14:paraId="25D67C99" w14:textId="03C6A362" w:rsidR="00135E23" w:rsidRDefault="00850682" w:rsidP="00DF0C87">
      <w:r>
        <w:t>The circular involute is not to be conf</w:t>
      </w:r>
      <w:r w:rsidR="00396D07">
        <w:t>used with the Archimedean spiral</w:t>
      </w:r>
      <w:r w:rsidR="00DF45E8">
        <w:t>,</w:t>
      </w:r>
      <w:r>
        <w:t xml:space="preserve"> which has similar characteristics</w:t>
      </w:r>
      <w:r w:rsidR="00396D07">
        <w:t>, in this regard</w:t>
      </w:r>
      <w:r w:rsidR="00135E23">
        <w:t>.</w:t>
      </w:r>
      <w:r>
        <w:t xml:space="preserve">  </w:t>
      </w:r>
      <w:r w:rsidR="005E450E">
        <w:t>Where the circular involute is the locus of points resulting from the tetherball spiral mentioned above, the Archimedean spiral is the locus of points generated by a point moving away from a fixed center with constant speed alo</w:t>
      </w:r>
      <w:r w:rsidR="00AF5284">
        <w:t>ng a line rotating around that s</w:t>
      </w:r>
      <w:r w:rsidR="005E450E">
        <w:t>ame fixed center with constant angular velocity.</w:t>
      </w:r>
      <w:r w:rsidR="00135E23">
        <w:t xml:space="preserve">  The Archimedean spiral is given by the relation</w:t>
      </w:r>
      <w:r w:rsidR="00097A9E" w:rsidRPr="00097A9E">
        <w:rPr>
          <w:vertAlign w:val="superscript"/>
        </w:rPr>
        <w:fldChar w:fldCharType="begin"/>
      </w:r>
      <w:r w:rsidR="00097A9E" w:rsidRPr="00097A9E">
        <w:rPr>
          <w:vertAlign w:val="superscript"/>
        </w:rPr>
        <w:instrText xml:space="preserve"> NOTEREF _Ref364339449 \h  \* MERGEFORMAT </w:instrText>
      </w:r>
      <w:r w:rsidR="00097A9E" w:rsidRPr="00097A9E">
        <w:rPr>
          <w:vertAlign w:val="superscript"/>
        </w:rPr>
      </w:r>
      <w:r w:rsidR="00097A9E" w:rsidRPr="00097A9E">
        <w:rPr>
          <w:vertAlign w:val="superscript"/>
        </w:rPr>
        <w:fldChar w:fldCharType="separate"/>
      </w:r>
      <w:r w:rsidR="001C5EC1">
        <w:rPr>
          <w:vertAlign w:val="superscript"/>
        </w:rPr>
        <w:t>52</w:t>
      </w:r>
      <w:r w:rsidR="00097A9E" w:rsidRPr="00097A9E">
        <w:rPr>
          <w:vertAlign w:val="superscript"/>
        </w:rPr>
        <w:fldChar w:fldCharType="end"/>
      </w:r>
    </w:p>
    <w:p w14:paraId="134D8148" w14:textId="77777777" w:rsidR="00135E23" w:rsidRDefault="00135E23" w:rsidP="00DF0C87">
      <w:pPr>
        <w:pStyle w:val="numberedeqnstyle"/>
      </w:pPr>
      <w:r w:rsidRPr="00A025AE">
        <w:tab/>
      </w:r>
      <w:r w:rsidRPr="00D72DEF">
        <w:rPr>
          <w:position w:val="-12"/>
        </w:rPr>
        <w:object w:dxaOrig="2740" w:dyaOrig="400" w14:anchorId="071A6F26">
          <v:shape id="_x0000_i1051" type="#_x0000_t75" style="width:136.5pt;height:21.5pt" o:ole="">
            <v:imagedata r:id="rId68" o:title=""/>
          </v:shape>
          <o:OLEObject Type="Embed" ProgID="Equation.3" ShapeID="_x0000_i1051" DrawAspect="Content" ObjectID="_1457171703" r:id="rId69"/>
        </w:object>
      </w:r>
      <w:r>
        <w:tab/>
      </w:r>
      <w:r>
        <w:fldChar w:fldCharType="begin"/>
      </w:r>
      <w:bookmarkStart w:id="40" w:name="_Ref363646936"/>
      <w:bookmarkEnd w:id="40"/>
      <w:r>
        <w:instrText xml:space="preserve"> LISTNUM EQN \l 2 </w:instrText>
      </w:r>
      <w:r>
        <w:fldChar w:fldCharType="end"/>
      </w:r>
      <w:r>
        <w:t>a)</w:t>
      </w:r>
    </w:p>
    <w:p w14:paraId="5643EE51" w14:textId="66B13812" w:rsidR="00135E23" w:rsidRDefault="00135E23" w:rsidP="00DF0C87">
      <w:pPr>
        <w:pStyle w:val="numberedeqnstyle"/>
      </w:pPr>
      <w:r w:rsidRPr="00A025AE">
        <w:tab/>
      </w:r>
      <w:r w:rsidR="00C7586E" w:rsidRPr="00D72DEF">
        <w:rPr>
          <w:position w:val="-10"/>
        </w:rPr>
        <w:object w:dxaOrig="880" w:dyaOrig="340" w14:anchorId="1C26B07E">
          <v:shape id="_x0000_i1052" type="#_x0000_t75" style="width:44.05pt;height:14.5pt" o:ole="">
            <v:imagedata r:id="rId70" o:title=""/>
          </v:shape>
          <o:OLEObject Type="Embed" ProgID="Equation.3" ShapeID="_x0000_i1052" DrawAspect="Content" ObjectID="_1457171704" r:id="rId71"/>
        </w:object>
      </w:r>
      <w:r w:rsidR="006B236E">
        <w:t>.</w:t>
      </w:r>
      <w:r>
        <w:tab/>
      </w:r>
      <w:fldSimple w:instr=" REF _Ref363646936 \n ">
        <w:r w:rsidR="001C5EC1">
          <w:t>(3.5</w:t>
        </w:r>
      </w:fldSimple>
      <w:r>
        <w:t>b)</w:t>
      </w:r>
    </w:p>
    <w:p w14:paraId="04D00021" w14:textId="7028E2C8" w:rsidR="00814743" w:rsidRDefault="005E450E" w:rsidP="00DF0C87">
      <w:r>
        <w:lastRenderedPageBreak/>
        <w:t xml:space="preserve">  The two curves </w:t>
      </w:r>
      <w:r w:rsidR="0094033E">
        <w:t>are very similar looking</w:t>
      </w:r>
      <w:r>
        <w:t>.</w:t>
      </w:r>
      <w:r w:rsidR="0094033E">
        <w:t xml:space="preserve">  And indeed, their characteristics are also very similar.</w:t>
      </w:r>
      <w:r>
        <w:t xml:space="preserve">  </w:t>
      </w:r>
      <w:r w:rsidR="0094033E">
        <w:t>Yet</w:t>
      </w:r>
      <w:r>
        <w:t xml:space="preserve"> they have one key difference.  The distance between successive spirals in an Archimedean spiral is constant only when measured from a ray emanating from the</w:t>
      </w:r>
      <w:r w:rsidR="00E71F6C">
        <w:t xml:space="preserve"> fixed center of rotation.</w:t>
      </w:r>
      <w:r w:rsidR="00097A9E" w:rsidRPr="00097A9E">
        <w:rPr>
          <w:vertAlign w:val="superscript"/>
        </w:rPr>
        <w:fldChar w:fldCharType="begin"/>
      </w:r>
      <w:r w:rsidR="00097A9E" w:rsidRPr="00097A9E">
        <w:rPr>
          <w:vertAlign w:val="superscript"/>
        </w:rPr>
        <w:instrText xml:space="preserve"> NOTEREF _Ref364339449 \h </w:instrText>
      </w:r>
      <w:r w:rsidR="00097A9E">
        <w:rPr>
          <w:vertAlign w:val="superscript"/>
        </w:rPr>
        <w:instrText xml:space="preserve"> \* MERGEFORMAT </w:instrText>
      </w:r>
      <w:r w:rsidR="00097A9E" w:rsidRPr="00097A9E">
        <w:rPr>
          <w:vertAlign w:val="superscript"/>
        </w:rPr>
      </w:r>
      <w:r w:rsidR="00097A9E" w:rsidRPr="00097A9E">
        <w:rPr>
          <w:vertAlign w:val="superscript"/>
        </w:rPr>
        <w:fldChar w:fldCharType="separate"/>
      </w:r>
      <w:r w:rsidR="001C5EC1">
        <w:rPr>
          <w:vertAlign w:val="superscript"/>
        </w:rPr>
        <w:t>52</w:t>
      </w:r>
      <w:r w:rsidR="00097A9E" w:rsidRPr="00097A9E">
        <w:rPr>
          <w:vertAlign w:val="superscript"/>
        </w:rPr>
        <w:fldChar w:fldCharType="end"/>
      </w:r>
      <w:r w:rsidR="00E71F6C">
        <w:t xml:space="preserve">  The Archimedean spiral’s</w:t>
      </w:r>
      <w:r>
        <w:t xml:space="preserve"> constant offset has no relation to orthogonality with each of the spirals</w:t>
      </w:r>
      <w:r w:rsidR="00396D07">
        <w:t xml:space="preserve"> like the </w:t>
      </w:r>
      <w:r w:rsidR="009A33BE">
        <w:t xml:space="preserve">basic </w:t>
      </w:r>
      <w:r w:rsidR="00396D07">
        <w:t>involute’s does</w:t>
      </w:r>
      <w:r w:rsidR="00B62E9C">
        <w:t>.</w:t>
      </w:r>
      <w:r>
        <w:t xml:space="preserve"> </w:t>
      </w:r>
    </w:p>
    <w:p w14:paraId="70EAA29A" w14:textId="7C2CED34" w:rsidR="00F24693" w:rsidRDefault="00E71F6C" w:rsidP="00DF0C87">
      <w:r>
        <w:t xml:space="preserve">The </w:t>
      </w:r>
      <w:r w:rsidR="00CE0133">
        <w:t xml:space="preserve">basic </w:t>
      </w:r>
      <w:r>
        <w:t>involute</w:t>
      </w:r>
      <w:r w:rsidR="00CE0133">
        <w:t>’s</w:t>
      </w:r>
      <w:r>
        <w:t xml:space="preserve"> constant offset trait between successive spirals also holds true for adjacent curves offset only by </w:t>
      </w:r>
      <w:r w:rsidRPr="00C2285E">
        <w:rPr>
          <w:i/>
        </w:rPr>
        <w:t>θ</w:t>
      </w:r>
      <w:r>
        <w:rPr>
          <w:vertAlign w:val="subscript"/>
        </w:rPr>
        <w:t>o</w:t>
      </w:r>
      <w:r w:rsidR="00DE3CF0">
        <w:t xml:space="preserve">, as shown in Fig. </w:t>
      </w:r>
      <w:r w:rsidR="00DE3CF0">
        <w:fldChar w:fldCharType="begin"/>
      </w:r>
      <w:r w:rsidR="00DE3CF0">
        <w:instrText xml:space="preserve"> REF _Ref363558759 \r \h </w:instrText>
      </w:r>
      <w:r w:rsidR="00DE3CF0">
        <w:fldChar w:fldCharType="separate"/>
      </w:r>
      <w:r w:rsidR="001C5EC1">
        <w:t>3.4</w:t>
      </w:r>
      <w:r w:rsidR="00DE3CF0">
        <w:fldChar w:fldCharType="end"/>
      </w:r>
      <w:r w:rsidR="000C67E0">
        <w:t>.</w:t>
      </w:r>
      <w:r w:rsidR="002B4CCF">
        <w:t xml:space="preserve">  Not only does this mean that two</w:t>
      </w:r>
      <w:r w:rsidR="003C0EA9">
        <w:t xml:space="preserve"> adjacent curves will enclose an interior space with constant width (the distance between curves), but also that if the process is repeated to encapsulate one entire revolution</w:t>
      </w:r>
      <w:r w:rsidR="00445B44">
        <w:t xml:space="preserve"> of the base circle</w:t>
      </w:r>
      <w:r w:rsidR="003C0EA9">
        <w:t xml:space="preserve">, then the resulting curves will all maintain equal and constant separation from their neighbors.  </w:t>
      </w:r>
      <w:r w:rsidR="000C67E0">
        <w:t xml:space="preserve">  </w:t>
      </w:r>
    </w:p>
    <w:p w14:paraId="746CDAAA" w14:textId="77777777" w:rsidR="00DB66BF" w:rsidRDefault="00EA3EB1" w:rsidP="003E0C5E">
      <w:pPr>
        <w:pStyle w:val="PictureSytel"/>
      </w:pPr>
      <w:r>
        <w:rPr>
          <w:noProof/>
        </w:rPr>
        <w:drawing>
          <wp:inline distT="0" distB="0" distL="0" distR="0" wp14:anchorId="3C46D1E4" wp14:editId="03EEDC2B">
            <wp:extent cx="4992679" cy="3972153"/>
            <wp:effectExtent l="19050" t="19050" r="17780" b="9525"/>
            <wp:docPr id="4" name="Picture 4" descr="C:\Users\atk\Desktop\Involute Adjacent Offs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C:\Users\atk\Desktop\Involute Adjacent Offset.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992733" cy="3972196"/>
                    </a:xfrm>
                    <a:prstGeom prst="rect">
                      <a:avLst/>
                    </a:prstGeom>
                    <a:noFill/>
                    <a:ln>
                      <a:solidFill>
                        <a:schemeClr val="tx1"/>
                      </a:solidFill>
                    </a:ln>
                  </pic:spPr>
                </pic:pic>
              </a:graphicData>
            </a:graphic>
          </wp:inline>
        </w:drawing>
      </w:r>
    </w:p>
    <w:p w14:paraId="0F0D9B2E" w14:textId="0366BE50" w:rsidR="00EA3EB1" w:rsidRPr="00667087" w:rsidRDefault="00DE3CF0" w:rsidP="00CC0DFD">
      <w:pPr>
        <w:pStyle w:val="FigTitleStyle"/>
      </w:pPr>
      <w:bookmarkStart w:id="41" w:name="_Toc380156094"/>
      <w:bookmarkStart w:id="42" w:name="_Toc380157640"/>
      <w:bookmarkStart w:id="43" w:name="_Toc382920245"/>
      <w:r>
        <w:t xml:space="preserve">Fig. </w:t>
      </w:r>
      <w:r>
        <w:fldChar w:fldCharType="begin"/>
      </w:r>
      <w:bookmarkStart w:id="44" w:name="_Ref363558759"/>
      <w:bookmarkEnd w:id="44"/>
      <w:r>
        <w:instrText xml:space="preserve"> LISTNUM FIG \l 2 </w:instrText>
      </w:r>
      <w:r>
        <w:fldChar w:fldCharType="end"/>
      </w:r>
      <w:r w:rsidR="009F0E78">
        <w:t xml:space="preserve">.  </w:t>
      </w:r>
      <w:r w:rsidR="00ED0211">
        <w:t>Adjacent Involute Constant Offset.</w:t>
      </w:r>
      <w:r w:rsidR="00667087">
        <w:t xml:space="preserve">  </w:t>
      </w:r>
      <w:r w:rsidR="00667087" w:rsidRPr="00F01670">
        <w:rPr>
          <w:b w:val="0"/>
        </w:rPr>
        <w:t xml:space="preserve">The curve with the upper origin point has </w:t>
      </w:r>
      <w:r w:rsidR="00667087" w:rsidRPr="00F01670">
        <w:rPr>
          <w:b w:val="0"/>
          <w:i/>
        </w:rPr>
        <w:t xml:space="preserve">α </w:t>
      </w:r>
      <w:r w:rsidR="00667087" w:rsidRPr="00F01670">
        <w:rPr>
          <w:b w:val="0"/>
        </w:rPr>
        <w:t>=</w:t>
      </w:r>
      <w:r w:rsidR="00667087" w:rsidRPr="00F01670">
        <w:rPr>
          <w:b w:val="0"/>
          <w:i/>
        </w:rPr>
        <w:t xml:space="preserve"> θ</w:t>
      </w:r>
      <w:r w:rsidR="00667087" w:rsidRPr="00F01670">
        <w:rPr>
          <w:b w:val="0"/>
        </w:rPr>
        <w:t xml:space="preserve"> </w:t>
      </w:r>
      <w:r w:rsidR="00441829">
        <w:rPr>
          <w:b w:val="0"/>
        </w:rPr>
        <w:t>where</w:t>
      </w:r>
      <w:r w:rsidR="00667087" w:rsidRPr="00F01670">
        <w:rPr>
          <w:b w:val="0"/>
        </w:rPr>
        <w:t xml:space="preserve"> </w:t>
      </w:r>
      <w:r w:rsidR="00667087" w:rsidRPr="00F01670">
        <w:rPr>
          <w:b w:val="0"/>
          <w:i/>
        </w:rPr>
        <w:t>θ</w:t>
      </w:r>
      <w:r w:rsidR="00667087" w:rsidRPr="00F01670">
        <w:rPr>
          <w:b w:val="0"/>
          <w:vertAlign w:val="subscript"/>
        </w:rPr>
        <w:t>o</w:t>
      </w:r>
      <w:r w:rsidR="00667087" w:rsidRPr="00F01670">
        <w:rPr>
          <w:b w:val="0"/>
        </w:rPr>
        <w:t xml:space="preserve"> = 0.  The curve with the lower origin has </w:t>
      </w:r>
      <w:r w:rsidR="00667087" w:rsidRPr="00F01670">
        <w:rPr>
          <w:b w:val="0"/>
          <w:i/>
        </w:rPr>
        <w:t>α</w:t>
      </w:r>
      <w:r w:rsidR="00667087" w:rsidRPr="00F01670">
        <w:rPr>
          <w:b w:val="0"/>
        </w:rPr>
        <w:t xml:space="preserve"> = </w:t>
      </w:r>
      <w:r w:rsidR="00667087" w:rsidRPr="00F01670">
        <w:rPr>
          <w:b w:val="0"/>
          <w:i/>
        </w:rPr>
        <w:t>θ</w:t>
      </w:r>
      <w:r w:rsidR="00667087" w:rsidRPr="00F01670">
        <w:rPr>
          <w:b w:val="0"/>
        </w:rPr>
        <w:t xml:space="preserve"> + 1/2 </w:t>
      </w:r>
      <w:r w:rsidR="00441829">
        <w:rPr>
          <w:b w:val="0"/>
        </w:rPr>
        <w:t>where</w:t>
      </w:r>
      <w:r w:rsidR="00667087" w:rsidRPr="00F01670">
        <w:rPr>
          <w:b w:val="0"/>
        </w:rPr>
        <w:t xml:space="preserve"> </w:t>
      </w:r>
      <w:r w:rsidR="00667087" w:rsidRPr="00F01670">
        <w:rPr>
          <w:b w:val="0"/>
          <w:i/>
        </w:rPr>
        <w:t>θ</w:t>
      </w:r>
      <w:r w:rsidR="00667087" w:rsidRPr="00F01670">
        <w:rPr>
          <w:b w:val="0"/>
          <w:vertAlign w:val="subscript"/>
        </w:rPr>
        <w:t>o</w:t>
      </w:r>
      <w:r w:rsidR="00667087" w:rsidRPr="00F01670">
        <w:rPr>
          <w:b w:val="0"/>
        </w:rPr>
        <w:t xml:space="preserve"> = - 1/2.</w:t>
      </w:r>
      <w:bookmarkEnd w:id="41"/>
      <w:bookmarkEnd w:id="42"/>
      <w:bookmarkEnd w:id="43"/>
      <w:r w:rsidR="00667087">
        <w:t xml:space="preserve">  </w:t>
      </w:r>
    </w:p>
    <w:p w14:paraId="1806EB16" w14:textId="77777777" w:rsidR="006B0C84" w:rsidRDefault="00CE7B60" w:rsidP="00DF0C87">
      <w:r>
        <w:lastRenderedPageBreak/>
        <w:t xml:space="preserve">This process of incrementally increasing the angular offset of each successive curve can be repeated </w:t>
      </w:r>
      <w:r>
        <w:rPr>
          <w:i/>
        </w:rPr>
        <w:t>n</w:t>
      </w:r>
      <w:r>
        <w:t xml:space="preserve"> times for </w:t>
      </w:r>
      <w:r>
        <w:rPr>
          <w:i/>
        </w:rPr>
        <w:t>n</w:t>
      </w:r>
      <w:r>
        <w:t xml:space="preserve"> number of curves.</w:t>
      </w:r>
    </w:p>
    <w:p w14:paraId="3569633E" w14:textId="1A1B3302" w:rsidR="00DE7940" w:rsidRPr="00A025AE" w:rsidRDefault="00DE7940" w:rsidP="00DF0C87">
      <w:pPr>
        <w:pStyle w:val="numberedeqnstyle"/>
      </w:pPr>
      <w:r w:rsidRPr="00A025AE">
        <w:tab/>
      </w:r>
      <w:r w:rsidR="0013247A" w:rsidRPr="0013247A">
        <w:rPr>
          <w:position w:val="-12"/>
        </w:rPr>
        <w:object w:dxaOrig="5060" w:dyaOrig="499" w14:anchorId="3DC3C2F6">
          <v:shape id="_x0000_i1053" type="#_x0000_t75" style="width:250.95pt;height:27.95pt" o:ole="">
            <v:imagedata r:id="rId73" o:title=""/>
          </v:shape>
          <o:OLEObject Type="Embed" ProgID="Equation.3" ShapeID="_x0000_i1053" DrawAspect="Content" ObjectID="_1457171705" r:id="rId74"/>
        </w:object>
      </w:r>
      <w:r>
        <w:tab/>
      </w:r>
      <w:r>
        <w:fldChar w:fldCharType="begin"/>
      </w:r>
      <w:bookmarkStart w:id="45" w:name="_Ref363559549"/>
      <w:bookmarkEnd w:id="45"/>
      <w:r>
        <w:instrText xml:space="preserve"> LISTNUM EQN \l 2 </w:instrText>
      </w:r>
      <w:r>
        <w:fldChar w:fldCharType="end"/>
      </w:r>
      <w:r>
        <w:t>a)</w:t>
      </w:r>
    </w:p>
    <w:p w14:paraId="54D261C9" w14:textId="53EDE9E1" w:rsidR="00DE7940" w:rsidRPr="00A025AE" w:rsidRDefault="00DE7940" w:rsidP="00DF0C87">
      <w:pPr>
        <w:pStyle w:val="numberedeqnstyle"/>
      </w:pPr>
      <w:r w:rsidRPr="00A025AE">
        <w:tab/>
      </w:r>
      <w:r w:rsidRPr="00481BE0">
        <w:rPr>
          <w:position w:val="-16"/>
        </w:rPr>
        <w:object w:dxaOrig="4920" w:dyaOrig="520" w14:anchorId="3EDA6CC4">
          <v:shape id="_x0000_i1054" type="#_x0000_t75" style="width:245pt;height:29pt" o:ole="">
            <v:imagedata r:id="rId75" o:title=""/>
          </v:shape>
          <o:OLEObject Type="Embed" ProgID="Equation.3" ShapeID="_x0000_i1054" DrawAspect="Content" ObjectID="_1457171706" r:id="rId76"/>
        </w:object>
      </w:r>
      <w:r>
        <w:tab/>
      </w:r>
      <w:fldSimple w:instr=" REF _Ref363559549 \n ">
        <w:r w:rsidR="001C5EC1">
          <w:t>(3.6</w:t>
        </w:r>
      </w:fldSimple>
      <w:r>
        <w:t>b)</w:t>
      </w:r>
    </w:p>
    <w:p w14:paraId="6304A0BC" w14:textId="37C10366" w:rsidR="00DE7940" w:rsidRPr="006B194D" w:rsidRDefault="00DE7940" w:rsidP="00DF0C87">
      <w:pPr>
        <w:pStyle w:val="numberedeqnstyle"/>
      </w:pPr>
      <w:r w:rsidRPr="00A025AE">
        <w:tab/>
      </w:r>
      <w:r w:rsidR="00C7586E" w:rsidRPr="0013247A">
        <w:rPr>
          <w:position w:val="-24"/>
        </w:rPr>
        <w:object w:dxaOrig="4220" w:dyaOrig="620" w14:anchorId="712E63A0">
          <v:shape id="_x0000_i1055" type="#_x0000_t75" style="width:209pt;height:34.95pt" o:ole="">
            <v:imagedata r:id="rId77" o:title=""/>
          </v:shape>
          <o:OLEObject Type="Embed" ProgID="Equation.3" ShapeID="_x0000_i1055" DrawAspect="Content" ObjectID="_1457171707" r:id="rId78"/>
        </w:object>
      </w:r>
      <w:r w:rsidR="006B236E">
        <w:t>.</w:t>
      </w:r>
      <w:r>
        <w:tab/>
      </w:r>
      <w:fldSimple w:instr=" REF _Ref363559549 \n ">
        <w:r w:rsidR="001C5EC1">
          <w:t>(3.6</w:t>
        </w:r>
      </w:fldSimple>
      <w:r>
        <w:t>c)</w:t>
      </w:r>
    </w:p>
    <w:p w14:paraId="0E72C72F" w14:textId="0A1C603A" w:rsidR="00F24693" w:rsidRDefault="00CE7B60" w:rsidP="00DF0C87">
      <w:r>
        <w:t xml:space="preserve">The HFIR core consists of 540 fuel plates, 171 of which are arrayed in the inner element.  </w:t>
      </w:r>
      <w:r w:rsidR="00822CE1">
        <w:t xml:space="preserve">The </w:t>
      </w:r>
      <w:r w:rsidR="004F1683">
        <w:t>HFIR inner core can be recreated with</w:t>
      </w:r>
      <w:r w:rsidR="00AD392F">
        <w:t xml:space="preserve"> </w:t>
      </w:r>
      <w:r w:rsidR="00AD392F">
        <w:rPr>
          <w:i/>
        </w:rPr>
        <w:t>n</w:t>
      </w:r>
      <w:r w:rsidR="00756F4F">
        <w:t xml:space="preserve"> = 342.  This is twice the number of fuel plates since each plate is separated by a coolant channel</w:t>
      </w:r>
      <w:r w:rsidR="00AD392F">
        <w:t>.</w:t>
      </w:r>
      <w:r w:rsidR="00260069">
        <w:t xml:space="preserve">  This produces 171 constant-width fuel plates and 171 </w:t>
      </w:r>
      <w:r w:rsidR="00B20FE4">
        <w:t xml:space="preserve">constant-width coolant channels.  A magnified slice of the geometry that </w:t>
      </w:r>
      <w:r w:rsidR="00DE3CF0">
        <w:t xml:space="preserve">this produces is shown in Fig. </w:t>
      </w:r>
      <w:r w:rsidR="00DE3CF0">
        <w:fldChar w:fldCharType="begin"/>
      </w:r>
      <w:r w:rsidR="00DE3CF0">
        <w:instrText xml:space="preserve"> REF _Ref363558800 \r \h </w:instrText>
      </w:r>
      <w:r w:rsidR="00DE3CF0">
        <w:fldChar w:fldCharType="separate"/>
      </w:r>
      <w:r w:rsidR="001C5EC1">
        <w:t>3.5</w:t>
      </w:r>
      <w:r w:rsidR="00DE3CF0">
        <w:fldChar w:fldCharType="end"/>
      </w:r>
      <w:r w:rsidR="00B20FE4">
        <w:t xml:space="preserve">.  </w:t>
      </w:r>
      <w:r w:rsidR="00260069">
        <w:t xml:space="preserve"> </w:t>
      </w:r>
      <w:r>
        <w:t xml:space="preserve">  </w:t>
      </w:r>
    </w:p>
    <w:p w14:paraId="64501D08" w14:textId="77777777" w:rsidR="00ED75F6" w:rsidRDefault="00ED75F6" w:rsidP="003E0C5E">
      <w:pPr>
        <w:pStyle w:val="PictureSytel"/>
      </w:pPr>
      <w:r>
        <w:rPr>
          <w:noProof/>
        </w:rPr>
        <w:lastRenderedPageBreak/>
        <w:drawing>
          <wp:inline distT="0" distB="0" distL="0" distR="0" wp14:anchorId="1E37B525" wp14:editId="5A2D15F2">
            <wp:extent cx="5003514" cy="3911556"/>
            <wp:effectExtent l="19050" t="19050" r="26035" b="13335"/>
            <wp:docPr id="8" name="Picture 8" descr="C:\Users\atk\Desktop\Bi-Weekly Reports\9-25-12\Complete Core Assembly 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tk\Desktop\Bi-Weekly Reports\9-25-12\Complete Core Assembly Pic.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003734" cy="3911728"/>
                    </a:xfrm>
                    <a:prstGeom prst="rect">
                      <a:avLst/>
                    </a:prstGeom>
                    <a:noFill/>
                    <a:ln>
                      <a:solidFill>
                        <a:schemeClr val="tx1"/>
                      </a:solidFill>
                    </a:ln>
                  </pic:spPr>
                </pic:pic>
              </a:graphicData>
            </a:graphic>
          </wp:inline>
        </w:drawing>
      </w:r>
    </w:p>
    <w:p w14:paraId="662C23CC" w14:textId="28AB8851" w:rsidR="00293F73" w:rsidRDefault="00DE3CF0" w:rsidP="00CC0DFD">
      <w:pPr>
        <w:pStyle w:val="FigTitleStyle"/>
      </w:pPr>
      <w:bookmarkStart w:id="46" w:name="_Toc380156095"/>
      <w:bookmarkStart w:id="47" w:name="_Toc380157641"/>
      <w:bookmarkStart w:id="48" w:name="_Toc382920246"/>
      <w:r>
        <w:t xml:space="preserve">Fig. </w:t>
      </w:r>
      <w:r>
        <w:fldChar w:fldCharType="begin"/>
      </w:r>
      <w:bookmarkStart w:id="49" w:name="_Ref363558800"/>
      <w:bookmarkEnd w:id="49"/>
      <w:r>
        <w:instrText xml:space="preserve"> LISTNUM FIG \l 2 </w:instrText>
      </w:r>
      <w:r>
        <w:fldChar w:fldCharType="end"/>
      </w:r>
      <w:r w:rsidR="00ED75F6">
        <w:t>.  HFIR Core</w:t>
      </w:r>
      <w:r w:rsidR="00D7753F">
        <w:t xml:space="preserve"> Inner Element</w:t>
      </w:r>
      <w:r w:rsidR="00ED75F6">
        <w:t xml:space="preserve"> Fuel Plate Configuration.  </w:t>
      </w:r>
      <w:r w:rsidR="00ED75F6" w:rsidRPr="00015E3D">
        <w:rPr>
          <w:b w:val="0"/>
        </w:rPr>
        <w:t xml:space="preserve">Inner element involute fuel plates are shown in grey with inner and outer side plates capping each end.  The </w:t>
      </w:r>
      <w:r w:rsidR="002B37A4" w:rsidRPr="00015E3D">
        <w:rPr>
          <w:b w:val="0"/>
        </w:rPr>
        <w:t>alternating white</w:t>
      </w:r>
      <w:r w:rsidR="00ED75F6" w:rsidRPr="00015E3D">
        <w:rPr>
          <w:b w:val="0"/>
        </w:rPr>
        <w:t xml:space="preserve"> space</w:t>
      </w:r>
      <w:r w:rsidR="002B37A4" w:rsidRPr="00015E3D">
        <w:rPr>
          <w:b w:val="0"/>
        </w:rPr>
        <w:t>s between</w:t>
      </w:r>
      <w:r w:rsidR="00ED75F6" w:rsidRPr="00015E3D">
        <w:rPr>
          <w:b w:val="0"/>
        </w:rPr>
        <w:t xml:space="preserve"> fuel plate</w:t>
      </w:r>
      <w:r w:rsidR="002B37A4" w:rsidRPr="00015E3D">
        <w:rPr>
          <w:b w:val="0"/>
        </w:rPr>
        <w:t>s are</w:t>
      </w:r>
      <w:r w:rsidR="00ED75F6" w:rsidRPr="00015E3D">
        <w:rPr>
          <w:b w:val="0"/>
        </w:rPr>
        <w:t xml:space="preserve"> coolant channel</w:t>
      </w:r>
      <w:r w:rsidR="002B37A4" w:rsidRPr="00015E3D">
        <w:rPr>
          <w:b w:val="0"/>
        </w:rPr>
        <w:t>s</w:t>
      </w:r>
      <w:r w:rsidR="00ED75F6" w:rsidRPr="00015E3D">
        <w:rPr>
          <w:b w:val="0"/>
        </w:rPr>
        <w:t>.</w:t>
      </w:r>
      <w:bookmarkEnd w:id="46"/>
      <w:bookmarkEnd w:id="47"/>
      <w:bookmarkEnd w:id="48"/>
    </w:p>
    <w:p w14:paraId="70769644" w14:textId="2EA27F01" w:rsidR="00ED75F6" w:rsidRPr="009358D1" w:rsidRDefault="00703246" w:rsidP="00DF0C87">
      <w:pPr>
        <w:pStyle w:val="Heading2"/>
        <w:rPr>
          <w:sz w:val="20"/>
        </w:rPr>
      </w:pPr>
      <w:r>
        <w:fldChar w:fldCharType="begin"/>
      </w:r>
      <w:r>
        <w:instrText xml:space="preserve"> LISTNUM CHAP </w:instrText>
      </w:r>
      <w:bookmarkStart w:id="50" w:name="_Toc382921538"/>
      <w:r>
        <w:fldChar w:fldCharType="end"/>
      </w:r>
      <w:r>
        <w:t xml:space="preserve">    </w:t>
      </w:r>
      <w:r w:rsidR="00293F73" w:rsidRPr="009358D1">
        <w:t>Select Alterations to the Basic Involute:</w:t>
      </w:r>
      <w:bookmarkEnd w:id="50"/>
    </w:p>
    <w:p w14:paraId="413D9FFB" w14:textId="00463E1E" w:rsidR="00B67C3B" w:rsidRDefault="00863F23" w:rsidP="00DF0C87">
      <w:r>
        <w:t xml:space="preserve">The fact that each fuel plate and coolant channel has a constant width is vital to HFIR’s performance capabilities.  </w:t>
      </w:r>
      <w:r w:rsidR="004F1683">
        <w:t xml:space="preserve">Of the five remaining </w:t>
      </w:r>
      <w:r w:rsidR="00857FE7">
        <w:t>domestic research reactors not</w:t>
      </w:r>
      <w:r w:rsidR="003F4776">
        <w:t xml:space="preserve"> yet</w:t>
      </w:r>
      <w:r w:rsidR="00857FE7">
        <w:t xml:space="preserve"> converted</w:t>
      </w:r>
      <w:r w:rsidR="004F1683">
        <w:t xml:space="preserve"> to LEU fuel under the GTRI, HFIR is the only </w:t>
      </w:r>
      <w:r w:rsidR="00BC7511">
        <w:t>one</w:t>
      </w:r>
      <w:r w:rsidR="004F1683">
        <w:t xml:space="preserve"> with </w:t>
      </w:r>
      <w:r w:rsidR="00B13637">
        <w:t>involute fuel plate geometries</w:t>
      </w:r>
      <w:r w:rsidR="004F1683">
        <w:t xml:space="preserve"> </w:t>
      </w:r>
      <w:r w:rsidR="00D56641">
        <w:t xml:space="preserve">in its </w:t>
      </w:r>
      <w:r w:rsidR="004F1683">
        <w:t>core.</w:t>
      </w:r>
      <w:r w:rsidR="00B67C3B">
        <w:t xml:space="preserve">  The Advanced Test Reactor at Idaho National Laboratory</w:t>
      </w:r>
      <w:r w:rsidR="00F91F08">
        <w:t>, for instance,</w:t>
      </w:r>
      <w:r w:rsidR="00B67C3B">
        <w:t xml:space="preserve"> uses a four-</w:t>
      </w:r>
      <w:r w:rsidR="002965D1">
        <w:t>leaf clover-like</w:t>
      </w:r>
      <w:r w:rsidR="00DE3CF0">
        <w:t xml:space="preserve"> array as shown in Fig. </w:t>
      </w:r>
      <w:r w:rsidR="00DE3CF0">
        <w:fldChar w:fldCharType="begin"/>
      </w:r>
      <w:r w:rsidR="00DE3CF0">
        <w:instrText xml:space="preserve"> REF _Ref363558824 \r \h </w:instrText>
      </w:r>
      <w:r w:rsidR="00DE3CF0">
        <w:fldChar w:fldCharType="separate"/>
      </w:r>
      <w:r w:rsidR="001C5EC1">
        <w:t>3.6</w:t>
      </w:r>
      <w:r w:rsidR="00DE3CF0">
        <w:fldChar w:fldCharType="end"/>
      </w:r>
      <w:r w:rsidR="009431B7">
        <w:t>.</w:t>
      </w:r>
      <w:r w:rsidR="002C34A7">
        <w:rPr>
          <w:rStyle w:val="EndnoteReference"/>
        </w:rPr>
        <w:endnoteReference w:id="53"/>
      </w:r>
      <w:r w:rsidR="00B67C3B">
        <w:t xml:space="preserve"> The MIT reactor core has a hexagon</w:t>
      </w:r>
      <w:r w:rsidR="00F91F08">
        <w:t>al</w:t>
      </w:r>
      <w:r w:rsidR="00B67C3B">
        <w:t xml:space="preserve"> cross-section composed of rhomboidal elements containing linear fuel plates arranged with different o</w:t>
      </w:r>
      <w:r w:rsidR="00DE3CF0">
        <w:t xml:space="preserve">rientations, as shown in Fig. </w:t>
      </w:r>
      <w:r w:rsidR="00DE3CF0">
        <w:fldChar w:fldCharType="begin"/>
      </w:r>
      <w:r w:rsidR="00DE3CF0">
        <w:instrText xml:space="preserve"> REF _Ref363558844 \r \h </w:instrText>
      </w:r>
      <w:r w:rsidR="00DE3CF0">
        <w:fldChar w:fldCharType="separate"/>
      </w:r>
      <w:r w:rsidR="001C5EC1">
        <w:t>3.7</w:t>
      </w:r>
      <w:r w:rsidR="00DE3CF0">
        <w:fldChar w:fldCharType="end"/>
      </w:r>
      <w:r w:rsidR="00B67C3B">
        <w:t xml:space="preserve">.  </w:t>
      </w:r>
      <w:r w:rsidR="00BB6F6E">
        <w:t>While these alternate fuel configurations undoubtedly have advantages—either in performance criteria or otherwise—of their own, they lack the axial symmetry of the HFIR core configuration.  Under nominal conditions, that is without one-off fuel defects or single-channel flow blockage</w:t>
      </w:r>
      <w:r w:rsidR="0097179C">
        <w:t>s</w:t>
      </w:r>
      <w:r w:rsidR="00BB6F6E">
        <w:t>, each inner fuel plate will experience the exact same operating conditions as every other inner fuel</w:t>
      </w:r>
      <w:r w:rsidR="00FA1278">
        <w:t xml:space="preserve"> plate.  It is a trade of sorts</w:t>
      </w:r>
      <w:r w:rsidR="00BB6F6E">
        <w:t xml:space="preserve"> between the complexity of</w:t>
      </w:r>
      <w:r w:rsidR="00FA1278">
        <w:t xml:space="preserve"> the geometry and the </w:t>
      </w:r>
      <w:r w:rsidR="001D69B5">
        <w:t>symmetry</w:t>
      </w:r>
      <w:r w:rsidR="00BB6F6E">
        <w:t xml:space="preserve"> this produces in the reactor core’s output.  This uniformity allows the reactor to utilize </w:t>
      </w:r>
      <w:r w:rsidR="00BB6F6E">
        <w:lastRenderedPageBreak/>
        <w:t xml:space="preserve">its available fuel source more efficiently.  While there are </w:t>
      </w:r>
      <w:r w:rsidR="009018B4">
        <w:t>still radial-dependent variances in each plate’s output</w:t>
      </w:r>
      <w:r w:rsidR="00BB6F6E">
        <w:t>, the fact that they are constant between all plates means that each plate can be burned equally.</w:t>
      </w:r>
      <w:r w:rsidR="00FD1EDF">
        <w:t xml:space="preserve">  This allows the entire HFIR core to be replaced at once, rather than in segments dependent upon each fuel element’s position in the reactor</w:t>
      </w:r>
      <w:r w:rsidR="008E54CF">
        <w:t>, as with the two reactors depicted below</w:t>
      </w:r>
      <w:r w:rsidR="00FD1EDF">
        <w:t>.</w:t>
      </w:r>
      <w:r w:rsidR="008A3024">
        <w:t xml:space="preserve"> </w:t>
      </w:r>
    </w:p>
    <w:p w14:paraId="13A65F5C" w14:textId="279D5D8C" w:rsidR="00391DC2" w:rsidRDefault="00391DC2" w:rsidP="003E0C5E">
      <w:pPr>
        <w:pStyle w:val="PictureSytel"/>
      </w:pPr>
      <w:r>
        <w:rPr>
          <w:noProof/>
        </w:rPr>
        <w:drawing>
          <wp:inline distT="0" distB="0" distL="0" distR="0" wp14:anchorId="214FE550" wp14:editId="11C86426">
            <wp:extent cx="5000131" cy="3386938"/>
            <wp:effectExtent l="19050" t="19050" r="10160" b="23495"/>
            <wp:docPr id="6" name="Picture 6" descr="C:\Users\atk\Desktop\THESIS\ATR_Detail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tk\Desktop\THESIS\ATR_Detail_2.jpg"/>
                    <pic:cNvPicPr>
                      <a:picLocks noChangeAspect="1" noChangeArrowheads="1"/>
                    </pic:cNvPicPr>
                  </pic:nvPicPr>
                  <pic:blipFill rotWithShape="1">
                    <a:blip r:embed="rId80">
                      <a:extLst>
                        <a:ext uri="{28A0092B-C50C-407E-A947-70E740481C1C}">
                          <a14:useLocalDpi xmlns:a14="http://schemas.microsoft.com/office/drawing/2010/main" val="0"/>
                        </a:ext>
                      </a:extLst>
                    </a:blip>
                    <a:srcRect l="3053" t="2374" r="1889" b="1903"/>
                    <a:stretch/>
                  </pic:blipFill>
                  <pic:spPr bwMode="auto">
                    <a:xfrm>
                      <a:off x="0" y="0"/>
                      <a:ext cx="5022971" cy="3402409"/>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4088B28" w14:textId="78E81E72" w:rsidR="00B67C3B" w:rsidRPr="002965D1" w:rsidRDefault="00DE3CF0" w:rsidP="0097179C">
      <w:pPr>
        <w:pStyle w:val="FigTitleStyle"/>
      </w:pPr>
      <w:bookmarkStart w:id="51" w:name="_Toc380156096"/>
      <w:bookmarkStart w:id="52" w:name="_Toc380157642"/>
      <w:bookmarkStart w:id="53" w:name="_Toc382920247"/>
      <w:r>
        <w:t xml:space="preserve">Fig. </w:t>
      </w:r>
      <w:r>
        <w:fldChar w:fldCharType="begin"/>
      </w:r>
      <w:bookmarkStart w:id="54" w:name="_Ref363558824"/>
      <w:bookmarkEnd w:id="54"/>
      <w:r>
        <w:instrText xml:space="preserve"> LISTNUM FIG \l 2 </w:instrText>
      </w:r>
      <w:r>
        <w:fldChar w:fldCharType="end"/>
      </w:r>
      <w:r w:rsidR="00B67C3B">
        <w:t>.  ATR Core Cross-Section and Fuel Plate Detail.</w:t>
      </w:r>
      <w:r w:rsidR="008A265E" w:rsidRPr="008A265E">
        <w:rPr>
          <w:rStyle w:val="EndnoteReference"/>
        </w:rPr>
        <w:t xml:space="preserve"> </w:t>
      </w:r>
      <w:r w:rsidR="008A265E">
        <w:rPr>
          <w:rStyle w:val="EndnoteReference"/>
        </w:rPr>
        <w:endnoteReference w:id="54"/>
      </w:r>
      <w:r w:rsidR="002965D1">
        <w:t xml:space="preserve">  </w:t>
      </w:r>
      <w:r w:rsidR="00B40AC4" w:rsidRPr="0097179C">
        <w:rPr>
          <w:b w:val="0"/>
        </w:rPr>
        <w:t xml:space="preserve">The ATR core only maintains </w:t>
      </w:r>
      <w:r w:rsidR="004C3F04" w:rsidRPr="0097179C">
        <w:rPr>
          <w:b w:val="0"/>
        </w:rPr>
        <w:t>quarter-turn</w:t>
      </w:r>
      <w:r w:rsidR="00B40AC4" w:rsidRPr="0097179C">
        <w:rPr>
          <w:b w:val="0"/>
        </w:rPr>
        <w:t xml:space="preserve"> radial symmetry.  As shown in the detail of a typical fuel plate configura</w:t>
      </w:r>
      <w:r w:rsidR="00857FE7" w:rsidRPr="0097179C">
        <w:rPr>
          <w:b w:val="0"/>
        </w:rPr>
        <w:t>tion on the right,</w:t>
      </w:r>
      <w:r w:rsidR="00B40AC4" w:rsidRPr="0097179C">
        <w:rPr>
          <w:b w:val="0"/>
        </w:rPr>
        <w:t xml:space="preserve"> the plate’s position dictate</w:t>
      </w:r>
      <w:r w:rsidR="00857FE7" w:rsidRPr="0097179C">
        <w:rPr>
          <w:b w:val="0"/>
        </w:rPr>
        <w:t>s</w:t>
      </w:r>
      <w:r w:rsidR="00B40AC4" w:rsidRPr="0097179C">
        <w:rPr>
          <w:b w:val="0"/>
        </w:rPr>
        <w:t xml:space="preserve"> a variance </w:t>
      </w:r>
      <w:r w:rsidR="00857FE7" w:rsidRPr="0097179C">
        <w:rPr>
          <w:b w:val="0"/>
        </w:rPr>
        <w:t xml:space="preserve">not only </w:t>
      </w:r>
      <w:r w:rsidR="00B40AC4" w:rsidRPr="0097179C">
        <w:rPr>
          <w:b w:val="0"/>
        </w:rPr>
        <w:t>in length but also in thickness.</w:t>
      </w:r>
      <w:bookmarkEnd w:id="51"/>
      <w:bookmarkEnd w:id="52"/>
      <w:bookmarkEnd w:id="53"/>
      <w:r w:rsidR="00B40AC4" w:rsidRPr="0097179C">
        <w:rPr>
          <w:b w:val="0"/>
        </w:rPr>
        <w:t xml:space="preserve"> </w:t>
      </w:r>
    </w:p>
    <w:p w14:paraId="2C9141BE" w14:textId="797DB9A5" w:rsidR="00102587" w:rsidRDefault="00102587" w:rsidP="003E0C5E">
      <w:pPr>
        <w:pStyle w:val="PictureSytel"/>
      </w:pPr>
      <w:r>
        <w:rPr>
          <w:noProof/>
        </w:rPr>
        <w:lastRenderedPageBreak/>
        <w:drawing>
          <wp:inline distT="0" distB="0" distL="0" distR="0" wp14:anchorId="5537C506" wp14:editId="7737F9E6">
            <wp:extent cx="5047903" cy="3533532"/>
            <wp:effectExtent l="19050" t="19050" r="19685"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HUMB DRIVE:THESIS:MIT Core.gif"/>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bwMode="auto">
                    <a:xfrm>
                      <a:off x="0" y="0"/>
                      <a:ext cx="5047903" cy="3533532"/>
                    </a:xfrm>
                    <a:prstGeom prst="rect">
                      <a:avLst/>
                    </a:prstGeom>
                    <a:noFill/>
                    <a:ln>
                      <a:solidFill>
                        <a:schemeClr val="tx1"/>
                      </a:solidFill>
                    </a:ln>
                  </pic:spPr>
                </pic:pic>
              </a:graphicData>
            </a:graphic>
          </wp:inline>
        </w:drawing>
      </w:r>
    </w:p>
    <w:p w14:paraId="106FB128" w14:textId="2EB2B1CA" w:rsidR="00411F6D" w:rsidRPr="00C32116" w:rsidRDefault="00DE3CF0" w:rsidP="00610C01">
      <w:pPr>
        <w:pStyle w:val="FigTitleStyle"/>
      </w:pPr>
      <w:bookmarkStart w:id="55" w:name="_Toc380156097"/>
      <w:bookmarkStart w:id="56" w:name="_Toc380157643"/>
      <w:bookmarkStart w:id="57" w:name="_Toc382920248"/>
      <w:r>
        <w:t xml:space="preserve">Fig. </w:t>
      </w:r>
      <w:r>
        <w:fldChar w:fldCharType="begin"/>
      </w:r>
      <w:bookmarkStart w:id="58" w:name="_Ref363558844"/>
      <w:bookmarkEnd w:id="58"/>
      <w:r>
        <w:instrText xml:space="preserve"> LISTNUM FIG \l 2 </w:instrText>
      </w:r>
      <w:r>
        <w:fldChar w:fldCharType="end"/>
      </w:r>
      <w:r w:rsidR="00B67C3B">
        <w:t xml:space="preserve">. </w:t>
      </w:r>
      <w:r w:rsidR="005A3F25">
        <w:t xml:space="preserve"> MIT Reactor Core Cross-Section.</w:t>
      </w:r>
      <w:r w:rsidR="008A265E" w:rsidRPr="008A265E">
        <w:rPr>
          <w:rStyle w:val="EndnoteReference"/>
        </w:rPr>
        <w:t xml:space="preserve"> </w:t>
      </w:r>
      <w:r w:rsidR="008A265E">
        <w:rPr>
          <w:rStyle w:val="EndnoteReference"/>
        </w:rPr>
        <w:endnoteReference w:id="55"/>
      </w:r>
      <w:r w:rsidR="00C32116">
        <w:t xml:space="preserve">  </w:t>
      </w:r>
      <w:r w:rsidR="004C3F04" w:rsidRPr="00610C01">
        <w:rPr>
          <w:b w:val="0"/>
        </w:rPr>
        <w:t>The MIT reactor core only maintains one-third-turn radial symmetry.</w:t>
      </w:r>
      <w:bookmarkEnd w:id="55"/>
      <w:bookmarkEnd w:id="56"/>
      <w:bookmarkEnd w:id="57"/>
      <w:r w:rsidR="004C3F04">
        <w:t xml:space="preserve">  </w:t>
      </w:r>
    </w:p>
    <w:p w14:paraId="700743DE" w14:textId="4DDF66B4" w:rsidR="00BC1A95" w:rsidRDefault="00BB6F6E" w:rsidP="00DF0C87">
      <w:r>
        <w:t>Developing a simplified means of considering the</w:t>
      </w:r>
      <w:r w:rsidR="00C2285E">
        <w:t xml:space="preserve"> complex geometry </w:t>
      </w:r>
      <w:r>
        <w:t xml:space="preserve">in the HFIR fuel plates </w:t>
      </w:r>
      <w:r w:rsidR="00C2285E">
        <w:t>was the f</w:t>
      </w:r>
      <w:r>
        <w:t xml:space="preserve">irst hurtle in </w:t>
      </w:r>
      <w:r w:rsidR="00254394">
        <w:t>modeling</w:t>
      </w:r>
      <w:r>
        <w:t xml:space="preserve"> the</w:t>
      </w:r>
      <w:r w:rsidR="00DE7940">
        <w:t xml:space="preserve"> core.  While Eqn</w:t>
      </w:r>
      <w:r w:rsidR="00F07F9F">
        <w:t>.</w:t>
      </w:r>
      <w:r w:rsidR="007A15CD">
        <w:t xml:space="preserve"> </w:t>
      </w:r>
      <w:r w:rsidR="007A15CD">
        <w:fldChar w:fldCharType="begin"/>
      </w:r>
      <w:r w:rsidR="007A15CD">
        <w:instrText xml:space="preserve"> REF _Ref363560060 \n \h </w:instrText>
      </w:r>
      <w:r w:rsidR="007A15CD">
        <w:fldChar w:fldCharType="separate"/>
      </w:r>
      <w:r w:rsidR="001C5EC1">
        <w:t>(3.4</w:t>
      </w:r>
      <w:r w:rsidR="007A15CD">
        <w:fldChar w:fldCharType="end"/>
      </w:r>
      <w:r w:rsidR="00DE7940">
        <w:t>)</w:t>
      </w:r>
      <w:r w:rsidR="00C2285E">
        <w:t xml:space="preserve"> adequately describes any general involute curve, it is not sufficient for describing the internal fuel geometries of the plates nor does it lend itself to a practical reference frame</w:t>
      </w:r>
      <w:r w:rsidR="00DE7940">
        <w:t>.  For these purposes, Eqn.</w:t>
      </w:r>
      <w:r w:rsidR="007A15CD">
        <w:t xml:space="preserve"> </w:t>
      </w:r>
      <w:r w:rsidR="007A15CD">
        <w:fldChar w:fldCharType="begin"/>
      </w:r>
      <w:r w:rsidR="007A15CD">
        <w:instrText xml:space="preserve"> REF _Ref363560060 \n \h </w:instrText>
      </w:r>
      <w:r w:rsidR="007A15CD">
        <w:fldChar w:fldCharType="separate"/>
      </w:r>
      <w:r w:rsidR="001C5EC1">
        <w:t>(3.4</w:t>
      </w:r>
      <w:r w:rsidR="007A15CD">
        <w:fldChar w:fldCharType="end"/>
      </w:r>
      <w:r w:rsidR="00C2285E">
        <w:t xml:space="preserve">) can be rewritten in terms of two involute coordinates, </w:t>
      </w:r>
      <w:r w:rsidR="00C2285E" w:rsidRPr="00C2285E">
        <w:rPr>
          <w:i/>
        </w:rPr>
        <w:sym w:font="Symbol" w:char="F071"/>
      </w:r>
      <w:r w:rsidR="00C2285E" w:rsidRPr="00C2285E">
        <w:rPr>
          <w:i/>
        </w:rPr>
        <w:t xml:space="preserve"> </w:t>
      </w:r>
      <w:r w:rsidR="00C2285E">
        <w:t xml:space="preserve">and </w:t>
      </w:r>
      <w:r w:rsidR="00C2285E">
        <w:rPr>
          <w:i/>
        </w:rPr>
        <w:t>t</w:t>
      </w:r>
      <w:r w:rsidR="00406D73">
        <w:t>.  The</w:t>
      </w:r>
      <w:r w:rsidR="00EF5F37">
        <w:t xml:space="preserve"> new</w:t>
      </w:r>
      <w:r w:rsidR="00406D73">
        <w:t xml:space="preserve"> involute variable </w:t>
      </w:r>
      <w:r w:rsidR="00406D73">
        <w:rPr>
          <w:i/>
        </w:rPr>
        <w:t>t</w:t>
      </w:r>
      <w:r w:rsidR="007626CD">
        <w:t xml:space="preserve"> </w:t>
      </w:r>
      <w:r w:rsidR="005345AC">
        <w:t>is the perpendicular offset distance from a base involute curve.  It takes the place of</w:t>
      </w:r>
      <w:r w:rsidR="00136E43">
        <w:t xml:space="preserve"> </w:t>
      </w:r>
      <w:r w:rsidR="005345AC" w:rsidRPr="00C2285E">
        <w:rPr>
          <w:i/>
          <w:sz w:val="20"/>
        </w:rPr>
        <w:t>α</w:t>
      </w:r>
      <w:r w:rsidR="00136E43">
        <w:t xml:space="preserve"> </w:t>
      </w:r>
      <w:r w:rsidR="005345AC">
        <w:t>such that</w:t>
      </w:r>
    </w:p>
    <w:p w14:paraId="48D039E2" w14:textId="04E4FCDC" w:rsidR="00DE7940" w:rsidRDefault="00DE7940" w:rsidP="00DF0C87">
      <w:pPr>
        <w:pStyle w:val="numberedeqnstyle"/>
      </w:pPr>
      <w:r w:rsidRPr="00A025AE">
        <w:tab/>
      </w:r>
      <w:r w:rsidR="00384B0C" w:rsidRPr="00384B0C">
        <w:rPr>
          <w:position w:val="-26"/>
        </w:rPr>
        <w:object w:dxaOrig="1560" w:dyaOrig="620" w14:anchorId="529EDAB4">
          <v:shape id="_x0000_i1056" type="#_x0000_t75" style="width:79pt;height:29pt" o:ole="">
            <v:imagedata r:id="rId82" o:title=""/>
          </v:shape>
          <o:OLEObject Type="Embed" ProgID="Equation.3" ShapeID="_x0000_i1056" DrawAspect="Content" ObjectID="_1457171708" r:id="rId83"/>
        </w:object>
      </w:r>
      <w:r>
        <w:tab/>
      </w:r>
      <w:r>
        <w:fldChar w:fldCharType="begin"/>
      </w:r>
      <w:bookmarkStart w:id="59" w:name="_Ref363559673"/>
      <w:bookmarkEnd w:id="59"/>
      <w:r>
        <w:instrText xml:space="preserve"> LISTNUM EQN \l 2 </w:instrText>
      </w:r>
      <w:r>
        <w:fldChar w:fldCharType="end"/>
      </w:r>
      <w:r>
        <w:t>)</w:t>
      </w:r>
    </w:p>
    <w:p w14:paraId="140F0A36" w14:textId="1DE124AC" w:rsidR="006F0A4A" w:rsidRPr="00385216" w:rsidRDefault="003F1C0B" w:rsidP="00385216">
      <w:pPr>
        <w:ind w:firstLine="0"/>
      </w:pPr>
      <w:r>
        <w:t xml:space="preserve">where </w:t>
      </w:r>
      <w:r>
        <w:rPr>
          <w:i/>
        </w:rPr>
        <w:t>t</w:t>
      </w:r>
      <w:r>
        <w:t xml:space="preserve"> is measured positive extending out from the convex side of the curve and negative out from the concave side.</w:t>
      </w:r>
      <w:r w:rsidR="00422A19">
        <w:t xml:space="preserve">  </w:t>
      </w:r>
      <w:r w:rsidR="00441829">
        <w:t>A</w:t>
      </w:r>
      <w:r w:rsidR="00385216">
        <w:t xml:space="preserve"> </w:t>
      </w:r>
      <w:r w:rsidR="00A74B84">
        <w:t>pair of curves</w:t>
      </w:r>
      <w:r w:rsidR="00385216">
        <w:t xml:space="preserve"> in which </w:t>
      </w:r>
      <w:r w:rsidR="00385216">
        <w:rPr>
          <w:i/>
        </w:rPr>
        <w:t>t</w:t>
      </w:r>
      <w:r w:rsidR="00385216">
        <w:t xml:space="preserve"> is set to equal</w:t>
      </w:r>
      <w:r w:rsidR="00441829">
        <w:t xml:space="preserve"> 0 and</w:t>
      </w:r>
      <w:r w:rsidR="00385216">
        <w:t xml:space="preserve"> </w:t>
      </w:r>
      <w:r w:rsidR="00385216">
        <w:rPr>
          <w:i/>
        </w:rPr>
        <w:t>r</w:t>
      </w:r>
      <w:r w:rsidR="00385216">
        <w:rPr>
          <w:i/>
          <w:vertAlign w:val="subscript"/>
        </w:rPr>
        <w:t>b</w:t>
      </w:r>
      <w:r w:rsidR="00385216">
        <w:t xml:space="preserve"> such that </w:t>
      </w:r>
      <w:r w:rsidR="00385216" w:rsidRPr="00C2285E">
        <w:rPr>
          <w:i/>
        </w:rPr>
        <w:t>θ</w:t>
      </w:r>
      <w:r w:rsidR="00441829">
        <w:t xml:space="preserve"> equals </w:t>
      </w:r>
      <w:r w:rsidR="00441829" w:rsidRPr="00385216">
        <w:rPr>
          <w:i/>
        </w:rPr>
        <w:t>α</w:t>
      </w:r>
      <w:r w:rsidR="00441829">
        <w:t xml:space="preserve"> and </w:t>
      </w:r>
      <w:r w:rsidR="00385216" w:rsidRPr="00385216">
        <w:rPr>
          <w:i/>
        </w:rPr>
        <w:t>α</w:t>
      </w:r>
      <w:r w:rsidR="00441829">
        <w:t xml:space="preserve"> +</w:t>
      </w:r>
      <w:r w:rsidR="00385216">
        <w:t xml:space="preserve"> 1</w:t>
      </w:r>
      <w:r w:rsidR="00441829">
        <w:t>, respectively,</w:t>
      </w:r>
      <w:r w:rsidR="00385216">
        <w:t xml:space="preserve"> </w:t>
      </w:r>
      <w:r w:rsidR="007A48E2">
        <w:t xml:space="preserve">is shown in Fig. </w:t>
      </w:r>
      <w:r w:rsidR="007A48E2">
        <w:fldChar w:fldCharType="begin"/>
      </w:r>
      <w:r w:rsidR="007A48E2">
        <w:instrText xml:space="preserve"> REF _Ref378080498 \r \h </w:instrText>
      </w:r>
      <w:r w:rsidR="007A48E2">
        <w:fldChar w:fldCharType="separate"/>
      </w:r>
      <w:r w:rsidR="001C5EC1">
        <w:t>3.8</w:t>
      </w:r>
      <w:r w:rsidR="007A48E2">
        <w:fldChar w:fldCharType="end"/>
      </w:r>
      <w:r w:rsidR="00385216">
        <w:t>.</w:t>
      </w:r>
    </w:p>
    <w:p w14:paraId="27503DEE" w14:textId="68860CA5" w:rsidR="00385216" w:rsidRDefault="0003591F" w:rsidP="003E0C5E">
      <w:pPr>
        <w:pStyle w:val="PictureSytel"/>
      </w:pPr>
      <w:r>
        <w:rPr>
          <w:noProof/>
        </w:rPr>
        <w:lastRenderedPageBreak/>
        <w:drawing>
          <wp:inline distT="0" distB="0" distL="0" distR="0" wp14:anchorId="79A011CB" wp14:editId="3E4A0BEC">
            <wp:extent cx="5061760" cy="3280410"/>
            <wp:effectExtent l="19050" t="19050" r="24765" b="152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erpendicular%20Involute%20Offset[1].png"/>
                    <pic:cNvPicPr/>
                  </pic:nvPicPr>
                  <pic:blipFill>
                    <a:blip r:embed="rId84">
                      <a:extLst>
                        <a:ext uri="{28A0092B-C50C-407E-A947-70E740481C1C}">
                          <a14:useLocalDpi xmlns:a14="http://schemas.microsoft.com/office/drawing/2010/main" val="0"/>
                        </a:ext>
                      </a:extLst>
                    </a:blip>
                    <a:stretch>
                      <a:fillRect/>
                    </a:stretch>
                  </pic:blipFill>
                  <pic:spPr>
                    <a:xfrm>
                      <a:off x="0" y="0"/>
                      <a:ext cx="5068040" cy="3284480"/>
                    </a:xfrm>
                    <a:prstGeom prst="rect">
                      <a:avLst/>
                    </a:prstGeom>
                    <a:ln>
                      <a:solidFill>
                        <a:schemeClr val="tx1"/>
                      </a:solidFill>
                    </a:ln>
                  </pic:spPr>
                </pic:pic>
              </a:graphicData>
            </a:graphic>
          </wp:inline>
        </w:drawing>
      </w:r>
    </w:p>
    <w:p w14:paraId="0C2FB812" w14:textId="10B3CA51" w:rsidR="00385216" w:rsidRPr="00384B0C" w:rsidRDefault="00385216" w:rsidP="00385216">
      <w:pPr>
        <w:pStyle w:val="FigTitleStyle"/>
        <w:rPr>
          <w:b w:val="0"/>
        </w:rPr>
      </w:pPr>
      <w:bookmarkStart w:id="60" w:name="_Toc380156098"/>
      <w:bookmarkStart w:id="61" w:name="_Toc380157644"/>
      <w:bookmarkStart w:id="62" w:name="_Toc382920249"/>
      <w:r>
        <w:t xml:space="preserve">Fig. </w:t>
      </w:r>
      <w:r>
        <w:fldChar w:fldCharType="begin"/>
      </w:r>
      <w:bookmarkStart w:id="63" w:name="_Ref378080498"/>
      <w:bookmarkEnd w:id="63"/>
      <w:r>
        <w:instrText xml:space="preserve"> LISTNUM FIG \l 2 </w:instrText>
      </w:r>
      <w:r>
        <w:fldChar w:fldCharType="end"/>
      </w:r>
      <w:r>
        <w:t>.  Perpendicular Involute Offset.</w:t>
      </w:r>
      <w:r w:rsidR="00384B0C">
        <w:t xml:space="preserve">  </w:t>
      </w:r>
      <w:r w:rsidR="00384B0C">
        <w:rPr>
          <w:b w:val="0"/>
        </w:rPr>
        <w:t xml:space="preserve">The top involute curve has </w:t>
      </w:r>
      <w:r w:rsidR="00384B0C" w:rsidRPr="00384B0C">
        <w:rPr>
          <w:b w:val="0"/>
          <w:i/>
        </w:rPr>
        <w:sym w:font="Symbol" w:char="F071"/>
      </w:r>
      <w:r w:rsidR="00384B0C">
        <w:rPr>
          <w:b w:val="0"/>
          <w:i/>
        </w:rPr>
        <w:t xml:space="preserve"> </w:t>
      </w:r>
      <w:r w:rsidR="00384B0C">
        <w:rPr>
          <w:b w:val="0"/>
        </w:rPr>
        <w:t xml:space="preserve">= </w:t>
      </w:r>
      <w:r w:rsidR="00384B0C">
        <w:rPr>
          <w:b w:val="0"/>
          <w:i/>
        </w:rPr>
        <w:t>α</w:t>
      </w:r>
      <w:r w:rsidR="00384B0C">
        <w:rPr>
          <w:b w:val="0"/>
        </w:rPr>
        <w:t xml:space="preserve">.  The bottom involute curve has </w:t>
      </w:r>
      <w:r w:rsidR="00384B0C" w:rsidRPr="00384B0C">
        <w:rPr>
          <w:b w:val="0"/>
          <w:i/>
        </w:rPr>
        <w:sym w:font="Symbol" w:char="F071"/>
      </w:r>
      <w:r w:rsidR="00384B0C">
        <w:rPr>
          <w:b w:val="0"/>
          <w:i/>
        </w:rPr>
        <w:t xml:space="preserve"> </w:t>
      </w:r>
      <w:r w:rsidR="00384B0C">
        <w:rPr>
          <w:b w:val="0"/>
        </w:rPr>
        <w:t xml:space="preserve">= </w:t>
      </w:r>
      <w:r w:rsidR="00384B0C">
        <w:rPr>
          <w:b w:val="0"/>
          <w:i/>
        </w:rPr>
        <w:t xml:space="preserve">α </w:t>
      </w:r>
      <w:r w:rsidR="00441829">
        <w:rPr>
          <w:b w:val="0"/>
        </w:rPr>
        <w:t>+</w:t>
      </w:r>
      <w:r w:rsidR="00384B0C">
        <w:rPr>
          <w:b w:val="0"/>
        </w:rPr>
        <w:t xml:space="preserve"> 1 which corresponds to a </w:t>
      </w:r>
      <w:r w:rsidR="00384B0C" w:rsidRPr="00384B0C">
        <w:rPr>
          <w:b w:val="0"/>
          <w:i/>
        </w:rPr>
        <w:sym w:font="Symbol" w:char="F071"/>
      </w:r>
      <w:r w:rsidR="00384B0C">
        <w:rPr>
          <w:b w:val="0"/>
          <w:i/>
          <w:vertAlign w:val="subscript"/>
        </w:rPr>
        <w:t>o</w:t>
      </w:r>
      <w:r w:rsidR="00384B0C">
        <w:rPr>
          <w:b w:val="0"/>
        </w:rPr>
        <w:t xml:space="preserve"> of 1 radian</w:t>
      </w:r>
      <w:r w:rsidR="00441829">
        <w:rPr>
          <w:b w:val="0"/>
        </w:rPr>
        <w:t xml:space="preserve"> (C</w:t>
      </w:r>
      <w:r w:rsidR="00373AB1">
        <w:rPr>
          <w:b w:val="0"/>
        </w:rPr>
        <w:t>W positive)</w:t>
      </w:r>
      <w:r w:rsidR="00384B0C">
        <w:rPr>
          <w:b w:val="0"/>
        </w:rPr>
        <w:t>.</w:t>
      </w:r>
      <w:bookmarkEnd w:id="60"/>
      <w:bookmarkEnd w:id="61"/>
      <w:bookmarkEnd w:id="62"/>
    </w:p>
    <w:p w14:paraId="4BFD5EAC" w14:textId="39B8324E" w:rsidR="00641132" w:rsidRDefault="00A74B84" w:rsidP="0003591F">
      <w:r>
        <w:t xml:space="preserve">Both the arc length along the circumference of the base circle, </w:t>
      </w:r>
      <w:r>
        <w:rPr>
          <w:i/>
        </w:rPr>
        <w:t>a</w:t>
      </w:r>
      <w:r>
        <w:t xml:space="preserve">, and the perpendicular offset distance, </w:t>
      </w:r>
      <w:r>
        <w:rPr>
          <w:i/>
        </w:rPr>
        <w:t>t</w:t>
      </w:r>
      <w:r>
        <w:t xml:space="preserve">, between the two involute curves equals </w:t>
      </w:r>
      <w:r>
        <w:rPr>
          <w:i/>
        </w:rPr>
        <w:t>r</w:t>
      </w:r>
      <w:r>
        <w:rPr>
          <w:i/>
          <w:vertAlign w:val="subscript"/>
        </w:rPr>
        <w:t>b</w:t>
      </w:r>
      <w:r>
        <w:t>.  Thus</w:t>
      </w:r>
      <w:r w:rsidR="0003591F">
        <w:t xml:space="preserve"> it can be said that</w:t>
      </w:r>
    </w:p>
    <w:p w14:paraId="0466618C" w14:textId="02AC3960" w:rsidR="00641132" w:rsidRDefault="00A74B84" w:rsidP="00A74B84">
      <w:pPr>
        <w:pStyle w:val="numberedeqnstyle"/>
      </w:pPr>
      <w:r w:rsidRPr="00A025AE">
        <w:tab/>
      </w:r>
      <w:r w:rsidRPr="00A74B84">
        <w:rPr>
          <w:position w:val="-26"/>
        </w:rPr>
        <w:object w:dxaOrig="1100" w:dyaOrig="600" w14:anchorId="5435FF68">
          <v:shape id="_x0000_i1057" type="#_x0000_t75" style="width:56.4pt;height:27.95pt" o:ole="">
            <v:imagedata r:id="rId85" o:title=""/>
          </v:shape>
          <o:OLEObject Type="Embed" ProgID="Equation.3" ShapeID="_x0000_i1057" DrawAspect="Content" ObjectID="_1457171709" r:id="rId86"/>
        </w:object>
      </w:r>
      <w:r w:rsidR="006B236E">
        <w:t>.</w:t>
      </w:r>
      <w:r>
        <w:tab/>
      </w:r>
      <w:r>
        <w:fldChar w:fldCharType="begin"/>
      </w:r>
      <w:r>
        <w:instrText xml:space="preserve"> LISTNUM EQN \l 2 </w:instrText>
      </w:r>
      <w:r>
        <w:fldChar w:fldCharType="end"/>
      </w:r>
      <w:r>
        <w:t>)</w:t>
      </w:r>
    </w:p>
    <w:p w14:paraId="66EACE43" w14:textId="5E2524D8" w:rsidR="00ED4351" w:rsidRDefault="00422A19" w:rsidP="00384B0C">
      <w:r>
        <w:t>In this new reference frame, adjacent involute curves are generated by specifying</w:t>
      </w:r>
      <w:r w:rsidR="001F6905">
        <w:t xml:space="preserve"> </w:t>
      </w:r>
      <w:r w:rsidR="001F6905">
        <w:rPr>
          <w:i/>
        </w:rPr>
        <w:t>t</w:t>
      </w:r>
      <w:r w:rsidR="001F6905">
        <w:t>,</w:t>
      </w:r>
      <w:r>
        <w:t xml:space="preserve"> the linear offset distance between them</w:t>
      </w:r>
      <w:r w:rsidR="001F6905">
        <w:t>,</w:t>
      </w:r>
      <w:r>
        <w:t xml:space="preserve"> rather than the angular off</w:t>
      </w:r>
      <w:r w:rsidR="00ED4351">
        <w:t>set between</w:t>
      </w:r>
      <w:r w:rsidR="009247DE">
        <w:t xml:space="preserve"> their origin points.  Eqn. </w:t>
      </w:r>
      <w:r w:rsidR="009247DE">
        <w:fldChar w:fldCharType="begin"/>
      </w:r>
      <w:r w:rsidR="009247DE">
        <w:instrText xml:space="preserve"> REF _Ref363559673 \n \h </w:instrText>
      </w:r>
      <w:r w:rsidR="009247DE">
        <w:fldChar w:fldCharType="separate"/>
      </w:r>
      <w:r w:rsidR="001C5EC1">
        <w:t>(3.7</w:t>
      </w:r>
      <w:r w:rsidR="009247DE">
        <w:fldChar w:fldCharType="end"/>
      </w:r>
      <w:r w:rsidR="00ED4351">
        <w:t>) is valid for any</w:t>
      </w:r>
      <w:r w:rsidR="00EF5F37">
        <w:t xml:space="preserve"> involute with a constant offset.</w:t>
      </w:r>
      <w:r w:rsidR="00ED4351">
        <w:t xml:space="preserve">  For involute curves with </w:t>
      </w:r>
      <w:r w:rsidR="00C56EC3">
        <w:t>non-constant</w:t>
      </w:r>
      <w:r w:rsidR="00ED4351">
        <w:t xml:space="preserve"> offset,</w:t>
      </w:r>
      <w:r w:rsidR="00C56EC3">
        <w:t xml:space="preserve"> </w:t>
      </w:r>
      <w:r w:rsidR="00C56EC3">
        <w:rPr>
          <w:i/>
        </w:rPr>
        <w:t>t</w:t>
      </w:r>
      <w:r w:rsidR="00C56EC3">
        <w:t xml:space="preserve"> ca</w:t>
      </w:r>
      <w:r w:rsidR="007A48E2">
        <w:t xml:space="preserve">n be specified as a function of </w:t>
      </w:r>
      <w:r w:rsidR="00C56EC3" w:rsidRPr="00C2285E">
        <w:rPr>
          <w:i/>
        </w:rPr>
        <w:sym w:font="Symbol" w:char="F071"/>
      </w:r>
      <w:r w:rsidR="00C56EC3">
        <w:rPr>
          <w:i/>
        </w:rPr>
        <w:t>.</w:t>
      </w:r>
      <w:r w:rsidR="00C56EC3">
        <w:t xml:space="preserve"> If </w:t>
      </w:r>
      <w:r w:rsidR="00C56EC3">
        <w:rPr>
          <w:i/>
        </w:rPr>
        <w:t>t</w:t>
      </w:r>
      <w:r w:rsidR="00C56EC3">
        <w:t xml:space="preserve"> varies linearly with </w:t>
      </w:r>
      <w:r w:rsidR="00C56EC3" w:rsidRPr="00C2285E">
        <w:rPr>
          <w:i/>
        </w:rPr>
        <w:sym w:font="Symbol" w:char="F071"/>
      </w:r>
      <w:r w:rsidR="00C56EC3">
        <w:t>, t</w:t>
      </w:r>
      <w:r w:rsidR="00ED4351" w:rsidRPr="00C56EC3">
        <w:t>he</w:t>
      </w:r>
      <w:r w:rsidR="00ED4351">
        <w:t xml:space="preserve"> offset can be determi</w:t>
      </w:r>
      <w:r w:rsidR="005A6B13">
        <w:t xml:space="preserve">ned using point-slope form </w:t>
      </w:r>
      <w:r w:rsidR="00C56EC3">
        <w:t>such that</w:t>
      </w:r>
    </w:p>
    <w:p w14:paraId="4037FEFC" w14:textId="2603B445" w:rsidR="00976091" w:rsidRPr="00A025AE" w:rsidRDefault="00976091" w:rsidP="00DF0C87">
      <w:pPr>
        <w:pStyle w:val="numberedeqnstyle"/>
      </w:pPr>
      <w:r w:rsidRPr="00A025AE">
        <w:tab/>
      </w:r>
      <w:r w:rsidR="00C7586E" w:rsidRPr="00C7586E">
        <w:rPr>
          <w:position w:val="-30"/>
        </w:rPr>
        <w:object w:dxaOrig="2840" w:dyaOrig="680" w14:anchorId="43476BE9">
          <v:shape id="_x0000_i1058" type="#_x0000_t75" style="width:144.55pt;height:31.15pt" o:ole="">
            <v:imagedata r:id="rId87" o:title=""/>
          </v:shape>
          <o:OLEObject Type="Embed" ProgID="Equation.3" ShapeID="_x0000_i1058" DrawAspect="Content" ObjectID="_1457171710" r:id="rId88"/>
        </w:object>
      </w:r>
      <w:r>
        <w:tab/>
      </w:r>
      <w:r>
        <w:fldChar w:fldCharType="begin"/>
      </w:r>
      <w:bookmarkStart w:id="64" w:name="_Ref363559921"/>
      <w:bookmarkEnd w:id="64"/>
      <w:r>
        <w:instrText xml:space="preserve"> LISTNUM EQN \l 2 </w:instrText>
      </w:r>
      <w:r>
        <w:fldChar w:fldCharType="end"/>
      </w:r>
      <w:r>
        <w:t>a)</w:t>
      </w:r>
    </w:p>
    <w:p w14:paraId="369A409B" w14:textId="53516B39" w:rsidR="00976091" w:rsidRPr="005A6B13" w:rsidRDefault="00976091" w:rsidP="00DF0C87">
      <w:pPr>
        <w:pStyle w:val="numberedeqnstyle"/>
      </w:pPr>
      <w:r w:rsidRPr="00A025AE">
        <w:tab/>
      </w:r>
      <w:r w:rsidR="00C7586E" w:rsidRPr="005345AC">
        <w:rPr>
          <w:position w:val="-30"/>
        </w:rPr>
        <w:object w:dxaOrig="2420" w:dyaOrig="680" w14:anchorId="5C108B07">
          <v:shape id="_x0000_i1059" type="#_x0000_t75" style="width:119.3pt;height:36.55pt" o:ole="">
            <v:imagedata r:id="rId89" o:title=""/>
          </v:shape>
          <o:OLEObject Type="Embed" ProgID="Equation.3" ShapeID="_x0000_i1059" DrawAspect="Content" ObjectID="_1457171711" r:id="rId90"/>
        </w:object>
      </w:r>
      <w:r>
        <w:tab/>
      </w:r>
      <w:fldSimple w:instr=" REF _Ref363559921 \n ">
        <w:r w:rsidR="001C5EC1">
          <w:t>(3.9</w:t>
        </w:r>
      </w:fldSimple>
      <w:r>
        <w:t>b)</w:t>
      </w:r>
    </w:p>
    <w:p w14:paraId="5E983DCF" w14:textId="702B4419" w:rsidR="00DF20A7" w:rsidRDefault="005A6B13" w:rsidP="00610C01">
      <w:pPr>
        <w:ind w:firstLine="0"/>
      </w:pPr>
      <w:r>
        <w:t xml:space="preserve">where </w:t>
      </w:r>
      <w:r w:rsidRPr="00C2285E">
        <w:rPr>
          <w:i/>
        </w:rPr>
        <w:sym w:font="Symbol" w:char="F071"/>
      </w:r>
      <w:r>
        <w:rPr>
          <w:vertAlign w:val="subscript"/>
        </w:rPr>
        <w:t>1</w:t>
      </w:r>
      <w:r>
        <w:t xml:space="preserve"> and </w:t>
      </w:r>
      <w:r w:rsidRPr="00C2285E">
        <w:rPr>
          <w:i/>
        </w:rPr>
        <w:sym w:font="Symbol" w:char="F071"/>
      </w:r>
      <w:r>
        <w:rPr>
          <w:vertAlign w:val="subscript"/>
        </w:rPr>
        <w:t>2</w:t>
      </w:r>
      <w:r>
        <w:t xml:space="preserve"> are the start and end points of the sloped line, respectively</w:t>
      </w:r>
      <w:r w:rsidR="00E34541">
        <w:t xml:space="preserve">, and </w:t>
      </w:r>
      <w:r w:rsidR="00E34541">
        <w:rPr>
          <w:i/>
        </w:rPr>
        <w:t>t</w:t>
      </w:r>
      <w:r w:rsidR="00E34541">
        <w:rPr>
          <w:vertAlign w:val="subscript"/>
        </w:rPr>
        <w:t>1</w:t>
      </w:r>
      <w:r w:rsidR="00E34541">
        <w:t xml:space="preserve"> = </w:t>
      </w:r>
      <w:r w:rsidR="00E34541">
        <w:rPr>
          <w:i/>
        </w:rPr>
        <w:t>t</w:t>
      </w:r>
      <w:r w:rsidR="00E34541">
        <w:t>(</w:t>
      </w:r>
      <w:r w:rsidR="00E34541" w:rsidRPr="00C2285E">
        <w:rPr>
          <w:i/>
        </w:rPr>
        <w:sym w:font="Symbol" w:char="F071"/>
      </w:r>
      <w:r w:rsidR="00E34541">
        <w:rPr>
          <w:vertAlign w:val="subscript"/>
        </w:rPr>
        <w:t>1</w:t>
      </w:r>
      <w:r w:rsidR="00E34541">
        <w:t xml:space="preserve">), </w:t>
      </w:r>
      <w:r w:rsidR="00E34541">
        <w:rPr>
          <w:i/>
        </w:rPr>
        <w:t>t</w:t>
      </w:r>
      <w:r w:rsidR="00E34541">
        <w:rPr>
          <w:vertAlign w:val="subscript"/>
        </w:rPr>
        <w:t>2</w:t>
      </w:r>
      <w:r w:rsidR="00E34541">
        <w:t xml:space="preserve"> = </w:t>
      </w:r>
      <w:r w:rsidR="00E34541">
        <w:rPr>
          <w:i/>
        </w:rPr>
        <w:t>t</w:t>
      </w:r>
      <w:r w:rsidR="00E34541">
        <w:t>(</w:t>
      </w:r>
      <w:r w:rsidR="00E34541" w:rsidRPr="00C2285E">
        <w:rPr>
          <w:i/>
        </w:rPr>
        <w:sym w:font="Symbol" w:char="F071"/>
      </w:r>
      <w:r w:rsidR="00E34541">
        <w:rPr>
          <w:vertAlign w:val="subscript"/>
        </w:rPr>
        <w:t>2</w:t>
      </w:r>
      <w:r w:rsidR="00E34541">
        <w:t>)</w:t>
      </w:r>
      <w:r>
        <w:t>.</w:t>
      </w:r>
      <w:r w:rsidR="00441829">
        <w:t xml:space="preserve">  If </w:t>
      </w:r>
      <w:r w:rsidR="00441829">
        <w:rPr>
          <w:i/>
        </w:rPr>
        <w:t>t</w:t>
      </w:r>
      <w:r w:rsidR="00441829">
        <w:t xml:space="preserve"> is given as a smooth, continuous function of </w:t>
      </w:r>
      <w:r w:rsidR="00441829" w:rsidRPr="00C2285E">
        <w:rPr>
          <w:i/>
        </w:rPr>
        <w:sym w:font="Symbol" w:char="F071"/>
      </w:r>
      <w:r w:rsidR="00441829">
        <w:t xml:space="preserve"> then Eqn. </w:t>
      </w:r>
      <w:r w:rsidR="00441829">
        <w:fldChar w:fldCharType="begin"/>
      </w:r>
      <w:r w:rsidR="00441829">
        <w:instrText xml:space="preserve"> REF _Ref363559921 \r \h </w:instrText>
      </w:r>
      <w:r w:rsidR="00441829">
        <w:fldChar w:fldCharType="separate"/>
      </w:r>
      <w:r w:rsidR="001C5EC1">
        <w:t>(3.9</w:t>
      </w:r>
      <w:r w:rsidR="00441829">
        <w:fldChar w:fldCharType="end"/>
      </w:r>
      <w:r w:rsidR="00441829">
        <w:t>a) can be used independtly.</w:t>
      </w:r>
      <w:r w:rsidR="00E92B0F">
        <w:t xml:space="preserve">  </w:t>
      </w:r>
    </w:p>
    <w:p w14:paraId="5FB5A411" w14:textId="6B42DF56" w:rsidR="00535139" w:rsidRDefault="007923D8" w:rsidP="00DF0C87">
      <w:r>
        <w:lastRenderedPageBreak/>
        <w:t xml:space="preserve">In the same way that </w:t>
      </w:r>
      <w:r>
        <w:rPr>
          <w:i/>
        </w:rPr>
        <w:t>t</w:t>
      </w:r>
      <w:r>
        <w:t xml:space="preserve"> is a more </w:t>
      </w:r>
      <w:r w:rsidR="001206D7">
        <w:t>readily accessible</w:t>
      </w:r>
      <w:r>
        <w:t xml:space="preserve"> substitute for</w:t>
      </w:r>
      <w:r w:rsidR="00441829">
        <w:t xml:space="preserve"> </w:t>
      </w:r>
      <w:r w:rsidR="00441829" w:rsidRPr="00C2285E">
        <w:rPr>
          <w:i/>
        </w:rPr>
        <w:sym w:font="Symbol" w:char="F071"/>
      </w:r>
      <w:r w:rsidR="00441829">
        <w:rPr>
          <w:i/>
          <w:vertAlign w:val="subscript"/>
        </w:rPr>
        <w:t>o</w:t>
      </w:r>
      <w:r w:rsidR="001206D7">
        <w:t xml:space="preserve">, the angular coordinate </w:t>
      </w:r>
      <w:r w:rsidR="001206D7" w:rsidRPr="00C2285E">
        <w:rPr>
          <w:i/>
        </w:rPr>
        <w:sym w:font="Symbol" w:char="F071"/>
      </w:r>
      <w:r w:rsidR="001206D7">
        <w:rPr>
          <w:i/>
        </w:rPr>
        <w:t xml:space="preserve"> </w:t>
      </w:r>
      <w:r w:rsidR="001206D7">
        <w:t>can be converted into arc length</w:t>
      </w:r>
      <w:r w:rsidR="00C56EC3">
        <w:t xml:space="preserve"> along the involute curve</w:t>
      </w:r>
      <w:r w:rsidR="00B8424E">
        <w:t xml:space="preserve">, </w:t>
      </w:r>
      <w:r w:rsidR="00B8424E">
        <w:rPr>
          <w:i/>
        </w:rPr>
        <w:t>s</w:t>
      </w:r>
      <w:r w:rsidR="001206D7">
        <w:t xml:space="preserve">.  </w:t>
      </w:r>
      <w:r w:rsidR="00387668">
        <w:t xml:space="preserve">The variable </w:t>
      </w:r>
      <w:r w:rsidR="00387668">
        <w:rPr>
          <w:i/>
        </w:rPr>
        <w:t xml:space="preserve">t </w:t>
      </w:r>
      <w:r w:rsidR="00387668">
        <w:t xml:space="preserve">will be assumed constant in the following relations.  </w:t>
      </w:r>
      <w:r w:rsidR="001206D7">
        <w:t>First</w:t>
      </w:r>
      <w:r w:rsidR="009C254E">
        <w:t>,</w:t>
      </w:r>
      <w:r w:rsidR="001206D7">
        <w:t xml:space="preserve"> consider the </w:t>
      </w:r>
      <w:r w:rsidR="00FA700F">
        <w:t>basic definition of arc length</w:t>
      </w:r>
    </w:p>
    <w:p w14:paraId="6139A4FE" w14:textId="2421B8C5" w:rsidR="00003A39" w:rsidRPr="00535139" w:rsidRDefault="00003A39" w:rsidP="00DF0C87">
      <w:pPr>
        <w:pStyle w:val="numberedeqnstyle"/>
      </w:pPr>
      <w:r w:rsidRPr="00A025AE">
        <w:tab/>
      </w:r>
      <w:r w:rsidR="00C7586E" w:rsidRPr="00C7586E">
        <w:rPr>
          <w:position w:val="-32"/>
        </w:rPr>
        <w:object w:dxaOrig="1100" w:dyaOrig="760" w14:anchorId="3D1B70B5">
          <v:shape id="_x0000_i1060" type="#_x0000_t75" style="width:56.95pt;height:37.6pt" o:ole="">
            <v:imagedata r:id="rId91" o:title=""/>
          </v:shape>
          <o:OLEObject Type="Embed" ProgID="Equation.3" ShapeID="_x0000_i1060" DrawAspect="Content" ObjectID="_1457171712" r:id="rId92"/>
        </w:object>
      </w:r>
      <w:r w:rsidR="006B236E">
        <w:t>.</w:t>
      </w:r>
      <w:r>
        <w:tab/>
      </w:r>
      <w:r>
        <w:fldChar w:fldCharType="begin"/>
      </w:r>
      <w:bookmarkStart w:id="65" w:name="_Ref363560311"/>
      <w:bookmarkEnd w:id="65"/>
      <w:r>
        <w:instrText xml:space="preserve"> LISTNUM EQN \l 2 </w:instrText>
      </w:r>
      <w:r>
        <w:fldChar w:fldCharType="end"/>
      </w:r>
      <w:r>
        <w:t>)</w:t>
      </w:r>
    </w:p>
    <w:p w14:paraId="6637F911" w14:textId="192B62E6" w:rsidR="005345AC" w:rsidRDefault="009C254E" w:rsidP="00DF0C87">
      <w:r>
        <w:t>For the p</w:t>
      </w:r>
      <w:r w:rsidR="00003A39">
        <w:t xml:space="preserve">arametric equation given by Eqns. </w:t>
      </w:r>
      <w:r w:rsidR="00003A39">
        <w:fldChar w:fldCharType="begin"/>
      </w:r>
      <w:r w:rsidR="00003A39">
        <w:instrText xml:space="preserve"> REF _Ref363560060 \n \h </w:instrText>
      </w:r>
      <w:r w:rsidR="00003A39">
        <w:fldChar w:fldCharType="separate"/>
      </w:r>
      <w:r w:rsidR="001C5EC1">
        <w:t>(3.4</w:t>
      </w:r>
      <w:r w:rsidR="00003A39">
        <w:fldChar w:fldCharType="end"/>
      </w:r>
      <w:r w:rsidR="00003A39">
        <w:t xml:space="preserve">) and </w:t>
      </w:r>
      <w:r w:rsidR="00003A39">
        <w:fldChar w:fldCharType="begin"/>
      </w:r>
      <w:r w:rsidR="00003A39">
        <w:instrText xml:space="preserve"> REF _Ref363559673 \n \h </w:instrText>
      </w:r>
      <w:r w:rsidR="00003A39">
        <w:fldChar w:fldCharType="separate"/>
      </w:r>
      <w:r w:rsidR="001C5EC1">
        <w:t>(3.7</w:t>
      </w:r>
      <w:r w:rsidR="00003A39">
        <w:fldChar w:fldCharType="end"/>
      </w:r>
      <w:r>
        <w:t xml:space="preserve">), the quantity </w:t>
      </w:r>
      <w:r>
        <w:rPr>
          <w:i/>
        </w:rPr>
        <w:t>ds</w:t>
      </w:r>
      <w:r>
        <w:t xml:space="preserve"> is represented by</w:t>
      </w:r>
    </w:p>
    <w:p w14:paraId="307DE0E8" w14:textId="3CBA2D71" w:rsidR="00003A39" w:rsidRDefault="00003A39" w:rsidP="00DF0C87">
      <w:pPr>
        <w:pStyle w:val="numberedeqnstyle"/>
      </w:pPr>
      <w:r w:rsidRPr="00A025AE">
        <w:tab/>
      </w:r>
      <w:r w:rsidRPr="006A45CF">
        <w:rPr>
          <w:position w:val="-30"/>
        </w:rPr>
        <w:object w:dxaOrig="2320" w:dyaOrig="800" w14:anchorId="15FC8DE5">
          <v:shape id="_x0000_i1061" type="#_x0000_t75" style="width:116.05pt;height:44.05pt" o:ole="">
            <v:imagedata r:id="rId93" o:title=""/>
          </v:shape>
          <o:OLEObject Type="Embed" ProgID="Equation.3" ShapeID="_x0000_i1061" DrawAspect="Content" ObjectID="_1457171713" r:id="rId94"/>
        </w:object>
      </w:r>
      <w:r w:rsidR="006B236E">
        <w:t>.</w:t>
      </w:r>
      <w:r>
        <w:tab/>
      </w:r>
      <w:r>
        <w:fldChar w:fldCharType="begin"/>
      </w:r>
      <w:bookmarkStart w:id="66" w:name="_Ref363560153"/>
      <w:bookmarkEnd w:id="66"/>
      <w:r>
        <w:instrText xml:space="preserve"> LISTNUM EQN \l 2 </w:instrText>
      </w:r>
      <w:r>
        <w:fldChar w:fldCharType="end"/>
      </w:r>
      <w:r>
        <w:t>)</w:t>
      </w:r>
    </w:p>
    <w:p w14:paraId="13F47FB3" w14:textId="39BACD47" w:rsidR="009C254E" w:rsidRDefault="00003A39" w:rsidP="00DF0C87">
      <w:r>
        <w:t>Differentiating Eqn</w:t>
      </w:r>
      <w:r w:rsidR="00BA16DD">
        <w:t>s</w:t>
      </w:r>
      <w:r>
        <w:t xml:space="preserve">. </w:t>
      </w:r>
      <w:r>
        <w:fldChar w:fldCharType="begin"/>
      </w:r>
      <w:r>
        <w:instrText xml:space="preserve"> REF _Ref363560060 \n \h </w:instrText>
      </w:r>
      <w:r>
        <w:fldChar w:fldCharType="separate"/>
      </w:r>
      <w:r w:rsidR="001C5EC1">
        <w:t>(3.4</w:t>
      </w:r>
      <w:r>
        <w:fldChar w:fldCharType="end"/>
      </w:r>
      <w:r w:rsidR="00A17A30">
        <w:t>)</w:t>
      </w:r>
      <w:r w:rsidR="00BA16DD">
        <w:t xml:space="preserve"> and </w:t>
      </w:r>
      <w:r w:rsidR="00BA16DD">
        <w:fldChar w:fldCharType="begin"/>
      </w:r>
      <w:r w:rsidR="00BA16DD">
        <w:instrText xml:space="preserve"> REF _Ref363559673 \n \h </w:instrText>
      </w:r>
      <w:r w:rsidR="00BA16DD">
        <w:fldChar w:fldCharType="separate"/>
      </w:r>
      <w:r w:rsidR="001C5EC1">
        <w:t>(3.7</w:t>
      </w:r>
      <w:r w:rsidR="00BA16DD">
        <w:fldChar w:fldCharType="end"/>
      </w:r>
      <w:r w:rsidR="00BA16DD">
        <w:t>)</w:t>
      </w:r>
      <w:r w:rsidR="00A17A30">
        <w:t>, the derivatives become</w:t>
      </w:r>
    </w:p>
    <w:p w14:paraId="60AD920B" w14:textId="6E31AB30" w:rsidR="00003A39" w:rsidRPr="00A025AE" w:rsidRDefault="00003A39" w:rsidP="00DF0C87">
      <w:pPr>
        <w:pStyle w:val="numberedeqnstyle"/>
      </w:pPr>
      <w:r w:rsidRPr="00A025AE">
        <w:tab/>
      </w:r>
      <w:r w:rsidRPr="007E62BD">
        <w:rPr>
          <w:position w:val="-24"/>
        </w:rPr>
        <w:object w:dxaOrig="1800" w:dyaOrig="620" w14:anchorId="06D85DF2">
          <v:shape id="_x0000_i1062" type="#_x0000_t75" style="width:94.05pt;height:29pt" o:ole="">
            <v:imagedata r:id="rId95" o:title=""/>
          </v:shape>
          <o:OLEObject Type="Embed" ProgID="Equation.3" ShapeID="_x0000_i1062" DrawAspect="Content" ObjectID="_1457171714" r:id="rId96"/>
        </w:object>
      </w:r>
      <w:r>
        <w:tab/>
      </w:r>
      <w:r>
        <w:fldChar w:fldCharType="begin"/>
      </w:r>
      <w:bookmarkStart w:id="67" w:name="_Ref363586157"/>
      <w:bookmarkEnd w:id="67"/>
      <w:r>
        <w:instrText xml:space="preserve"> LISTNUM EQN \l 2 </w:instrText>
      </w:r>
      <w:r>
        <w:fldChar w:fldCharType="end"/>
      </w:r>
      <w:r>
        <w:t>a)</w:t>
      </w:r>
    </w:p>
    <w:p w14:paraId="31CAE472" w14:textId="4D6E2AA8" w:rsidR="00003A39" w:rsidRDefault="00003A39" w:rsidP="00DF0C87">
      <w:pPr>
        <w:pStyle w:val="numberedeqnstyle"/>
      </w:pPr>
      <w:r w:rsidRPr="00A025AE">
        <w:tab/>
      </w:r>
      <w:r w:rsidRPr="007E62BD">
        <w:rPr>
          <w:position w:val="-24"/>
        </w:rPr>
        <w:object w:dxaOrig="1760" w:dyaOrig="620" w14:anchorId="00ACAC07">
          <v:shape id="_x0000_i1063" type="#_x0000_t75" style="width:86.5pt;height:29pt" o:ole="">
            <v:imagedata r:id="rId97" o:title=""/>
          </v:shape>
          <o:OLEObject Type="Embed" ProgID="Equation.3" ShapeID="_x0000_i1063" DrawAspect="Content" ObjectID="_1457171715" r:id="rId98"/>
        </w:object>
      </w:r>
      <w:r w:rsidR="006B236E">
        <w:t>.</w:t>
      </w:r>
      <w:r>
        <w:tab/>
      </w:r>
      <w:fldSimple w:instr=" REF _Ref363586157 \n ">
        <w:r w:rsidR="001C5EC1">
          <w:t>(3.12</w:t>
        </w:r>
      </w:fldSimple>
      <w:r>
        <w:t>b)</w:t>
      </w:r>
    </w:p>
    <w:p w14:paraId="5F5AA2E4" w14:textId="5155C2C3" w:rsidR="00A17A30" w:rsidRDefault="00003A39" w:rsidP="00DF0C87">
      <w:r>
        <w:t xml:space="preserve">Substituting into Eqn. </w:t>
      </w:r>
      <w:r>
        <w:fldChar w:fldCharType="begin"/>
      </w:r>
      <w:r>
        <w:instrText xml:space="preserve"> REF _Ref363560153 \n \h </w:instrText>
      </w:r>
      <w:r>
        <w:fldChar w:fldCharType="separate"/>
      </w:r>
      <w:r w:rsidR="001C5EC1">
        <w:t>(3.11</w:t>
      </w:r>
      <w:r>
        <w:fldChar w:fldCharType="end"/>
      </w:r>
      <w:r w:rsidR="00283A1E">
        <w:t>)</w:t>
      </w:r>
      <w:r w:rsidR="00F4682D">
        <w:t xml:space="preserve"> produces</w:t>
      </w:r>
    </w:p>
    <w:p w14:paraId="689E1E27" w14:textId="16674A5F" w:rsidR="005F2AC7" w:rsidRDefault="005F2AC7" w:rsidP="00DF0C87">
      <w:pPr>
        <w:pStyle w:val="numberedeqnstyle"/>
      </w:pPr>
      <w:r w:rsidRPr="00A025AE">
        <w:tab/>
      </w:r>
      <w:r w:rsidRPr="00481BE0">
        <w:rPr>
          <w:position w:val="-18"/>
        </w:rPr>
        <w:object w:dxaOrig="3260" w:dyaOrig="520" w14:anchorId="16F57BD4">
          <v:shape id="_x0000_i1064" type="#_x0000_t75" style="width:166.05pt;height:29pt" o:ole="">
            <v:imagedata r:id="rId99" o:title=""/>
          </v:shape>
          <o:OLEObject Type="Embed" ProgID="Equation.3" ShapeID="_x0000_i1064" DrawAspect="Content" ObjectID="_1457171716" r:id="rId100"/>
        </w:object>
      </w:r>
      <w:r w:rsidR="006B236E">
        <w:t>.</w:t>
      </w:r>
      <w:r>
        <w:tab/>
      </w:r>
      <w:r>
        <w:fldChar w:fldCharType="begin"/>
      </w:r>
      <w:r>
        <w:instrText xml:space="preserve"> LISTNUM EQN \l 2 </w:instrText>
      </w:r>
      <w:r>
        <w:fldChar w:fldCharType="end"/>
      </w:r>
      <w:r>
        <w:t>)</w:t>
      </w:r>
    </w:p>
    <w:p w14:paraId="28F59830" w14:textId="6985D15D" w:rsidR="00481BE0" w:rsidRDefault="00F43C2F" w:rsidP="00DF0C87">
      <w:r>
        <w:t xml:space="preserve">Using the Pythagorean identity, this can be simplified to </w:t>
      </w:r>
    </w:p>
    <w:p w14:paraId="1E4A3FED" w14:textId="139CE21A" w:rsidR="005F2AC7" w:rsidRDefault="005F2AC7" w:rsidP="00DF0C87">
      <w:pPr>
        <w:pStyle w:val="numberedeqnstyle"/>
      </w:pPr>
      <w:r w:rsidRPr="00A025AE">
        <w:tab/>
      </w:r>
      <w:r w:rsidRPr="00C84171">
        <w:rPr>
          <w:position w:val="-14"/>
        </w:rPr>
        <w:object w:dxaOrig="1520" w:dyaOrig="380" w14:anchorId="34A6AC4D">
          <v:shape id="_x0000_i1065" type="#_x0000_t75" style="width:79.5pt;height:21.5pt" o:ole="">
            <v:imagedata r:id="rId101" o:title=""/>
          </v:shape>
          <o:OLEObject Type="Embed" ProgID="Equation.3" ShapeID="_x0000_i1065" DrawAspect="Content" ObjectID="_1457171717" r:id="rId102"/>
        </w:object>
      </w:r>
      <w:r w:rsidR="006B236E">
        <w:t>.</w:t>
      </w:r>
      <w:r>
        <w:tab/>
      </w:r>
      <w:r>
        <w:fldChar w:fldCharType="begin"/>
      </w:r>
      <w:r>
        <w:instrText xml:space="preserve"> LISTNUM EQN \l 2 </w:instrText>
      </w:r>
      <w:r>
        <w:fldChar w:fldCharType="end"/>
      </w:r>
      <w:r>
        <w:t>)</w:t>
      </w:r>
    </w:p>
    <w:p w14:paraId="0CDA6D5B" w14:textId="1FB81F35" w:rsidR="00B27B75" w:rsidRDefault="005F2AC7" w:rsidP="00DF0C87">
      <w:r>
        <w:t xml:space="preserve">Substituting into Eqn. </w:t>
      </w:r>
      <w:r>
        <w:fldChar w:fldCharType="begin"/>
      </w:r>
      <w:r>
        <w:instrText xml:space="preserve"> REF _Ref363560311 \n \h </w:instrText>
      </w:r>
      <w:r>
        <w:fldChar w:fldCharType="separate"/>
      </w:r>
      <w:r w:rsidR="001C5EC1">
        <w:t>(3.10</w:t>
      </w:r>
      <w:r>
        <w:fldChar w:fldCharType="end"/>
      </w:r>
      <w:r w:rsidR="00F4682D">
        <w:t>)</w:t>
      </w:r>
      <w:r w:rsidR="006B236E">
        <w:t>:</w:t>
      </w:r>
    </w:p>
    <w:p w14:paraId="26E286BE" w14:textId="44D1888F" w:rsidR="005F2AC7" w:rsidRPr="009C254E" w:rsidRDefault="005F2AC7" w:rsidP="00DF0C87">
      <w:pPr>
        <w:pStyle w:val="numberedeqnstyle"/>
      </w:pPr>
      <w:r w:rsidRPr="00A025AE">
        <w:tab/>
      </w:r>
      <w:r w:rsidRPr="00C84171">
        <w:rPr>
          <w:position w:val="-30"/>
        </w:rPr>
        <w:object w:dxaOrig="1900" w:dyaOrig="720" w14:anchorId="1833B81E">
          <v:shape id="_x0000_i1066" type="#_x0000_t75" style="width:94.05pt;height:36.55pt" o:ole="">
            <v:imagedata r:id="rId103" o:title=""/>
          </v:shape>
          <o:OLEObject Type="Embed" ProgID="Equation.3" ShapeID="_x0000_i1066" DrawAspect="Content" ObjectID="_1457171718" r:id="rId104"/>
        </w:object>
      </w:r>
      <w:r>
        <w:tab/>
      </w:r>
      <w:r>
        <w:fldChar w:fldCharType="begin"/>
      </w:r>
      <w:r>
        <w:instrText xml:space="preserve"> LISTNUM EQN \l 2 </w:instrText>
      </w:r>
      <w:r>
        <w:fldChar w:fldCharType="end"/>
      </w:r>
      <w:r>
        <w:t>)</w:t>
      </w:r>
    </w:p>
    <w:p w14:paraId="558EA336" w14:textId="13A53AE8" w:rsidR="00D8147A" w:rsidRDefault="00C84171" w:rsidP="00610C01">
      <w:pPr>
        <w:ind w:firstLine="0"/>
      </w:pPr>
      <w:r>
        <w:t>and integrating</w:t>
      </w:r>
      <w:r w:rsidR="00CD7C87">
        <w:t>,</w:t>
      </w:r>
      <w:r w:rsidR="006B236E">
        <w:t xml:space="preserve"> produces</w:t>
      </w:r>
    </w:p>
    <w:p w14:paraId="46AA5809" w14:textId="3570AB38" w:rsidR="005F2AC7" w:rsidRDefault="005F2AC7" w:rsidP="00DF0C87">
      <w:pPr>
        <w:pStyle w:val="numberedeqnstyle"/>
      </w:pPr>
      <w:r w:rsidRPr="00A025AE">
        <w:tab/>
      </w:r>
      <w:r w:rsidRPr="003F25EA">
        <w:rPr>
          <w:position w:val="-32"/>
        </w:rPr>
        <w:object w:dxaOrig="1740" w:dyaOrig="800" w14:anchorId="339BAE57">
          <v:shape id="_x0000_i1067" type="#_x0000_t75" style="width:85.95pt;height:44.05pt" o:ole="">
            <v:imagedata r:id="rId105" o:title=""/>
          </v:shape>
          <o:OLEObject Type="Embed" ProgID="Equation.3" ShapeID="_x0000_i1067" DrawAspect="Content" ObjectID="_1457171719" r:id="rId106"/>
        </w:object>
      </w:r>
      <w:r w:rsidR="006B236E">
        <w:t>.</w:t>
      </w:r>
      <w:r>
        <w:tab/>
      </w:r>
      <w:r>
        <w:fldChar w:fldCharType="begin"/>
      </w:r>
      <w:r>
        <w:instrText xml:space="preserve"> LISTNUM EQN \l 2 </w:instrText>
      </w:r>
      <w:r>
        <w:fldChar w:fldCharType="end"/>
      </w:r>
      <w:r>
        <w:t>)</w:t>
      </w:r>
    </w:p>
    <w:p w14:paraId="5C183053" w14:textId="1B3B29F9" w:rsidR="00D8147A" w:rsidRDefault="00B45623" w:rsidP="00DF0C87">
      <w:r>
        <w:lastRenderedPageBreak/>
        <w:t>Assuming</w:t>
      </w:r>
      <w:r w:rsidR="003F25EA">
        <w:t xml:space="preserve"> </w:t>
      </w:r>
      <w:r w:rsidR="003F25EA" w:rsidRPr="00C2285E">
        <w:rPr>
          <w:i/>
        </w:rPr>
        <w:sym w:font="Symbol" w:char="F071"/>
      </w:r>
      <w:r w:rsidR="003F25EA">
        <w:rPr>
          <w:vertAlign w:val="subscript"/>
        </w:rPr>
        <w:t>a</w:t>
      </w:r>
      <w:r w:rsidR="003F25EA">
        <w:t xml:space="preserve"> = </w:t>
      </w:r>
      <w:r w:rsidR="003F25EA">
        <w:rPr>
          <w:i/>
        </w:rPr>
        <w:t>s</w:t>
      </w:r>
      <w:r w:rsidR="003F25EA">
        <w:rPr>
          <w:vertAlign w:val="subscript"/>
        </w:rPr>
        <w:t>a</w:t>
      </w:r>
      <w:r w:rsidR="003F25EA">
        <w:t xml:space="preserve"> = 0 as a universal point of reference, this becomes</w:t>
      </w:r>
    </w:p>
    <w:p w14:paraId="7F52479E" w14:textId="3E6551F2" w:rsidR="005F2AC7" w:rsidRDefault="005F2AC7" w:rsidP="00DF0C87">
      <w:pPr>
        <w:pStyle w:val="numberedeqnstyle"/>
      </w:pPr>
      <w:r w:rsidRPr="00A025AE">
        <w:tab/>
      </w:r>
      <w:r w:rsidR="00C7586E" w:rsidRPr="003F25EA">
        <w:rPr>
          <w:position w:val="-24"/>
        </w:rPr>
        <w:object w:dxaOrig="2079" w:dyaOrig="660" w14:anchorId="21D1E99B">
          <v:shape id="_x0000_i1068" type="#_x0000_t75" style="width:102.65pt;height:29pt" o:ole="">
            <v:imagedata r:id="rId107" o:title=""/>
          </v:shape>
          <o:OLEObject Type="Embed" ProgID="Equation.3" ShapeID="_x0000_i1068" DrawAspect="Content" ObjectID="_1457171720" r:id="rId108"/>
        </w:object>
      </w:r>
      <w:r w:rsidR="006B236E">
        <w:t>.</w:t>
      </w:r>
      <w:r>
        <w:tab/>
      </w:r>
      <w:r>
        <w:fldChar w:fldCharType="begin"/>
      </w:r>
      <w:bookmarkStart w:id="68" w:name="_Ref363560844"/>
      <w:bookmarkEnd w:id="68"/>
      <w:r>
        <w:instrText xml:space="preserve"> LISTNUM EQN \l 2 </w:instrText>
      </w:r>
      <w:r>
        <w:fldChar w:fldCharType="end"/>
      </w:r>
      <w:r>
        <w:t>)</w:t>
      </w:r>
    </w:p>
    <w:p w14:paraId="78826003" w14:textId="314D8188" w:rsidR="003F25EA" w:rsidRPr="00704BFB" w:rsidRDefault="00CD7C87" w:rsidP="00DF0C87">
      <w:r>
        <w:t xml:space="preserve">Arc length is considered a superior alternative to </w:t>
      </w:r>
      <w:r w:rsidRPr="00C2285E">
        <w:rPr>
          <w:i/>
        </w:rPr>
        <w:sym w:font="Symbol" w:char="F071"/>
      </w:r>
      <w:r>
        <w:t xml:space="preserve"> due to the fact that it increases linearly along the span of the fuel plate whereas </w:t>
      </w:r>
      <w:r w:rsidRPr="00C2285E">
        <w:rPr>
          <w:i/>
        </w:rPr>
        <w:sym w:font="Symbol" w:char="F071"/>
      </w:r>
      <w:r>
        <w:t xml:space="preserve"> increases at a rate proportional to the square root of </w:t>
      </w:r>
      <w:r>
        <w:rPr>
          <w:i/>
        </w:rPr>
        <w:t>s</w:t>
      </w:r>
      <w:r>
        <w:t>.</w:t>
      </w:r>
      <w:r w:rsidR="006F464D">
        <w:t xml:space="preserve">  In addition to </w:t>
      </w:r>
      <w:r w:rsidR="006F464D">
        <w:rPr>
          <w:i/>
        </w:rPr>
        <w:t>s</w:t>
      </w:r>
      <w:r w:rsidR="006F464D">
        <w:t xml:space="preserve"> and </w:t>
      </w:r>
      <w:r w:rsidR="006F464D" w:rsidRPr="00C2285E">
        <w:rPr>
          <w:i/>
        </w:rPr>
        <w:sym w:font="Symbol" w:char="F071"/>
      </w:r>
      <w:r w:rsidR="006F464D">
        <w:rPr>
          <w:i/>
        </w:rPr>
        <w:t xml:space="preserve"> </w:t>
      </w:r>
      <w:r w:rsidR="006F464D">
        <w:t xml:space="preserve"> there is a third coordinate, radius, </w:t>
      </w:r>
      <w:r w:rsidR="006F464D">
        <w:rPr>
          <w:i/>
        </w:rPr>
        <w:t>r</w:t>
      </w:r>
      <w:r w:rsidR="006F464D">
        <w:t>, that is frequently used to define positions along the span of the fuel plate.</w:t>
      </w:r>
      <w:r w:rsidR="00704BFB">
        <w:t xml:space="preserve"> </w:t>
      </w:r>
      <w:r>
        <w:t xml:space="preserve"> </w:t>
      </w:r>
      <w:r w:rsidR="00AC3489">
        <w:t>As various inputs and references use a mixture of all three</w:t>
      </w:r>
      <w:r w:rsidR="00704BFB">
        <w:t xml:space="preserve"> coordinates</w:t>
      </w:r>
      <w:r w:rsidR="00AC3489">
        <w:t xml:space="preserve">, it is important to be able to easily and readily </w:t>
      </w:r>
      <w:r w:rsidR="00B54D60">
        <w:t>convert between the three.</w:t>
      </w:r>
      <w:r w:rsidR="004969C2">
        <w:t xml:space="preserve">  Radial position, </w:t>
      </w:r>
      <w:r w:rsidR="004969C2">
        <w:rPr>
          <w:i/>
        </w:rPr>
        <w:t>r</w:t>
      </w:r>
      <w:r w:rsidR="004969C2">
        <w:t xml:space="preserve">, can easily be determined as a function of </w:t>
      </w:r>
      <w:r w:rsidR="004969C2" w:rsidRPr="00C2285E">
        <w:rPr>
          <w:i/>
        </w:rPr>
        <w:sym w:font="Symbol" w:char="F071"/>
      </w:r>
      <w:r w:rsidR="004969C2">
        <w:t xml:space="preserve"> by starting with </w:t>
      </w:r>
    </w:p>
    <w:p w14:paraId="61CA7979" w14:textId="50057925" w:rsidR="00AA67F1" w:rsidRDefault="00AA67F1" w:rsidP="00DF0C87">
      <w:pPr>
        <w:pStyle w:val="numberedeqnstyle"/>
      </w:pPr>
      <w:r w:rsidRPr="00A025AE">
        <w:tab/>
      </w:r>
      <w:r w:rsidR="00575A52" w:rsidRPr="00493684">
        <w:rPr>
          <w:position w:val="-12"/>
        </w:rPr>
        <w:object w:dxaOrig="1320" w:dyaOrig="440" w14:anchorId="3E69FBA6">
          <v:shape id="_x0000_i1069" type="#_x0000_t75" style="width:64.5pt;height:21.5pt" o:ole="">
            <v:imagedata r:id="rId109" o:title=""/>
          </v:shape>
          <o:OLEObject Type="Embed" ProgID="Equation.3" ShapeID="_x0000_i1069" DrawAspect="Content" ObjectID="_1457171721" r:id="rId110"/>
        </w:object>
      </w:r>
      <w:r w:rsidR="006B236E">
        <w:t>.</w:t>
      </w:r>
      <w:r>
        <w:tab/>
      </w:r>
      <w:r>
        <w:fldChar w:fldCharType="begin"/>
      </w:r>
      <w:r>
        <w:instrText xml:space="preserve"> LISTNUM EQN \l 2 </w:instrText>
      </w:r>
      <w:r>
        <w:fldChar w:fldCharType="end"/>
      </w:r>
      <w:r>
        <w:t>)</w:t>
      </w:r>
    </w:p>
    <w:p w14:paraId="21A21B96" w14:textId="3D8C431E" w:rsidR="00B54D60" w:rsidRDefault="007E62BD" w:rsidP="00DF0C87">
      <w:r>
        <w:t>Substituting in Eqn</w:t>
      </w:r>
      <w:r w:rsidR="00941109">
        <w:t>s</w:t>
      </w:r>
      <w:r w:rsidR="00AA67F1">
        <w:t xml:space="preserve">. </w:t>
      </w:r>
      <w:r w:rsidR="00AA67F1">
        <w:fldChar w:fldCharType="begin"/>
      </w:r>
      <w:r w:rsidR="00AA67F1">
        <w:instrText xml:space="preserve"> REF _Ref363560060 \n \h </w:instrText>
      </w:r>
      <w:r w:rsidR="00AA67F1">
        <w:fldChar w:fldCharType="separate"/>
      </w:r>
      <w:r w:rsidR="001C5EC1">
        <w:t>(3.4</w:t>
      </w:r>
      <w:r w:rsidR="00AA67F1">
        <w:fldChar w:fldCharType="end"/>
      </w:r>
      <w:r w:rsidR="00AA67F1">
        <w:t xml:space="preserve">) and </w:t>
      </w:r>
      <w:r w:rsidR="00AA67F1">
        <w:fldChar w:fldCharType="begin"/>
      </w:r>
      <w:r w:rsidR="00AA67F1">
        <w:instrText xml:space="preserve"> REF _Ref363559673 \n \h </w:instrText>
      </w:r>
      <w:r w:rsidR="00AA67F1">
        <w:fldChar w:fldCharType="separate"/>
      </w:r>
      <w:r w:rsidR="001C5EC1">
        <w:t>(3.7</w:t>
      </w:r>
      <w:r w:rsidR="00AA67F1">
        <w:fldChar w:fldCharType="end"/>
      </w:r>
      <w:r w:rsidR="00941109">
        <w:t>) yields</w:t>
      </w:r>
    </w:p>
    <w:p w14:paraId="11C417CE" w14:textId="7D055E2C" w:rsidR="00AA67F1" w:rsidRDefault="00AA67F1" w:rsidP="00DF0C87">
      <w:pPr>
        <w:pStyle w:val="numberedeqnstyle"/>
      </w:pPr>
      <w:r w:rsidRPr="00A025AE">
        <w:tab/>
      </w:r>
      <w:r w:rsidRPr="00941109">
        <w:rPr>
          <w:position w:val="-36"/>
        </w:rPr>
        <w:object w:dxaOrig="5880" w:dyaOrig="920" w14:anchorId="6374AF34">
          <v:shape id="_x0000_i1070" type="#_x0000_t75" style="width:295.5pt;height:44.05pt" o:ole="">
            <v:imagedata r:id="rId111" o:title=""/>
          </v:shape>
          <o:OLEObject Type="Embed" ProgID="Equation.3" ShapeID="_x0000_i1070" DrawAspect="Content" ObjectID="_1457171722" r:id="rId112"/>
        </w:object>
      </w:r>
      <w:r w:rsidR="006B236E">
        <w:t>.</w:t>
      </w:r>
      <w:r>
        <w:tab/>
      </w:r>
      <w:r>
        <w:fldChar w:fldCharType="begin"/>
      </w:r>
      <w:r>
        <w:instrText xml:space="preserve"> LISTNUM EQN \l 2 </w:instrText>
      </w:r>
      <w:r>
        <w:fldChar w:fldCharType="end"/>
      </w:r>
      <w:r>
        <w:t>)</w:t>
      </w:r>
    </w:p>
    <w:p w14:paraId="76E1862F" w14:textId="0F94100D" w:rsidR="00941109" w:rsidRDefault="00AB04E7" w:rsidP="00DF0C87">
      <w:r>
        <w:t>Squaring the quantities</w:t>
      </w:r>
      <w:r w:rsidR="00CF5E8A">
        <w:t xml:space="preserve"> </w:t>
      </w:r>
      <w:r>
        <w:t>allows for the grouping of like terms</w:t>
      </w:r>
      <w:r w:rsidR="006B236E">
        <w:t>:</w:t>
      </w:r>
    </w:p>
    <w:p w14:paraId="322D74F4" w14:textId="7E1B6D96" w:rsidR="00AA67F1" w:rsidRDefault="00AA67F1" w:rsidP="00610C01">
      <w:pPr>
        <w:pStyle w:val="numberedeqnstyle"/>
        <w:ind w:firstLine="0"/>
      </w:pPr>
      <w:r w:rsidRPr="00A025AE">
        <w:tab/>
      </w:r>
      <w:r w:rsidRPr="00BF3CD4">
        <w:rPr>
          <w:position w:val="-34"/>
        </w:rPr>
        <w:object w:dxaOrig="8080" w:dyaOrig="880" w14:anchorId="3A738E00">
          <v:shape id="_x0000_i1071" type="#_x0000_t75" style="width:404.05pt;height:44.05pt" o:ole="">
            <v:imagedata r:id="rId113" o:title=""/>
          </v:shape>
          <o:OLEObject Type="Embed" ProgID="Equation.3" ShapeID="_x0000_i1071" DrawAspect="Content" ObjectID="_1457171723" r:id="rId114"/>
        </w:object>
      </w:r>
      <w:r>
        <w:tab/>
      </w:r>
      <w:r>
        <w:fldChar w:fldCharType="begin"/>
      </w:r>
      <w:r>
        <w:instrText xml:space="preserve"> LISTNUM EQN \l 2 </w:instrText>
      </w:r>
      <w:r>
        <w:fldChar w:fldCharType="end"/>
      </w:r>
      <w:r>
        <w:t>)</w:t>
      </w:r>
    </w:p>
    <w:p w14:paraId="3EFE46B8" w14:textId="51FAC71A" w:rsidR="00AA67F1" w:rsidRDefault="00AA67F1" w:rsidP="00DF0C87">
      <w:r w:rsidRPr="00CE7A7D">
        <w:object w:dxaOrig="560" w:dyaOrig="280" w14:anchorId="3BEBD79C">
          <v:shape id="_x0000_i1072" type="#_x0000_t75" style="width:27.95pt;height:14.5pt" o:ole="">
            <v:imagedata r:id="rId115" o:title=""/>
          </v:shape>
          <o:OLEObject Type="Embed" ProgID="Equation.3" ShapeID="_x0000_i1072" DrawAspect="Content" ObjectID="_1457171724" r:id="rId116"/>
        </w:object>
      </w:r>
      <w:r w:rsidR="006B236E">
        <w:t>.</w:t>
      </w:r>
    </w:p>
    <w:p w14:paraId="567D5B40" w14:textId="3E387320" w:rsidR="00AB04E7" w:rsidRPr="006B236E" w:rsidRDefault="00AB04E7" w:rsidP="00DF0C87">
      <w:r>
        <w:t>Again using the Pythagorean identity an</w:t>
      </w:r>
      <w:r w:rsidR="00914023">
        <w:t>d cancelling like terms produces</w:t>
      </w:r>
      <w:r>
        <w:t xml:space="preserve"> </w:t>
      </w:r>
      <w:r w:rsidR="00914023">
        <w:rPr>
          <w:i/>
        </w:rPr>
        <w:t>r</w:t>
      </w:r>
      <w:r w:rsidR="00CA6553">
        <w:t xml:space="preserve"> as a function of </w:t>
      </w:r>
      <w:r w:rsidR="00CA6553" w:rsidRPr="00C2285E">
        <w:rPr>
          <w:i/>
        </w:rPr>
        <w:sym w:font="Symbol" w:char="F071"/>
      </w:r>
      <w:r w:rsidR="006B236E">
        <w:t>:</w:t>
      </w:r>
    </w:p>
    <w:p w14:paraId="5206D212" w14:textId="6AAE494A" w:rsidR="00676913" w:rsidRPr="00CA6553" w:rsidRDefault="0043570B" w:rsidP="00DF0C87">
      <w:pPr>
        <w:pStyle w:val="numberedeqnstyle"/>
      </w:pPr>
      <w:r w:rsidRPr="00A025AE">
        <w:tab/>
      </w:r>
      <w:r w:rsidRPr="00AB04E7">
        <w:rPr>
          <w:position w:val="-34"/>
        </w:rPr>
        <w:object w:dxaOrig="2520" w:dyaOrig="880" w14:anchorId="69E7A38F">
          <v:shape id="_x0000_i1073" type="#_x0000_t75" style="width:130.05pt;height:44.05pt" o:ole="">
            <v:imagedata r:id="rId117" o:title=""/>
          </v:shape>
          <o:OLEObject Type="Embed" ProgID="Equation.3" ShapeID="_x0000_i1073" DrawAspect="Content" ObjectID="_1457171725" r:id="rId118"/>
        </w:object>
      </w:r>
      <w:r w:rsidR="006B236E">
        <w:t>.</w:t>
      </w:r>
      <w:r>
        <w:tab/>
      </w:r>
      <w:r>
        <w:fldChar w:fldCharType="begin"/>
      </w:r>
      <w:bookmarkStart w:id="69" w:name="_Ref363560813"/>
      <w:bookmarkEnd w:id="69"/>
      <w:r>
        <w:instrText xml:space="preserve"> LISTNUM EQN \l 2 </w:instrText>
      </w:r>
      <w:r>
        <w:fldChar w:fldCharType="end"/>
      </w:r>
      <w:r>
        <w:t>)</w:t>
      </w:r>
    </w:p>
    <w:p w14:paraId="788D800A" w14:textId="16A57981" w:rsidR="00BE155F" w:rsidRPr="006B236E" w:rsidRDefault="00CA6553" w:rsidP="00DF0C87">
      <w:r>
        <w:t>To bring the reference frame relations full circle</w:t>
      </w:r>
      <w:r w:rsidR="00BA16DD">
        <w:t>,</w:t>
      </w:r>
      <w:r>
        <w:t xml:space="preserve"> </w:t>
      </w:r>
      <w:r>
        <w:rPr>
          <w:i/>
        </w:rPr>
        <w:t>s</w:t>
      </w:r>
      <w:r>
        <w:t xml:space="preserve"> can also be solved as a function of </w:t>
      </w:r>
      <w:r>
        <w:rPr>
          <w:i/>
        </w:rPr>
        <w:t>r</w:t>
      </w:r>
      <w:r w:rsidR="0043570B">
        <w:t xml:space="preserve">.  To start, Eqn. </w:t>
      </w:r>
      <w:r w:rsidR="0043570B">
        <w:fldChar w:fldCharType="begin"/>
      </w:r>
      <w:r w:rsidR="0043570B">
        <w:instrText xml:space="preserve"> REF _Ref363560813 \n \h </w:instrText>
      </w:r>
      <w:r w:rsidR="0043570B">
        <w:fldChar w:fldCharType="separate"/>
      </w:r>
      <w:r w:rsidR="001C5EC1">
        <w:t>(3.21</w:t>
      </w:r>
      <w:r w:rsidR="0043570B">
        <w:fldChar w:fldCharType="end"/>
      </w:r>
      <w:r>
        <w:t xml:space="preserve">) is solved in reverse for </w:t>
      </w:r>
      <w:r w:rsidRPr="00C2285E">
        <w:rPr>
          <w:i/>
        </w:rPr>
        <w:sym w:font="Symbol" w:char="F071"/>
      </w:r>
      <w:r w:rsidR="006B236E">
        <w:t>:</w:t>
      </w:r>
    </w:p>
    <w:p w14:paraId="60967543" w14:textId="69EBA133" w:rsidR="004231CE" w:rsidRPr="006A434D" w:rsidRDefault="004231CE" w:rsidP="00DF0C87">
      <w:pPr>
        <w:pStyle w:val="numberedeqnstyle"/>
      </w:pPr>
      <w:r w:rsidRPr="00A025AE">
        <w:tab/>
      </w:r>
      <w:r w:rsidRPr="006536EA">
        <w:rPr>
          <w:position w:val="-34"/>
        </w:rPr>
        <w:object w:dxaOrig="2480" w:dyaOrig="880" w14:anchorId="4FB266B8">
          <v:shape id="_x0000_i1074" type="#_x0000_t75" style="width:122.5pt;height:44.05pt" o:ole="">
            <v:imagedata r:id="rId119" o:title=""/>
          </v:shape>
          <o:OLEObject Type="Embed" ProgID="Equation.3" ShapeID="_x0000_i1074" DrawAspect="Content" ObjectID="_1457171726" r:id="rId120"/>
        </w:object>
      </w:r>
      <w:r w:rsidR="006B236E">
        <w:t>.</w:t>
      </w:r>
      <w:r>
        <w:tab/>
      </w:r>
      <w:r>
        <w:fldChar w:fldCharType="begin"/>
      </w:r>
      <w:r>
        <w:instrText xml:space="preserve"> LISTNUM EQN \l 2 </w:instrText>
      </w:r>
      <w:r>
        <w:fldChar w:fldCharType="end"/>
      </w:r>
      <w:r>
        <w:t>)</w:t>
      </w:r>
    </w:p>
    <w:p w14:paraId="4B1C2452" w14:textId="2E3D405D" w:rsidR="00BF3CD4" w:rsidRDefault="006536EA" w:rsidP="00DF0C87">
      <w:r>
        <w:lastRenderedPageBreak/>
        <w:t xml:space="preserve">The result </w:t>
      </w:r>
      <w:r w:rsidR="00AA6397">
        <w:t>is then</w:t>
      </w:r>
      <w:r>
        <w:t xml:space="preserve"> substituted</w:t>
      </w:r>
      <w:r w:rsidR="004231CE">
        <w:t xml:space="preserve"> into Eqn. </w:t>
      </w:r>
      <w:r w:rsidR="004231CE">
        <w:fldChar w:fldCharType="begin"/>
      </w:r>
      <w:r w:rsidR="004231CE">
        <w:instrText xml:space="preserve"> REF _Ref363560844 \n \h </w:instrText>
      </w:r>
      <w:r w:rsidR="004231CE">
        <w:fldChar w:fldCharType="separate"/>
      </w:r>
      <w:r w:rsidR="001C5EC1">
        <w:t>(3.17</w:t>
      </w:r>
      <w:r w:rsidR="004231CE">
        <w:fldChar w:fldCharType="end"/>
      </w:r>
      <w:r>
        <w:t>)</w:t>
      </w:r>
      <w:r w:rsidR="00763B72">
        <w:t xml:space="preserve"> to produce</w:t>
      </w:r>
    </w:p>
    <w:p w14:paraId="49DB833F" w14:textId="65330C66" w:rsidR="004231CE" w:rsidRDefault="004231CE" w:rsidP="00DF0C87">
      <w:pPr>
        <w:pStyle w:val="numberedeqnstyle"/>
      </w:pPr>
      <w:r w:rsidRPr="00A025AE">
        <w:tab/>
      </w:r>
      <w:r w:rsidRPr="00774198">
        <w:rPr>
          <w:position w:val="-44"/>
        </w:rPr>
        <w:object w:dxaOrig="5220" w:dyaOrig="1040" w14:anchorId="385DADDA">
          <v:shape id="_x0000_i1075" type="#_x0000_t75" style="width:259.5pt;height:49.95pt" o:ole="">
            <v:imagedata r:id="rId121" o:title=""/>
          </v:shape>
          <o:OLEObject Type="Embed" ProgID="Equation.3" ShapeID="_x0000_i1075" DrawAspect="Content" ObjectID="_1457171727" r:id="rId122"/>
        </w:object>
      </w:r>
      <w:r w:rsidR="006B236E">
        <w:t>.</w:t>
      </w:r>
      <w:r>
        <w:tab/>
      </w:r>
      <w:r>
        <w:fldChar w:fldCharType="begin"/>
      </w:r>
      <w:r>
        <w:instrText xml:space="preserve"> LISTNUM EQN \l 2 </w:instrText>
      </w:r>
      <w:r>
        <w:fldChar w:fldCharType="end"/>
      </w:r>
      <w:r>
        <w:t>)</w:t>
      </w:r>
    </w:p>
    <w:p w14:paraId="32699AA1" w14:textId="09650351" w:rsidR="000636EE" w:rsidRDefault="00774198" w:rsidP="00DF0C87">
      <w:r>
        <w:t>Squaring the first term yields</w:t>
      </w:r>
    </w:p>
    <w:p w14:paraId="2F6F6324" w14:textId="726F8A48" w:rsidR="005622B5" w:rsidRDefault="005622B5" w:rsidP="00DF0C87">
      <w:pPr>
        <w:pStyle w:val="numberedeqnstyle"/>
      </w:pPr>
      <w:r w:rsidRPr="00A025AE">
        <w:tab/>
      </w:r>
      <w:r w:rsidR="006B49C0" w:rsidRPr="006B49C0">
        <w:rPr>
          <w:position w:val="-40"/>
        </w:rPr>
        <w:object w:dxaOrig="6360" w:dyaOrig="900" w14:anchorId="01E914E5">
          <v:shape id="_x0000_i1076" type="#_x0000_t75" style="width:318.65pt;height:44.6pt" o:ole="">
            <v:imagedata r:id="rId123" o:title=""/>
          </v:shape>
          <o:OLEObject Type="Embed" ProgID="Equation.3" ShapeID="_x0000_i1076" DrawAspect="Content" ObjectID="_1457171728" r:id="rId124"/>
        </w:object>
      </w:r>
      <w:r w:rsidR="006B236E">
        <w:t>.</w:t>
      </w:r>
      <w:r>
        <w:tab/>
      </w:r>
      <w:r>
        <w:fldChar w:fldCharType="begin"/>
      </w:r>
      <w:r>
        <w:instrText xml:space="preserve"> LISTNUM EQN \l 2 </w:instrText>
      </w:r>
      <w:r>
        <w:fldChar w:fldCharType="end"/>
      </w:r>
      <w:r>
        <w:t>)</w:t>
      </w:r>
    </w:p>
    <w:p w14:paraId="25FC5714" w14:textId="2FBD4276" w:rsidR="00774198" w:rsidRDefault="00774198" w:rsidP="00DF0C87">
      <w:r>
        <w:t xml:space="preserve">Multiplying through and grouping like terms </w:t>
      </w:r>
      <w:r w:rsidR="00AA6397">
        <w:t>produces</w:t>
      </w:r>
    </w:p>
    <w:p w14:paraId="69B73CA3" w14:textId="60B0E202" w:rsidR="004F6FB3" w:rsidRDefault="004F6FB3" w:rsidP="00DF0C87">
      <w:pPr>
        <w:pStyle w:val="numberedeqnstyle"/>
      </w:pPr>
      <w:r w:rsidRPr="00A025AE">
        <w:tab/>
      </w:r>
      <w:r w:rsidRPr="00774198">
        <w:rPr>
          <w:position w:val="-34"/>
        </w:rPr>
        <w:object w:dxaOrig="4580" w:dyaOrig="880" w14:anchorId="63B638E0">
          <v:shape id="_x0000_i1077" type="#_x0000_t75" style="width:229.95pt;height:44.05pt" o:ole="">
            <v:imagedata r:id="rId125" o:title=""/>
          </v:shape>
          <o:OLEObject Type="Embed" ProgID="Equation.3" ShapeID="_x0000_i1077" DrawAspect="Content" ObjectID="_1457171729" r:id="rId126"/>
        </w:object>
      </w:r>
      <w:r>
        <w:tab/>
      </w:r>
      <w:r>
        <w:fldChar w:fldCharType="begin"/>
      </w:r>
      <w:r>
        <w:instrText xml:space="preserve"> LISTNUM EQN \l 2 </w:instrText>
      </w:r>
      <w:r>
        <w:fldChar w:fldCharType="end"/>
      </w:r>
      <w:r>
        <w:t>)</w:t>
      </w:r>
    </w:p>
    <w:p w14:paraId="033CF7B9" w14:textId="1C83267D" w:rsidR="00774198" w:rsidRDefault="000C4EF3" w:rsidP="00610C01">
      <w:pPr>
        <w:ind w:firstLine="0"/>
      </w:pPr>
      <w:r>
        <w:t>which reduces to</w:t>
      </w:r>
    </w:p>
    <w:p w14:paraId="7DC89441" w14:textId="7591FCA2" w:rsidR="004F6FB3" w:rsidRDefault="004F6FB3" w:rsidP="00DF0C87">
      <w:pPr>
        <w:pStyle w:val="numberedeqnstyle"/>
      </w:pPr>
      <w:r w:rsidRPr="00A025AE">
        <w:tab/>
      </w:r>
      <w:r w:rsidRPr="000C4EF3">
        <w:rPr>
          <w:position w:val="-30"/>
        </w:rPr>
        <w:object w:dxaOrig="2340" w:dyaOrig="700" w14:anchorId="66080F84">
          <v:shape id="_x0000_i1078" type="#_x0000_t75" style="width:115pt;height:36.55pt" o:ole="">
            <v:imagedata r:id="rId127" o:title=""/>
          </v:shape>
          <o:OLEObject Type="Embed" ProgID="Equation.3" ShapeID="_x0000_i1078" DrawAspect="Content" ObjectID="_1457171730" r:id="rId128"/>
        </w:object>
      </w:r>
      <w:r w:rsidR="006B236E">
        <w:t>.</w:t>
      </w:r>
      <w:r>
        <w:tab/>
      </w:r>
      <w:r>
        <w:fldChar w:fldCharType="begin"/>
      </w:r>
      <w:r>
        <w:instrText xml:space="preserve"> LISTNUM EQN \l 2 </w:instrText>
      </w:r>
      <w:r>
        <w:fldChar w:fldCharType="end"/>
      </w:r>
      <w:r>
        <w:t>)</w:t>
      </w:r>
    </w:p>
    <w:p w14:paraId="46694DA7" w14:textId="7A6022C4" w:rsidR="000C4EF3" w:rsidRDefault="000C4EF3" w:rsidP="00DF0C87">
      <w:r>
        <w:t>Simplifying</w:t>
      </w:r>
      <w:r w:rsidR="006B236E">
        <w:t>:</w:t>
      </w:r>
    </w:p>
    <w:p w14:paraId="10BC859E" w14:textId="23E51ADB" w:rsidR="004F6FB3" w:rsidRDefault="004F6FB3" w:rsidP="00DF0C87">
      <w:pPr>
        <w:pStyle w:val="numberedeqnstyle"/>
      </w:pPr>
      <w:r w:rsidRPr="00A025AE">
        <w:tab/>
      </w:r>
      <w:r w:rsidRPr="000C4EF3">
        <w:rPr>
          <w:position w:val="-30"/>
        </w:rPr>
        <w:object w:dxaOrig="2580" w:dyaOrig="680" w14:anchorId="7E628068">
          <v:shape id="_x0000_i1079" type="#_x0000_t75" style="width:130.05pt;height:36.55pt" o:ole="">
            <v:imagedata r:id="rId129" o:title=""/>
          </v:shape>
          <o:OLEObject Type="Embed" ProgID="Equation.3" ShapeID="_x0000_i1079" DrawAspect="Content" ObjectID="_1457171731" r:id="rId130"/>
        </w:object>
      </w:r>
      <w:r>
        <w:tab/>
      </w:r>
      <w:r>
        <w:fldChar w:fldCharType="begin"/>
      </w:r>
      <w:bookmarkStart w:id="70" w:name="_Ref363561004"/>
      <w:bookmarkEnd w:id="70"/>
      <w:r>
        <w:instrText xml:space="preserve"> LISTNUM EQN \l 2 </w:instrText>
      </w:r>
      <w:r>
        <w:fldChar w:fldCharType="end"/>
      </w:r>
      <w:r>
        <w:t>)</w:t>
      </w:r>
    </w:p>
    <w:p w14:paraId="2E15A615" w14:textId="48E3F5E2" w:rsidR="000C4EF3" w:rsidRDefault="00D73985" w:rsidP="00DF0C87">
      <w:r>
        <w:t xml:space="preserve">With Eqns. </w:t>
      </w:r>
      <w:r>
        <w:fldChar w:fldCharType="begin"/>
      </w:r>
      <w:r>
        <w:instrText xml:space="preserve"> REF _Ref363560844 \n \h </w:instrText>
      </w:r>
      <w:r>
        <w:fldChar w:fldCharType="separate"/>
      </w:r>
      <w:r w:rsidR="001C5EC1">
        <w:t>(3.17</w:t>
      </w:r>
      <w:r>
        <w:fldChar w:fldCharType="end"/>
      </w:r>
      <w:r>
        <w:t xml:space="preserve">), </w:t>
      </w:r>
      <w:r>
        <w:fldChar w:fldCharType="begin"/>
      </w:r>
      <w:r>
        <w:instrText xml:space="preserve"> REF _Ref363560813 \n \h </w:instrText>
      </w:r>
      <w:r>
        <w:fldChar w:fldCharType="separate"/>
      </w:r>
      <w:r w:rsidR="001C5EC1">
        <w:t>(3.21</w:t>
      </w:r>
      <w:r>
        <w:fldChar w:fldCharType="end"/>
      </w:r>
      <w:r>
        <w:t xml:space="preserve">), and </w:t>
      </w:r>
      <w:r>
        <w:fldChar w:fldCharType="begin"/>
      </w:r>
      <w:r>
        <w:instrText xml:space="preserve"> REF _Ref363561004 \n \h </w:instrText>
      </w:r>
      <w:r>
        <w:fldChar w:fldCharType="separate"/>
      </w:r>
      <w:r w:rsidR="001C5EC1">
        <w:t>(3.27</w:t>
      </w:r>
      <w:r>
        <w:fldChar w:fldCharType="end"/>
      </w:r>
      <w:r w:rsidR="00617055">
        <w:t>)</w:t>
      </w:r>
      <w:r w:rsidR="00D32647">
        <w:t xml:space="preserve"> it is possible to quickly cycle between all three coordinate systems.  The relations for </w:t>
      </w:r>
      <w:r w:rsidR="00D32647">
        <w:rPr>
          <w:i/>
        </w:rPr>
        <w:t>s</w:t>
      </w:r>
      <w:r w:rsidR="00D32647">
        <w:t>(</w:t>
      </w:r>
      <w:r w:rsidR="00D32647">
        <w:rPr>
          <w:i/>
        </w:rPr>
        <w:t>r</w:t>
      </w:r>
      <w:r w:rsidR="00D32647">
        <w:t>)</w:t>
      </w:r>
      <w:r w:rsidR="00387668">
        <w:t>,</w:t>
      </w:r>
      <w:r w:rsidR="00D32647">
        <w:t xml:space="preserve"> </w:t>
      </w:r>
      <w:r w:rsidR="00D32647">
        <w:rPr>
          <w:i/>
        </w:rPr>
        <w:t>r</w:t>
      </w:r>
      <w:r w:rsidR="00D32647">
        <w:t>(</w:t>
      </w:r>
      <w:r w:rsidR="00D32647" w:rsidRPr="00C2285E">
        <w:rPr>
          <w:i/>
        </w:rPr>
        <w:sym w:font="Symbol" w:char="F071"/>
      </w:r>
      <w:r w:rsidR="00D32647">
        <w:t>)</w:t>
      </w:r>
      <w:r w:rsidR="00387668">
        <w:t>,</w:t>
      </w:r>
      <w:r w:rsidR="00D32647">
        <w:t xml:space="preserve"> </w:t>
      </w:r>
      <w:r w:rsidR="00387668">
        <w:t xml:space="preserve">and </w:t>
      </w:r>
      <w:r w:rsidR="00387668">
        <w:rPr>
          <w:i/>
        </w:rPr>
        <w:t>s</w:t>
      </w:r>
      <w:r w:rsidR="00387668">
        <w:t>(</w:t>
      </w:r>
      <w:r w:rsidR="00387668" w:rsidRPr="00C2285E">
        <w:rPr>
          <w:i/>
        </w:rPr>
        <w:sym w:font="Symbol" w:char="F071"/>
      </w:r>
      <w:r w:rsidR="00387668">
        <w:t xml:space="preserve">) </w:t>
      </w:r>
      <w:r w:rsidR="00D32647">
        <w:t xml:space="preserve">can </w:t>
      </w:r>
      <w:r w:rsidR="00387668">
        <w:t xml:space="preserve">all </w:t>
      </w:r>
      <w:r w:rsidR="00D32647">
        <w:t>rea</w:t>
      </w:r>
      <w:r w:rsidR="00387668">
        <w:t xml:space="preserve">dily be solved in reverse, allowing for quick conversions between any of the three primary involute coordinates.  </w:t>
      </w:r>
    </w:p>
    <w:p w14:paraId="5EF6F537" w14:textId="30BC761E" w:rsidR="00AA380C" w:rsidRDefault="006C40B0" w:rsidP="00DF0C87">
      <w:r>
        <w:t>The final alteration to the basic involute equation that is required in order to recreate specific HFIR fuel configurations is the out-of-plane alteration for invo</w:t>
      </w:r>
      <w:r w:rsidR="00293F73">
        <w:t xml:space="preserve">lute curves with an axial </w:t>
      </w:r>
      <w:r w:rsidR="00387668">
        <w:t>component</w:t>
      </w:r>
      <w:r>
        <w:t xml:space="preserve">.  </w:t>
      </w:r>
      <w:r w:rsidR="00D85521">
        <w:t>The basic involute curve</w:t>
      </w:r>
      <w:r w:rsidR="00252729">
        <w:t>, referred to</w:t>
      </w:r>
      <w:r w:rsidR="00387668">
        <w:t xml:space="preserve"> </w:t>
      </w:r>
      <w:r w:rsidR="006B236E">
        <w:t>in this context</w:t>
      </w:r>
      <w:r w:rsidR="00252729">
        <w:t xml:space="preserve"> as the in-plane involute,</w:t>
      </w:r>
      <w:r w:rsidR="00F62D7A">
        <w:t xml:space="preserve"> </w:t>
      </w:r>
      <w:r w:rsidR="00D85521">
        <w:t>and all of its alterations presented thus far</w:t>
      </w:r>
      <w:r w:rsidR="00293F73">
        <w:t>,</w:t>
      </w:r>
      <w:r w:rsidR="00D85521">
        <w:t xml:space="preserve"> exist</w:t>
      </w:r>
      <w:r w:rsidR="00647106">
        <w:t>s</w:t>
      </w:r>
      <w:r w:rsidR="00D85521">
        <w:t xml:space="preserve"> solely in a two-dimensional radial plane that is perpendicular to the axis of the core.</w:t>
      </w:r>
      <w:r w:rsidR="00152438">
        <w:t xml:space="preserve">  </w:t>
      </w:r>
      <w:r w:rsidR="00DC2B8B">
        <w:t>The question arises</w:t>
      </w:r>
      <w:r w:rsidR="00B778EC">
        <w:t xml:space="preserve"> of how </w:t>
      </w:r>
      <w:r w:rsidR="00AA380C">
        <w:t>to most appropriately</w:t>
      </w:r>
      <w:r w:rsidR="00B778EC">
        <w:t xml:space="preserve"> extend the involute into the </w:t>
      </w:r>
      <w:r w:rsidR="00F62D7A">
        <w:t>axial</w:t>
      </w:r>
      <w:r w:rsidR="00B778EC">
        <w:t xml:space="preserve"> dimension</w:t>
      </w:r>
      <w:r w:rsidR="00F62D7A">
        <w:t xml:space="preserve"> to create an out-of-plane involute</w:t>
      </w:r>
      <w:r w:rsidR="00B778EC">
        <w:t>.</w:t>
      </w:r>
      <w:r w:rsidR="00F62D7A">
        <w:t xml:space="preserve">  There are many choices</w:t>
      </w:r>
      <w:r w:rsidR="00B778EC">
        <w:t xml:space="preserve"> </w:t>
      </w:r>
      <w:r w:rsidR="00F62D7A">
        <w:t xml:space="preserve">in how </w:t>
      </w:r>
      <w:r w:rsidR="00B778EC">
        <w:t>to defi</w:t>
      </w:r>
      <w:r w:rsidR="00F62D7A">
        <w:t>ne the out-of-plane</w:t>
      </w:r>
      <w:r w:rsidR="00B778EC">
        <w:t xml:space="preserve"> involute’s axial position.  Primarily, one could define the axial position as a function of </w:t>
      </w:r>
      <w:r w:rsidR="00B778EC">
        <w:rPr>
          <w:i/>
        </w:rPr>
        <w:t>θ</w:t>
      </w:r>
      <w:r w:rsidR="00B778EC">
        <w:t xml:space="preserve">, </w:t>
      </w:r>
      <w:r w:rsidR="00B778EC">
        <w:rPr>
          <w:i/>
        </w:rPr>
        <w:t>r</w:t>
      </w:r>
      <w:r w:rsidR="00B778EC">
        <w:t xml:space="preserve">, or </w:t>
      </w:r>
      <w:r w:rsidR="00B778EC">
        <w:rPr>
          <w:i/>
        </w:rPr>
        <w:t>s</w:t>
      </w:r>
      <w:r w:rsidR="00B778EC">
        <w:t xml:space="preserve">.  One could also envision the </w:t>
      </w:r>
      <w:r w:rsidR="00F62D7A">
        <w:t>out-</w:t>
      </w:r>
      <w:r w:rsidR="00F62D7A">
        <w:lastRenderedPageBreak/>
        <w:t>of-plane</w:t>
      </w:r>
      <w:r w:rsidR="00B778EC">
        <w:t xml:space="preserve"> involute as the hypotenuse of an involute triangle with </w:t>
      </w:r>
      <w:r w:rsidR="00F62D7A">
        <w:t>the in-plane</w:t>
      </w:r>
      <w:r w:rsidR="00B778EC">
        <w:t xml:space="preserve"> involute and the axial line connecting their two ends completing the perimeter of the triangle.</w:t>
      </w:r>
    </w:p>
    <w:p w14:paraId="51C60CC2" w14:textId="490C2C2C" w:rsidR="00B778EC" w:rsidRDefault="00AA380C" w:rsidP="00DF0C87">
      <w:r>
        <w:t xml:space="preserve">The </w:t>
      </w:r>
      <w:r w:rsidR="006B236E">
        <w:t xml:space="preserve">most physically appropriate </w:t>
      </w:r>
      <w:r>
        <w:t xml:space="preserve">answer </w:t>
      </w:r>
      <w:r w:rsidR="00DC2B8B">
        <w:t xml:space="preserve">to this question </w:t>
      </w:r>
      <w:r>
        <w:t>comes</w:t>
      </w:r>
      <w:r w:rsidR="00B778EC">
        <w:t xml:space="preserve"> </w:t>
      </w:r>
      <w:r w:rsidR="00466F61">
        <w:t>from the fabrication process used to create the plates.  The fuel plates are assembled, aluminum cladding and enriched uranium fuel powder, in a flat, rectangular geometry.  The involute curve is introduced by pressing the flattene</w:t>
      </w:r>
      <w:r w:rsidR="00617055">
        <w:t>d assembly against an involute mold</w:t>
      </w:r>
      <w:r w:rsidR="00466F61">
        <w:t xml:space="preserve">.  In </w:t>
      </w:r>
      <w:r w:rsidR="00DC2B8B">
        <w:t>envisioning</w:t>
      </w:r>
      <w:r w:rsidR="00466F61">
        <w:t xml:space="preserve"> this process, it is easy to </w:t>
      </w:r>
      <w:r w:rsidR="00DC2B8B">
        <w:t>understand</w:t>
      </w:r>
      <w:r w:rsidR="00466F61">
        <w:t xml:space="preserve"> that the fuel plate is be</w:t>
      </w:r>
      <w:r w:rsidR="00DC2B8B">
        <w:t>nt as a function of arc length</w:t>
      </w:r>
      <w:r w:rsidR="00617055">
        <w:t xml:space="preserve"> along the in-plane involute curve</w:t>
      </w:r>
      <w:r w:rsidR="00466F61">
        <w:t xml:space="preserve">.  </w:t>
      </w:r>
      <w:r w:rsidR="00C06E15">
        <w:t xml:space="preserve">In the same way, the extension of the involute curve into the axial direction should be a function of arc length </w:t>
      </w:r>
      <w:r w:rsidR="00F62D7A">
        <w:t xml:space="preserve">in order </w:t>
      </w:r>
      <w:r w:rsidR="00C06E15">
        <w:t xml:space="preserve">to realistically approximate the effects of </w:t>
      </w:r>
      <w:r w:rsidR="00F62D7A">
        <w:t>this</w:t>
      </w:r>
      <w:r w:rsidR="00DC2B8B">
        <w:t xml:space="preserve"> real-world</w:t>
      </w:r>
      <w:r w:rsidR="00C06E15">
        <w:t xml:space="preserve"> warping</w:t>
      </w:r>
      <w:r w:rsidR="00F62D7A">
        <w:t xml:space="preserve"> process</w:t>
      </w:r>
      <w:r w:rsidR="00C06E15">
        <w:t>.</w:t>
      </w:r>
      <w:r w:rsidR="00466F61">
        <w:t xml:space="preserve"> </w:t>
      </w:r>
    </w:p>
    <w:p w14:paraId="0D7133DE" w14:textId="734A0735" w:rsidR="000D76AE" w:rsidRPr="002A24E1" w:rsidRDefault="002A24E1" w:rsidP="00DF0C87">
      <w:r>
        <w:t>The introduction</w:t>
      </w:r>
      <w:r w:rsidR="009B62FE">
        <w:t xml:space="preserve"> </w:t>
      </w:r>
      <w:r>
        <w:t xml:space="preserve">of </w:t>
      </w:r>
      <w:r w:rsidR="009B62FE">
        <w:t>an axial component into an involute curve</w:t>
      </w:r>
      <w:r w:rsidR="00FB345D">
        <w:t xml:space="preserve"> in this manner</w:t>
      </w:r>
      <w:r w:rsidR="009B62FE">
        <w:t xml:space="preserve"> turns out </w:t>
      </w:r>
      <w:r w:rsidR="008B58AD">
        <w:t>to be fairly simple.</w:t>
      </w:r>
      <w:r w:rsidR="00A40D20">
        <w:t xml:space="preserve">  </w:t>
      </w:r>
      <w:r w:rsidR="00D73985">
        <w:t>Consider</w:t>
      </w:r>
      <w:r w:rsidR="00267E2F">
        <w:t xml:space="preserve"> again</w:t>
      </w:r>
      <w:r w:rsidR="00D73985">
        <w:t xml:space="preserve"> Eqns. </w:t>
      </w:r>
      <w:r w:rsidR="00D73985">
        <w:fldChar w:fldCharType="begin"/>
      </w:r>
      <w:r w:rsidR="00D73985">
        <w:instrText xml:space="preserve"> REF _Ref363560060 \n \h </w:instrText>
      </w:r>
      <w:r w:rsidR="00D73985">
        <w:fldChar w:fldCharType="separate"/>
      </w:r>
      <w:r w:rsidR="001C5EC1">
        <w:t>(3.4</w:t>
      </w:r>
      <w:r w:rsidR="00D73985">
        <w:fldChar w:fldCharType="end"/>
      </w:r>
      <w:r w:rsidR="00D73985">
        <w:t xml:space="preserve">) and </w:t>
      </w:r>
      <w:r w:rsidR="00D73985">
        <w:fldChar w:fldCharType="begin"/>
      </w:r>
      <w:r w:rsidR="00D73985">
        <w:instrText xml:space="preserve"> REF _Ref363559673 \n \h </w:instrText>
      </w:r>
      <w:r w:rsidR="00D73985">
        <w:fldChar w:fldCharType="separate"/>
      </w:r>
      <w:r w:rsidR="001C5EC1">
        <w:t>(3.7</w:t>
      </w:r>
      <w:r w:rsidR="00D73985">
        <w:fldChar w:fldCharType="end"/>
      </w:r>
      <w:r>
        <w:t>)</w:t>
      </w:r>
      <w:r w:rsidR="00267E2F">
        <w:t>. Let them</w:t>
      </w:r>
      <w:r>
        <w:t xml:space="preserve"> represent a generic </w:t>
      </w:r>
      <w:r w:rsidR="00CB383B">
        <w:t>in-plane</w:t>
      </w:r>
      <w:r w:rsidR="00267E2F">
        <w:t xml:space="preserve"> involute curve</w:t>
      </w:r>
      <w:r>
        <w:t xml:space="preserve">.  A third equation to represent the curve’s axial position as a function of the variable </w:t>
      </w:r>
      <w:r>
        <w:rPr>
          <w:i/>
        </w:rPr>
        <w:t>θ</w:t>
      </w:r>
      <w:r>
        <w:t xml:space="preserve"> must be added to this set.</w:t>
      </w:r>
      <w:r w:rsidR="00E14CD1">
        <w:t xml:space="preserve"> </w:t>
      </w:r>
      <w:r w:rsidR="000D76AE">
        <w:t xml:space="preserve"> The new parametric set</w:t>
      </w:r>
      <w:r w:rsidR="00267E2F">
        <w:t xml:space="preserve"> then</w:t>
      </w:r>
      <w:r w:rsidR="000D76AE">
        <w:t xml:space="preserve"> becomes</w:t>
      </w:r>
      <w:r w:rsidR="00041FE9">
        <w:t xml:space="preserve"> Eqn</w:t>
      </w:r>
      <w:r w:rsidR="00802E28">
        <w:t>s</w:t>
      </w:r>
      <w:r w:rsidR="00041FE9">
        <w:t xml:space="preserve">. </w:t>
      </w:r>
      <w:r w:rsidR="00041FE9">
        <w:fldChar w:fldCharType="begin"/>
      </w:r>
      <w:r w:rsidR="00041FE9">
        <w:instrText xml:space="preserve"> REF _Ref363560060 \n \h </w:instrText>
      </w:r>
      <w:r w:rsidR="00041FE9">
        <w:fldChar w:fldCharType="separate"/>
      </w:r>
      <w:r w:rsidR="001C5EC1">
        <w:t>(3.4</w:t>
      </w:r>
      <w:r w:rsidR="00041FE9">
        <w:fldChar w:fldCharType="end"/>
      </w:r>
      <w:r w:rsidR="00041FE9">
        <w:t xml:space="preserve">), </w:t>
      </w:r>
      <w:r w:rsidR="00041FE9">
        <w:fldChar w:fldCharType="begin"/>
      </w:r>
      <w:r w:rsidR="00041FE9">
        <w:instrText xml:space="preserve"> REF _Ref363559673 \n \h </w:instrText>
      </w:r>
      <w:r w:rsidR="00041FE9">
        <w:fldChar w:fldCharType="separate"/>
      </w:r>
      <w:r w:rsidR="001C5EC1">
        <w:t>(3.7</w:t>
      </w:r>
      <w:r w:rsidR="00041FE9">
        <w:fldChar w:fldCharType="end"/>
      </w:r>
      <w:r w:rsidR="00041FE9">
        <w:t xml:space="preserve">), and </w:t>
      </w:r>
    </w:p>
    <w:p w14:paraId="34F70CDC" w14:textId="2FFE96B9" w:rsidR="00A40D20" w:rsidRDefault="00D73985" w:rsidP="00DF0C87">
      <w:pPr>
        <w:pStyle w:val="numberedeqnstyle"/>
      </w:pPr>
      <w:r w:rsidRPr="00A025AE">
        <w:tab/>
      </w:r>
      <w:r w:rsidR="00B332A3" w:rsidRPr="00325D0B">
        <w:rPr>
          <w:position w:val="-30"/>
        </w:rPr>
        <w:object w:dxaOrig="2439" w:dyaOrig="680" w14:anchorId="7914D057">
          <v:shape id="_x0000_i1080" type="#_x0000_t75" style="width:121.95pt;height:36.55pt" o:ole="">
            <v:imagedata r:id="rId131" o:title=""/>
          </v:shape>
          <o:OLEObject Type="Embed" ProgID="Equation.3" ShapeID="_x0000_i1080" DrawAspect="Content" ObjectID="_1457171732" r:id="rId132"/>
        </w:object>
      </w:r>
      <w:r>
        <w:tab/>
      </w:r>
      <w:r>
        <w:fldChar w:fldCharType="begin"/>
      </w:r>
      <w:r>
        <w:instrText xml:space="preserve"> LISTNUM EQN \l 2 </w:instrText>
      </w:r>
      <w:r>
        <w:fldChar w:fldCharType="end"/>
      </w:r>
      <w:r>
        <w:t>)</w:t>
      </w:r>
    </w:p>
    <w:p w14:paraId="25F8417C" w14:textId="1087B487" w:rsidR="00A2494A" w:rsidRDefault="00325D0B" w:rsidP="00610C01">
      <w:pPr>
        <w:ind w:firstLine="0"/>
      </w:pPr>
      <w:r>
        <w:t xml:space="preserve">where </w:t>
      </w:r>
      <w:r>
        <w:rPr>
          <w:i/>
        </w:rPr>
        <w:t>s</w:t>
      </w:r>
      <w:r>
        <w:rPr>
          <w:i/>
        </w:rPr>
        <w:softHyphen/>
      </w:r>
      <w:r>
        <w:t>(</w:t>
      </w:r>
      <w:r>
        <w:rPr>
          <w:i/>
        </w:rPr>
        <w:t>θ</w:t>
      </w:r>
      <w:r>
        <w:t xml:space="preserve">) is given by Eqn. </w:t>
      </w:r>
      <w:r w:rsidR="009B6B4D">
        <w:fldChar w:fldCharType="begin"/>
      </w:r>
      <w:r w:rsidR="009B6B4D">
        <w:instrText xml:space="preserve"> REF _Ref363560844 \n \h </w:instrText>
      </w:r>
      <w:r w:rsidR="009B6B4D">
        <w:fldChar w:fldCharType="separate"/>
      </w:r>
      <w:r w:rsidR="001C5EC1">
        <w:t>(3.17</w:t>
      </w:r>
      <w:r w:rsidR="009B6B4D">
        <w:fldChar w:fldCharType="end"/>
      </w:r>
      <w:r>
        <w:t>).</w:t>
      </w:r>
      <w:r w:rsidR="00396F3C">
        <w:t xml:space="preserve">  The resultant out-of-plane involute curve</w:t>
      </w:r>
      <w:r w:rsidR="00B972F2">
        <w:t xml:space="preserve"> that this produces is shown in Fig. </w:t>
      </w:r>
      <w:r w:rsidR="00396F3C">
        <w:fldChar w:fldCharType="begin"/>
      </w:r>
      <w:r w:rsidR="00396F3C">
        <w:instrText xml:space="preserve"> REF _Ref363566878 \n \h </w:instrText>
      </w:r>
      <w:r w:rsidR="00396F3C">
        <w:fldChar w:fldCharType="separate"/>
      </w:r>
      <w:r w:rsidR="001C5EC1">
        <w:t>3.9</w:t>
      </w:r>
      <w:r w:rsidR="00396F3C">
        <w:fldChar w:fldCharType="end"/>
      </w:r>
      <w:r w:rsidR="004B0B8A">
        <w:t>.</w:t>
      </w:r>
    </w:p>
    <w:p w14:paraId="34C2FE3C" w14:textId="1F910EB0" w:rsidR="0070691C" w:rsidRDefault="00A61052" w:rsidP="003E0C5E">
      <w:pPr>
        <w:pStyle w:val="PictureSytel"/>
      </w:pPr>
      <w:r>
        <w:rPr>
          <w:noProof/>
        </w:rPr>
        <w:lastRenderedPageBreak/>
        <w:drawing>
          <wp:inline distT="0" distB="0" distL="0" distR="0" wp14:anchorId="2E1BFEE9" wp14:editId="6D894300">
            <wp:extent cx="5029230" cy="3123590"/>
            <wp:effectExtent l="19050" t="19050" r="19050" b="196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C:\Users\atk\Desktop\THESIS\Axial Involute Fig.png"/>
                    <pic:cNvPicPr>
                      <a:picLocks noChangeAspect="1" noChangeArrowheads="1"/>
                    </pic:cNvPicPr>
                  </pic:nvPicPr>
                  <pic:blipFill rotWithShape="1">
                    <a:blip r:embed="rId133">
                      <a:extLst>
                        <a:ext uri="{28A0092B-C50C-407E-A947-70E740481C1C}">
                          <a14:useLocalDpi xmlns:a14="http://schemas.microsoft.com/office/drawing/2010/main" val="0"/>
                        </a:ext>
                      </a:extLst>
                    </a:blip>
                    <a:srcRect l="6934" t="2228" r="3522" b="4456"/>
                    <a:stretch/>
                  </pic:blipFill>
                  <pic:spPr bwMode="auto">
                    <a:xfrm>
                      <a:off x="0" y="0"/>
                      <a:ext cx="5045039" cy="3133409"/>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D16B779" w14:textId="282FEBB0" w:rsidR="00A61052" w:rsidRPr="004670CB" w:rsidRDefault="00A61052" w:rsidP="00CC0DFD">
      <w:pPr>
        <w:pStyle w:val="FigTitleStyle"/>
      </w:pPr>
      <w:bookmarkStart w:id="71" w:name="_Toc380156099"/>
      <w:bookmarkStart w:id="72" w:name="_Toc380157645"/>
      <w:bookmarkStart w:id="73" w:name="_Toc382920250"/>
      <w:r>
        <w:t xml:space="preserve">Fig. </w:t>
      </w:r>
      <w:r>
        <w:fldChar w:fldCharType="begin"/>
      </w:r>
      <w:bookmarkStart w:id="74" w:name="_Ref363566878"/>
      <w:bookmarkEnd w:id="74"/>
      <w:r>
        <w:instrText xml:space="preserve"> LISTNUM FIG \l 2 </w:instrText>
      </w:r>
      <w:r>
        <w:fldChar w:fldCharType="end"/>
      </w:r>
      <w:r>
        <w:t>.</w:t>
      </w:r>
      <w:r w:rsidR="00EA25AD">
        <w:t xml:space="preserve">  </w:t>
      </w:r>
      <w:r w:rsidR="00FB3771">
        <w:t>Out-of-Plane Involute Curve.</w:t>
      </w:r>
      <w:r w:rsidR="004670CB">
        <w:t xml:space="preserve">  </w:t>
      </w:r>
      <w:r w:rsidR="004670CB" w:rsidRPr="00610C01">
        <w:rPr>
          <w:b w:val="0"/>
        </w:rPr>
        <w:t xml:space="preserve">The </w:t>
      </w:r>
      <w:r w:rsidR="004670CB" w:rsidRPr="00610C01">
        <w:rPr>
          <w:b w:val="0"/>
          <w:i/>
        </w:rPr>
        <w:t>z</w:t>
      </w:r>
      <w:r w:rsidR="004670CB" w:rsidRPr="00610C01">
        <w:rPr>
          <w:b w:val="0"/>
        </w:rPr>
        <w:t>-direction denotes the direction of the axis</w:t>
      </w:r>
      <w:r w:rsidR="00971703" w:rsidRPr="00610C01">
        <w:rPr>
          <w:b w:val="0"/>
        </w:rPr>
        <w:t>.  A surface is added</w:t>
      </w:r>
      <w:r w:rsidR="004670CB" w:rsidRPr="00610C01">
        <w:rPr>
          <w:b w:val="0"/>
        </w:rPr>
        <w:t xml:space="preserve"> between the two lines to better illustrate their relation</w:t>
      </w:r>
      <w:r w:rsidR="00971703" w:rsidRPr="00610C01">
        <w:rPr>
          <w:b w:val="0"/>
        </w:rPr>
        <w:t>ship</w:t>
      </w:r>
      <w:r w:rsidR="004670CB" w:rsidRPr="00610C01">
        <w:rPr>
          <w:b w:val="0"/>
        </w:rPr>
        <w:t xml:space="preserve"> in three-dimensional space.  </w:t>
      </w:r>
      <w:r w:rsidR="0068521A" w:rsidRPr="00610C01">
        <w:rPr>
          <w:b w:val="0"/>
        </w:rPr>
        <w:t xml:space="preserve">As viewed down the axis, the out-of-plane involute curve </w:t>
      </w:r>
      <w:r w:rsidR="00C32789" w:rsidRPr="00610C01">
        <w:rPr>
          <w:b w:val="0"/>
        </w:rPr>
        <w:t xml:space="preserve">has the same footprint as </w:t>
      </w:r>
      <w:r w:rsidR="00C701D0" w:rsidRPr="00610C01">
        <w:rPr>
          <w:b w:val="0"/>
        </w:rPr>
        <w:t>its</w:t>
      </w:r>
      <w:r w:rsidR="00C32789" w:rsidRPr="00610C01">
        <w:rPr>
          <w:b w:val="0"/>
        </w:rPr>
        <w:t xml:space="preserve"> in-plane involute</w:t>
      </w:r>
      <w:r w:rsidR="0068521A" w:rsidRPr="00610C01">
        <w:rPr>
          <w:b w:val="0"/>
        </w:rPr>
        <w:t>.</w:t>
      </w:r>
      <w:bookmarkEnd w:id="71"/>
      <w:bookmarkEnd w:id="72"/>
      <w:bookmarkEnd w:id="73"/>
      <w:r w:rsidR="0068521A" w:rsidRPr="00610C01">
        <w:rPr>
          <w:b w:val="0"/>
        </w:rPr>
        <w:t xml:space="preserve">  </w:t>
      </w:r>
    </w:p>
    <w:p w14:paraId="2DD72042" w14:textId="18D5202A" w:rsidR="00D8147A" w:rsidRDefault="00986EB2" w:rsidP="00DF0C87">
      <w:pPr>
        <w:pStyle w:val="Heading2"/>
      </w:pPr>
      <w:r>
        <w:fldChar w:fldCharType="begin"/>
      </w:r>
      <w:r>
        <w:instrText xml:space="preserve"> LISTNUM CHAP </w:instrText>
      </w:r>
      <w:bookmarkStart w:id="75" w:name="_Toc382921539"/>
      <w:r>
        <w:fldChar w:fldCharType="end"/>
      </w:r>
      <w:r>
        <w:t xml:space="preserve">    Geometry Creation</w:t>
      </w:r>
      <w:bookmarkEnd w:id="75"/>
    </w:p>
    <w:p w14:paraId="4C1A4A9C" w14:textId="57BA434A" w:rsidR="00BC26FB" w:rsidRPr="00BC26FB" w:rsidRDefault="00BC26FB" w:rsidP="00DF0C87">
      <w:r>
        <w:t xml:space="preserve">For the purposes of this thesis, only inner element geometries will be considered.  </w:t>
      </w:r>
      <w:r w:rsidR="000E171E">
        <w:t>The most basic involute geometry in the core is that of the aluminum fuel plate.</w:t>
      </w:r>
      <w:r>
        <w:t xml:space="preserve">  Its basic dimensions are shown in Fig. </w:t>
      </w:r>
      <w:r>
        <w:fldChar w:fldCharType="begin"/>
      </w:r>
      <w:r>
        <w:instrText xml:space="preserve"> REF _Ref368556287 \n \h </w:instrText>
      </w:r>
      <w:r>
        <w:fldChar w:fldCharType="separate"/>
      </w:r>
      <w:r w:rsidR="001C5EC1">
        <w:t>3.10</w:t>
      </w:r>
      <w:r>
        <w:fldChar w:fldCharType="end"/>
      </w:r>
      <w:r>
        <w:t>.</w:t>
      </w:r>
      <w:r w:rsidR="00420101">
        <w:t xml:space="preserve">  The fuel plate’s </w:t>
      </w:r>
      <w:r w:rsidR="00A67C3C">
        <w:t>primary</w:t>
      </w:r>
      <w:r w:rsidR="00420101">
        <w:t xml:space="preserve"> distinguishing features are a rounded leading edge and a chamfered inner corner.  Given that this second feature is obscured from the coolant channel during operation, however, it can be removed from the CAD construction.  In models in which the side plates are included for the purpose of analyzing heat transfer</w:t>
      </w:r>
      <w:r w:rsidR="00A67C3C">
        <w:t xml:space="preserve"> into them</w:t>
      </w:r>
      <w:r w:rsidR="00420101">
        <w:t xml:space="preserve"> from the </w:t>
      </w:r>
      <w:r w:rsidR="00A67C3C">
        <w:t>coolant and fuel plate</w:t>
      </w:r>
      <w:r w:rsidR="00420101">
        <w:t xml:space="preserve">, the fuel plate itself is cut off at this overlap boundary.  Anything beyond this line is assumed to be side plate—a trivial distinction given the uniformity of material used to construct both the fuel plates and the side plates.   </w:t>
      </w:r>
    </w:p>
    <w:p w14:paraId="35DE2E44" w14:textId="349D300D" w:rsidR="00BC26FB" w:rsidRDefault="00783CD4" w:rsidP="003E0C5E">
      <w:pPr>
        <w:pStyle w:val="PictureSytel"/>
      </w:pPr>
      <w:r>
        <w:rPr>
          <w:noProof/>
        </w:rPr>
        <w:lastRenderedPageBreak/>
        <w:drawing>
          <wp:inline distT="0" distB="0" distL="0" distR="0" wp14:anchorId="0D492B55" wp14:editId="31775601">
            <wp:extent cx="5013030" cy="1757239"/>
            <wp:effectExtent l="19050" t="19050" r="16510" b="146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U IFE Dimensions.png"/>
                    <pic:cNvPicPr/>
                  </pic:nvPicPr>
                  <pic:blipFill>
                    <a:blip r:embed="rId134">
                      <a:extLst>
                        <a:ext uri="{28A0092B-C50C-407E-A947-70E740481C1C}">
                          <a14:useLocalDpi xmlns:a14="http://schemas.microsoft.com/office/drawing/2010/main" val="0"/>
                        </a:ext>
                      </a:extLst>
                    </a:blip>
                    <a:stretch>
                      <a:fillRect/>
                    </a:stretch>
                  </pic:blipFill>
                  <pic:spPr>
                    <a:xfrm>
                      <a:off x="0" y="0"/>
                      <a:ext cx="5023342" cy="1760854"/>
                    </a:xfrm>
                    <a:prstGeom prst="rect">
                      <a:avLst/>
                    </a:prstGeom>
                    <a:ln>
                      <a:solidFill>
                        <a:schemeClr val="tx1"/>
                      </a:solidFill>
                    </a:ln>
                  </pic:spPr>
                </pic:pic>
              </a:graphicData>
            </a:graphic>
          </wp:inline>
        </w:drawing>
      </w:r>
    </w:p>
    <w:p w14:paraId="49314184" w14:textId="142EF9B6" w:rsidR="00086F9B" w:rsidRDefault="00BC26FB" w:rsidP="00DF0C87">
      <w:pPr>
        <w:pStyle w:val="FigTitleStyle"/>
      </w:pPr>
      <w:bookmarkStart w:id="76" w:name="_Toc380156100"/>
      <w:bookmarkStart w:id="77" w:name="_Toc380157646"/>
      <w:bookmarkStart w:id="78" w:name="_Toc382920251"/>
      <w:r>
        <w:t xml:space="preserve">Fig. </w:t>
      </w:r>
      <w:r>
        <w:fldChar w:fldCharType="begin"/>
      </w:r>
      <w:bookmarkStart w:id="79" w:name="_Ref368556287"/>
      <w:bookmarkEnd w:id="79"/>
      <w:r>
        <w:instrText xml:space="preserve"> LISTNUM FIG \l 2 </w:instrText>
      </w:r>
      <w:r>
        <w:fldChar w:fldCharType="end"/>
      </w:r>
      <w:r>
        <w:t xml:space="preserve">.  </w:t>
      </w:r>
      <w:r w:rsidRPr="00783CD4">
        <w:t>Inner Element Fuel Plate Dimensions.</w:t>
      </w:r>
      <w:bookmarkEnd w:id="76"/>
      <w:bookmarkEnd w:id="77"/>
      <w:bookmarkEnd w:id="78"/>
      <w:r>
        <w:t xml:space="preserve">  </w:t>
      </w:r>
    </w:p>
    <w:p w14:paraId="1137E607" w14:textId="6DBD089B" w:rsidR="00521D5A" w:rsidRDefault="003D47BD" w:rsidP="00DF0C87">
      <w:r>
        <w:t xml:space="preserve">In </w:t>
      </w:r>
      <w:r w:rsidR="0024755A">
        <w:t>considering the “basic</w:t>
      </w:r>
      <w:r>
        <w:t>”</w:t>
      </w:r>
      <w:r w:rsidR="0024755A">
        <w:t xml:space="preserve"> fuel plate,</w:t>
      </w:r>
      <w:r>
        <w:t xml:space="preserve"> one is </w:t>
      </w:r>
      <w:r w:rsidR="006B49C0">
        <w:t>considering only the external</w:t>
      </w:r>
      <w:r>
        <w:t xml:space="preserve"> dimensions.  In actuality, the fuel plate has an internal cavity in which the fuel meat is placed.  Thi</w:t>
      </w:r>
      <w:r w:rsidR="00726A6D">
        <w:t>s cavity can be created</w:t>
      </w:r>
      <w:r>
        <w:t xml:space="preserve"> through a Boolean subtraction of the fuel meat geometry from the solid fuel plate geometry</w:t>
      </w:r>
      <w:r w:rsidR="00726A6D">
        <w:t>, however, rather than through manual CAD construction</w:t>
      </w:r>
      <w:r>
        <w:t>.</w:t>
      </w:r>
      <w:r w:rsidR="00726A6D">
        <w:t xml:space="preserve">  For the fuel meat itself, t</w:t>
      </w:r>
      <w:r w:rsidR="002874A0">
        <w:t>here are three possible geometries</w:t>
      </w:r>
      <w:r w:rsidR="00726A6D">
        <w:t xml:space="preserve">.  The first is the existing HEU fuel meat.  The HEU fuel has a </w:t>
      </w:r>
      <w:r w:rsidR="00170698">
        <w:t>thickness</w:t>
      </w:r>
      <w:r w:rsidR="00726A6D">
        <w:t xml:space="preserve"> that varies as a</w:t>
      </w:r>
      <w:r w:rsidR="00D01296">
        <w:t xml:space="preserve"> smooth</w:t>
      </w:r>
      <w:r w:rsidR="00726A6D">
        <w:t xml:space="preserve"> function of </w:t>
      </w:r>
      <w:r w:rsidR="00D01296">
        <w:rPr>
          <w:i/>
        </w:rPr>
        <w:t>s</w:t>
      </w:r>
      <w:r w:rsidR="009C6CA6">
        <w:t>.</w:t>
      </w:r>
      <w:r w:rsidR="00D01296">
        <w:t xml:space="preserve"> </w:t>
      </w:r>
      <w:r w:rsidR="00726A6D">
        <w:t>Th</w:t>
      </w:r>
      <w:r w:rsidR="00737DD1">
        <w:t>e HEU fuel is axially consistent</w:t>
      </w:r>
      <w:r w:rsidR="00726A6D">
        <w:t xml:space="preserve">, meaning that its profile in the </w:t>
      </w:r>
      <w:r w:rsidR="00726A6D">
        <w:rPr>
          <w:i/>
        </w:rPr>
        <w:t>s</w:t>
      </w:r>
      <w:r w:rsidR="00726A6D">
        <w:t>-</w:t>
      </w:r>
      <w:r w:rsidR="00726A6D">
        <w:rPr>
          <w:i/>
        </w:rPr>
        <w:t>t</w:t>
      </w:r>
      <w:r w:rsidR="00726A6D">
        <w:rPr>
          <w:i/>
        </w:rPr>
        <w:softHyphen/>
        <w:t xml:space="preserve"> </w:t>
      </w:r>
      <w:r w:rsidR="00726A6D">
        <w:t>plan</w:t>
      </w:r>
      <w:r w:rsidR="00D01296">
        <w:t>e remains constant for all</w:t>
      </w:r>
      <w:r w:rsidR="00726A6D">
        <w:t xml:space="preserve"> axial position</w:t>
      </w:r>
      <w:r w:rsidR="00D01296">
        <w:t>s</w:t>
      </w:r>
      <w:r w:rsidR="00726A6D">
        <w:t>.</w:t>
      </w:r>
      <w:r w:rsidR="00D01296">
        <w:t xml:space="preserve">  All of the fuel meats are non-symmetric such that one side forms a datum at </w:t>
      </w:r>
      <w:r w:rsidR="00D01296">
        <w:rPr>
          <w:i/>
        </w:rPr>
        <w:t>t</w:t>
      </w:r>
      <w:r w:rsidR="00D01296">
        <w:t xml:space="preserve">=0.  The contour of the other side thus varies directly with the thickness of the fuel </w:t>
      </w:r>
      <w:r w:rsidR="00521D5A">
        <w:t>meat.  The HEU fuel meat thickness profile</w:t>
      </w:r>
      <w:r w:rsidR="00554426">
        <w:t xml:space="preserve"> is shown in Fig. </w:t>
      </w:r>
      <w:r w:rsidR="00554426">
        <w:fldChar w:fldCharType="begin"/>
      </w:r>
      <w:r w:rsidR="00554426">
        <w:instrText xml:space="preserve"> REF _Ref377058880 \r \h </w:instrText>
      </w:r>
      <w:r w:rsidR="00554426">
        <w:fldChar w:fldCharType="separate"/>
      </w:r>
      <w:r w:rsidR="001C5EC1">
        <w:t>3.11</w:t>
      </w:r>
      <w:r w:rsidR="00554426">
        <w:fldChar w:fldCharType="end"/>
      </w:r>
      <w:r w:rsidR="00D01296">
        <w:t>.</w:t>
      </w:r>
      <w:r w:rsidR="00521D5A">
        <w:t xml:space="preserve">  The profile is shown in linearized form in which the </w:t>
      </w:r>
      <w:r w:rsidR="00521D5A">
        <w:softHyphen/>
      </w:r>
      <w:r w:rsidR="00521D5A">
        <w:rPr>
          <w:i/>
        </w:rPr>
        <w:t xml:space="preserve">s-t </w:t>
      </w:r>
      <w:r w:rsidR="00521D5A">
        <w:t xml:space="preserve">plane has been mapped to an </w:t>
      </w:r>
      <w:r w:rsidR="00521D5A">
        <w:softHyphen/>
      </w:r>
      <w:r w:rsidR="00521D5A">
        <w:rPr>
          <w:i/>
        </w:rPr>
        <w:t>x-y</w:t>
      </w:r>
      <w:r w:rsidR="00521D5A">
        <w:rPr>
          <w:i/>
        </w:rPr>
        <w:softHyphen/>
        <w:t xml:space="preserve"> </w:t>
      </w:r>
      <w:r w:rsidR="00521D5A">
        <w:t xml:space="preserve">Cartesian grid using a </w:t>
      </w:r>
      <w:r w:rsidR="00521D5A" w:rsidRPr="002874A0">
        <w:t>1:1 mapping.</w:t>
      </w:r>
    </w:p>
    <w:p w14:paraId="1A2E1EEC" w14:textId="61706599" w:rsidR="00DA4569" w:rsidRDefault="00726A6D" w:rsidP="003E0C5E">
      <w:pPr>
        <w:pStyle w:val="PlotStyle"/>
      </w:pPr>
      <w:r>
        <w:lastRenderedPageBreak/>
        <w:t xml:space="preserve"> </w:t>
      </w:r>
      <w:r w:rsidR="009C6CA6">
        <w:rPr>
          <w:noProof/>
        </w:rPr>
        <w:drawing>
          <wp:inline distT="0" distB="0" distL="0" distR="0" wp14:anchorId="2FF67700" wp14:editId="17C60C45">
            <wp:extent cx="5025224" cy="2743200"/>
            <wp:effectExtent l="0" t="0" r="23495" b="19050"/>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14:paraId="1E5D96E6" w14:textId="3B58FC57" w:rsidR="00DA4569" w:rsidRPr="002874A0" w:rsidRDefault="00DA4569" w:rsidP="00DF0C87">
      <w:pPr>
        <w:pStyle w:val="FigTitleStyle"/>
        <w:rPr>
          <w:b w:val="0"/>
        </w:rPr>
      </w:pPr>
      <w:bookmarkStart w:id="80" w:name="_Toc380156101"/>
      <w:bookmarkStart w:id="81" w:name="_Toc380157647"/>
      <w:bookmarkStart w:id="82" w:name="_Toc382920252"/>
      <w:r w:rsidRPr="00DA4569">
        <w:t xml:space="preserve">Fig. </w:t>
      </w:r>
      <w:r w:rsidRPr="00DA4569">
        <w:fldChar w:fldCharType="begin"/>
      </w:r>
      <w:bookmarkStart w:id="83" w:name="_Ref377058880"/>
      <w:bookmarkEnd w:id="83"/>
      <w:r w:rsidRPr="00DA4569">
        <w:instrText xml:space="preserve"> LISTNUM FIG \l 2 </w:instrText>
      </w:r>
      <w:r w:rsidRPr="00DA4569">
        <w:fldChar w:fldCharType="end"/>
      </w:r>
      <w:r w:rsidR="00521D5A">
        <w:t>.  Linearized HEU Fuel Thickness Profile</w:t>
      </w:r>
      <w:bookmarkEnd w:id="80"/>
      <w:bookmarkEnd w:id="81"/>
      <w:r w:rsidR="009C6CA6">
        <w:t>.</w:t>
      </w:r>
      <w:bookmarkEnd w:id="82"/>
    </w:p>
    <w:p w14:paraId="646804D8" w14:textId="07AA5738" w:rsidR="00994333" w:rsidRDefault="002419C8" w:rsidP="00DF0C87">
      <w:r>
        <w:t xml:space="preserve">The HEU thickness is </w:t>
      </w:r>
      <w:r w:rsidR="006B49C0">
        <w:t>given</w:t>
      </w:r>
      <w:r>
        <w:t xml:space="preserve"> as a collection of points that can be represented in cm by the 4</w:t>
      </w:r>
      <w:r w:rsidRPr="002419C8">
        <w:rPr>
          <w:vertAlign w:val="superscript"/>
        </w:rPr>
        <w:t>th</w:t>
      </w:r>
      <w:r w:rsidR="00994333">
        <w:t xml:space="preserve"> order polynomial</w:t>
      </w:r>
    </w:p>
    <w:p w14:paraId="74C5993E" w14:textId="77777777" w:rsidR="00994333" w:rsidRDefault="00994333" w:rsidP="00DF0C87">
      <w:pPr>
        <w:pStyle w:val="numberedeqnstyle"/>
      </w:pPr>
      <w:r w:rsidRPr="00A025AE">
        <w:tab/>
      </w:r>
      <w:r w:rsidR="009C6CA6" w:rsidRPr="00F7187A">
        <w:rPr>
          <w:position w:val="-10"/>
        </w:rPr>
        <w:object w:dxaOrig="5920" w:dyaOrig="480" w14:anchorId="4807F818">
          <v:shape id="_x0000_i1081" type="#_x0000_t75" style="width:297.15pt;height:25.25pt" o:ole="">
            <v:imagedata r:id="rId136" o:title=""/>
          </v:shape>
          <o:OLEObject Type="Embed" ProgID="Equation.3" ShapeID="_x0000_i1081" DrawAspect="Content" ObjectID="_1457171733" r:id="rId137"/>
        </w:object>
      </w:r>
      <w:r>
        <w:tab/>
      </w:r>
      <w:r>
        <w:fldChar w:fldCharType="begin"/>
      </w:r>
      <w:r>
        <w:instrText xml:space="preserve"> LISTNUM EQN \l 2 </w:instrText>
      </w:r>
      <w:r>
        <w:fldChar w:fldCharType="end"/>
      </w:r>
      <w:r>
        <w:t>)</w:t>
      </w:r>
    </w:p>
    <w:p w14:paraId="610F3B84" w14:textId="4841C778" w:rsidR="00521D5A" w:rsidRDefault="00994333" w:rsidP="00DF0C87">
      <w:r>
        <w:t>with an R</w:t>
      </w:r>
      <w:r>
        <w:rPr>
          <w:vertAlign w:val="superscript"/>
        </w:rPr>
        <w:t>2</w:t>
      </w:r>
      <w:r>
        <w:t xml:space="preserve"> value of 0.9999.  </w:t>
      </w:r>
      <w:r w:rsidR="00726A6D">
        <w:t xml:space="preserve">The second geometry is an intermediate LEU fuel meat.  </w:t>
      </w:r>
      <w:r w:rsidR="00170698">
        <w:t>The intermediate LEU fuel has a thickness</w:t>
      </w:r>
      <w:r w:rsidR="00726A6D">
        <w:t xml:space="preserve"> that varies piec</w:t>
      </w:r>
      <w:r w:rsidR="000E3A5E">
        <w:t>ewise</w:t>
      </w:r>
      <w:r w:rsidR="00726A6D">
        <w:t xml:space="preserve"> linearly with </w:t>
      </w:r>
      <w:r w:rsidR="00170698">
        <w:rPr>
          <w:i/>
        </w:rPr>
        <w:t>s</w:t>
      </w:r>
      <w:r w:rsidR="00726A6D">
        <w:t xml:space="preserve"> and is also </w:t>
      </w:r>
      <w:r w:rsidR="00737DD1">
        <w:t>axially consistent</w:t>
      </w:r>
      <w:r w:rsidR="00726A6D">
        <w:t xml:space="preserve">. </w:t>
      </w:r>
      <w:r w:rsidR="006429C1">
        <w:t>The linearized LEU thickness profile is shown</w:t>
      </w:r>
      <w:r w:rsidR="00554426">
        <w:t xml:space="preserve"> in Fig. </w:t>
      </w:r>
      <w:r w:rsidR="00554426">
        <w:fldChar w:fldCharType="begin"/>
      </w:r>
      <w:r w:rsidR="00554426">
        <w:instrText xml:space="preserve"> REF _Ref377058862 \r \h </w:instrText>
      </w:r>
      <w:r w:rsidR="00554426">
        <w:fldChar w:fldCharType="separate"/>
      </w:r>
      <w:r w:rsidR="001C5EC1">
        <w:t>3.12</w:t>
      </w:r>
      <w:r w:rsidR="00554426">
        <w:fldChar w:fldCharType="end"/>
      </w:r>
      <w:r w:rsidR="00554426">
        <w:t>.</w:t>
      </w:r>
    </w:p>
    <w:p w14:paraId="4BA41CF4" w14:textId="1824337A" w:rsidR="006429C1" w:rsidRDefault="00067CD7" w:rsidP="003E0C5E">
      <w:pPr>
        <w:pStyle w:val="PlotStyle"/>
      </w:pPr>
      <w:r>
        <w:rPr>
          <w:noProof/>
        </w:rPr>
        <w:lastRenderedPageBreak/>
        <w:drawing>
          <wp:inline distT="0" distB="0" distL="0" distR="0" wp14:anchorId="3FD78E09" wp14:editId="0518AB73">
            <wp:extent cx="4991100" cy="2743200"/>
            <wp:effectExtent l="0" t="0" r="1905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14:paraId="491C2EA3" w14:textId="4FB0E46C" w:rsidR="00521D5A" w:rsidRPr="004A53EF" w:rsidRDefault="006429C1" w:rsidP="00DF0C87">
      <w:pPr>
        <w:pStyle w:val="FigTitleStyle"/>
        <w:rPr>
          <w:b w:val="0"/>
        </w:rPr>
      </w:pPr>
      <w:bookmarkStart w:id="84" w:name="_Toc380156102"/>
      <w:bookmarkStart w:id="85" w:name="_Toc380157648"/>
      <w:bookmarkStart w:id="86" w:name="_Toc382920253"/>
      <w:r>
        <w:t xml:space="preserve">Fig. </w:t>
      </w:r>
      <w:r>
        <w:fldChar w:fldCharType="begin"/>
      </w:r>
      <w:bookmarkStart w:id="87" w:name="_Ref377058862"/>
      <w:bookmarkEnd w:id="87"/>
      <w:r>
        <w:instrText xml:space="preserve"> LISTNUM FIG \l 2 </w:instrText>
      </w:r>
      <w:r>
        <w:fldChar w:fldCharType="end"/>
      </w:r>
      <w:r>
        <w:t xml:space="preserve">.  Linearized LEU Fuel Thickness Profile.  </w:t>
      </w:r>
      <w:r w:rsidR="004A53EF">
        <w:rPr>
          <w:b w:val="0"/>
        </w:rPr>
        <w:t>Overall, the LEU fuel profile is thinner than the HEU profile.  Even</w:t>
      </w:r>
      <w:r w:rsidR="00DB41C2">
        <w:rPr>
          <w:b w:val="0"/>
        </w:rPr>
        <w:t xml:space="preserve"> though the LEU fuel has less U</w:t>
      </w:r>
      <w:r w:rsidR="004A53EF" w:rsidRPr="00DB41C2">
        <w:rPr>
          <w:b w:val="0"/>
          <w:vertAlign w:val="superscript"/>
        </w:rPr>
        <w:t>235</w:t>
      </w:r>
      <w:r w:rsidR="004A53EF">
        <w:rPr>
          <w:b w:val="0"/>
        </w:rPr>
        <w:t xml:space="preserve"> p</w:t>
      </w:r>
      <w:r w:rsidR="00DB41C2">
        <w:rPr>
          <w:b w:val="0"/>
        </w:rPr>
        <w:t>er weight</w:t>
      </w:r>
      <w:r w:rsidR="00E36440">
        <w:rPr>
          <w:b w:val="0"/>
        </w:rPr>
        <w:t xml:space="preserve"> than the HEU fuel</w:t>
      </w:r>
      <w:r w:rsidR="00DB41C2">
        <w:rPr>
          <w:b w:val="0"/>
        </w:rPr>
        <w:t xml:space="preserve">, it has a </w:t>
      </w:r>
      <w:r w:rsidR="00E36440">
        <w:rPr>
          <w:b w:val="0"/>
        </w:rPr>
        <w:t>higher density</w:t>
      </w:r>
      <w:r w:rsidR="00DB41C2">
        <w:rPr>
          <w:b w:val="0"/>
        </w:rPr>
        <w:t>.</w:t>
      </w:r>
      <w:bookmarkEnd w:id="84"/>
      <w:bookmarkEnd w:id="85"/>
      <w:bookmarkEnd w:id="86"/>
    </w:p>
    <w:p w14:paraId="5C70267D" w14:textId="77777777" w:rsidR="00036C22" w:rsidRDefault="00036C22" w:rsidP="00DF0C87">
      <w:r>
        <w:t>The LEU thickness in cm can be represented by the piecewise function</w:t>
      </w:r>
    </w:p>
    <w:p w14:paraId="55816891" w14:textId="77777777" w:rsidR="00036C22" w:rsidRPr="000E3A5E" w:rsidRDefault="00036C22" w:rsidP="00DF0C87">
      <w:pPr>
        <w:pStyle w:val="numberedeqnstyle"/>
      </w:pPr>
      <w:r w:rsidRPr="00A025AE">
        <w:tab/>
      </w:r>
      <w:r w:rsidR="006551A5" w:rsidRPr="00B0669B">
        <w:rPr>
          <w:position w:val="-68"/>
        </w:rPr>
        <w:object w:dxaOrig="4640" w:dyaOrig="1480" w14:anchorId="369710E6">
          <v:shape id="_x0000_i1082" type="#_x0000_t75" style="width:231.6pt;height:79pt" o:ole="">
            <v:imagedata r:id="rId139" o:title=""/>
          </v:shape>
          <o:OLEObject Type="Embed" ProgID="Equation.3" ShapeID="_x0000_i1082" DrawAspect="Content" ObjectID="_1457171734" r:id="rId140"/>
        </w:object>
      </w:r>
      <w:r>
        <w:tab/>
      </w:r>
      <w:r>
        <w:fldChar w:fldCharType="begin"/>
      </w:r>
      <w:r>
        <w:instrText xml:space="preserve"> LISTNUM EQN \l 2 </w:instrText>
      </w:r>
      <w:r>
        <w:fldChar w:fldCharType="end"/>
      </w:r>
      <w:r>
        <w:t>)</w:t>
      </w:r>
    </w:p>
    <w:p w14:paraId="43DDA552" w14:textId="0DF06DD6" w:rsidR="00AD4CB9" w:rsidRDefault="00726A6D" w:rsidP="00DF0C87">
      <w:r>
        <w:t xml:space="preserve">The third geometry is another LEU fuel meat with the same starting profile as the first, but with the inclusion of axial grading.  This geometry tapers towards its trailing edge in an effort to prevent a sharp spike in nuclear heat energy output in the tail of the fuel meat.  </w:t>
      </w:r>
      <w:r w:rsidRPr="00AA767D">
        <w:t xml:space="preserve">This third geometry </w:t>
      </w:r>
      <w:r w:rsidR="00AA767D">
        <w:t>was, at the onset of this study, the geometry proposed for production</w:t>
      </w:r>
      <w:r>
        <w:t>.</w:t>
      </w:r>
      <w:r w:rsidR="00AA767D">
        <w:t xml:space="preserve">  Since that time, however, more viable alternative fuel geometries have been proposed.</w:t>
      </w:r>
      <w:r>
        <w:t xml:space="preserve">  The intermediate LEU fuel is included only because of the relative simplicity </w:t>
      </w:r>
      <w:r w:rsidR="00284C1B">
        <w:t xml:space="preserve">and </w:t>
      </w:r>
      <w:r>
        <w:t xml:space="preserve">ease of </w:t>
      </w:r>
      <w:r w:rsidR="00254394">
        <w:t>modeling</w:t>
      </w:r>
      <w:r w:rsidR="00284C1B">
        <w:t xml:space="preserve"> that accompanies</w:t>
      </w:r>
      <w:r>
        <w:t xml:space="preserve"> the change to </w:t>
      </w:r>
      <w:r w:rsidR="00A10BBB">
        <w:t>an axially-</w:t>
      </w:r>
      <w:r w:rsidR="00737DD1">
        <w:t>consistent geometry.  The axially-</w:t>
      </w:r>
      <w:r w:rsidR="00370A37">
        <w:t xml:space="preserve">graded LEU geometry is shown alongside the </w:t>
      </w:r>
      <w:r w:rsidR="005B2DC8">
        <w:t>intermediate</w:t>
      </w:r>
      <w:r w:rsidR="00370A37">
        <w:t xml:space="preserve"> geometry in Fig. </w:t>
      </w:r>
      <w:r w:rsidR="00370A37">
        <w:fldChar w:fldCharType="begin"/>
      </w:r>
      <w:r w:rsidR="00370A37">
        <w:instrText xml:space="preserve"> REF _Ref368559423 \r \h </w:instrText>
      </w:r>
      <w:r w:rsidR="00370A37">
        <w:fldChar w:fldCharType="separate"/>
      </w:r>
      <w:r w:rsidR="001C5EC1">
        <w:t>3.13</w:t>
      </w:r>
      <w:r w:rsidR="00370A37">
        <w:fldChar w:fldCharType="end"/>
      </w:r>
      <w:r w:rsidR="00370A37">
        <w:t>.</w:t>
      </w:r>
    </w:p>
    <w:p w14:paraId="441AAC89" w14:textId="6C41A9C2" w:rsidR="00370A37" w:rsidRDefault="00BD13EC" w:rsidP="003E0C5E">
      <w:pPr>
        <w:pStyle w:val="PictureSytel"/>
      </w:pPr>
      <w:r>
        <w:rPr>
          <w:noProof/>
        </w:rPr>
        <w:lastRenderedPageBreak/>
        <w:drawing>
          <wp:inline distT="0" distB="0" distL="0" distR="0" wp14:anchorId="2E1A68FF" wp14:editId="51CF0C07">
            <wp:extent cx="5019675" cy="3656965"/>
            <wp:effectExtent l="19050" t="19050" r="28575" b="196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U%20Straight%20and%20Toe%20Diagrams[1].png"/>
                    <pic:cNvPicPr/>
                  </pic:nvPicPr>
                  <pic:blipFill rotWithShape="1">
                    <a:blip r:embed="rId141">
                      <a:extLst>
                        <a:ext uri="{28A0092B-C50C-407E-A947-70E740481C1C}">
                          <a14:useLocalDpi xmlns:a14="http://schemas.microsoft.com/office/drawing/2010/main" val="0"/>
                        </a:ext>
                      </a:extLst>
                    </a:blip>
                    <a:srcRect l="-25047" r="-24975"/>
                    <a:stretch/>
                  </pic:blipFill>
                  <pic:spPr bwMode="auto">
                    <a:xfrm>
                      <a:off x="0" y="0"/>
                      <a:ext cx="5032614" cy="3666391"/>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08DDC82" w14:textId="6D3CFC3B" w:rsidR="00370A37" w:rsidRPr="00810823" w:rsidRDefault="00AD4CB9" w:rsidP="00BB130C">
      <w:pPr>
        <w:pStyle w:val="FigTitleStyle"/>
        <w:rPr>
          <w:b w:val="0"/>
        </w:rPr>
      </w:pPr>
      <w:bookmarkStart w:id="88" w:name="_Toc380156103"/>
      <w:bookmarkStart w:id="89" w:name="_Toc380157649"/>
      <w:bookmarkStart w:id="90" w:name="_Toc382920254"/>
      <w:r>
        <w:t xml:space="preserve">Fig. </w:t>
      </w:r>
      <w:r>
        <w:fldChar w:fldCharType="begin"/>
      </w:r>
      <w:bookmarkStart w:id="91" w:name="_Ref368559423"/>
      <w:bookmarkEnd w:id="91"/>
      <w:r>
        <w:instrText xml:space="preserve"> LISTNUM FIG \l 2 </w:instrText>
      </w:r>
      <w:r>
        <w:fldChar w:fldCharType="end"/>
      </w:r>
      <w:r>
        <w:t xml:space="preserve">. </w:t>
      </w:r>
      <w:r w:rsidR="00220D36">
        <w:t xml:space="preserve"> Linearized</w:t>
      </w:r>
      <w:r>
        <w:t xml:space="preserve"> </w:t>
      </w:r>
      <w:r w:rsidR="00370A37">
        <w:t>LEU Fuel Geometries</w:t>
      </w:r>
      <w:r w:rsidR="001330AD">
        <w:t>.</w:t>
      </w:r>
      <w:r w:rsidR="00810823">
        <w:t xml:space="preserve">  </w:t>
      </w:r>
      <w:r w:rsidR="00810823">
        <w:rPr>
          <w:b w:val="0"/>
        </w:rPr>
        <w:t xml:space="preserve">The </w:t>
      </w:r>
      <w:r w:rsidR="00A10BBB">
        <w:rPr>
          <w:b w:val="0"/>
        </w:rPr>
        <w:t>axially-consistent</w:t>
      </w:r>
      <w:r w:rsidR="00810823">
        <w:rPr>
          <w:b w:val="0"/>
        </w:rPr>
        <w:t xml:space="preserve"> intermediate LEU geometry is shown on the left.  The axially-graded LEU geometry is shown on the right.</w:t>
      </w:r>
      <w:bookmarkEnd w:id="88"/>
      <w:bookmarkEnd w:id="89"/>
      <w:bookmarkEnd w:id="90"/>
    </w:p>
    <w:p w14:paraId="544BB888" w14:textId="6FA33DE8" w:rsidR="001315D6" w:rsidRDefault="00284C1B" w:rsidP="00DF0C87">
      <w:r>
        <w:t xml:space="preserve">In </w:t>
      </w:r>
      <w:r w:rsidR="00A83C59">
        <w:t>the process of manufacturing the HEU plate, the cavity in the plate</w:t>
      </w:r>
      <w:r>
        <w:t xml:space="preserve"> is filled with fuel powder to create the necessary profile.  The remainder of the void is then filled with a radioactively inert composition of “filler” powder.  The filler is composed </w:t>
      </w:r>
      <w:r w:rsidR="00A91AFB">
        <w:t xml:space="preserve">by weight </w:t>
      </w:r>
      <w:r>
        <w:t xml:space="preserve">of </w:t>
      </w:r>
      <w:r w:rsidR="00DB0BDA">
        <w:t>~99.9</w:t>
      </w:r>
      <w:r>
        <w:t xml:space="preserve">% aluminum powder and </w:t>
      </w:r>
      <w:r w:rsidR="00DB0BDA" w:rsidRPr="00DB0BDA">
        <w:t>~0.01% boron</w:t>
      </w:r>
      <w:r>
        <w:t xml:space="preserve"> poison.</w:t>
      </w:r>
      <w:r w:rsidR="00DB0BDA" w:rsidRPr="00DB0BDA">
        <w:rPr>
          <w:vertAlign w:val="superscript"/>
        </w:rPr>
        <w:fldChar w:fldCharType="begin"/>
      </w:r>
      <w:r w:rsidR="00DB0BDA" w:rsidRPr="00DB0BDA">
        <w:rPr>
          <w:vertAlign w:val="superscript"/>
        </w:rPr>
        <w:instrText xml:space="preserve"> NOTEREF _Ref382821344 \h  \* MERGEFORMAT </w:instrText>
      </w:r>
      <w:r w:rsidR="00DB0BDA" w:rsidRPr="00DB0BDA">
        <w:rPr>
          <w:vertAlign w:val="superscript"/>
        </w:rPr>
      </w:r>
      <w:r w:rsidR="00DB0BDA" w:rsidRPr="00DB0BDA">
        <w:rPr>
          <w:vertAlign w:val="superscript"/>
        </w:rPr>
        <w:fldChar w:fldCharType="separate"/>
      </w:r>
      <w:r w:rsidR="001C5EC1">
        <w:rPr>
          <w:vertAlign w:val="superscript"/>
        </w:rPr>
        <w:t>7</w:t>
      </w:r>
      <w:r w:rsidR="00DB0BDA" w:rsidRPr="00DB0BDA">
        <w:rPr>
          <w:vertAlign w:val="superscript"/>
        </w:rPr>
        <w:fldChar w:fldCharType="end"/>
      </w:r>
      <w:r w:rsidRPr="00DB0BDA">
        <w:t xml:space="preserve">  </w:t>
      </w:r>
      <w:r w:rsidR="00A91AFB" w:rsidRPr="00DB0BDA">
        <w:t xml:space="preserve">The poison is </w:t>
      </w:r>
      <w:r w:rsidR="00A83C59" w:rsidRPr="00DB0BDA">
        <w:t xml:space="preserve">included </w:t>
      </w:r>
      <w:r w:rsidR="00A91AFB" w:rsidRPr="00DB0BDA">
        <w:t xml:space="preserve">to inhibit the nuclear reaction in the fuel, maintaining it at a proper </w:t>
      </w:r>
      <w:r w:rsidR="00A74610">
        <w:t>level</w:t>
      </w:r>
      <w:r w:rsidR="00A91AFB" w:rsidRPr="00DB0BDA">
        <w:t>.  Since</w:t>
      </w:r>
      <w:r w:rsidR="00A91AFB">
        <w:t xml:space="preserve"> the poison constitutes such a small percentage of the overall filler material</w:t>
      </w:r>
      <w:r w:rsidR="008B44B3">
        <w:t xml:space="preserve"> </w:t>
      </w:r>
      <w:r w:rsidR="00A91AFB">
        <w:t>it can be disregarded</w:t>
      </w:r>
      <w:r w:rsidR="00015E6A">
        <w:t>.  The filler can be assumed to have the thermal properties of aluminum</w:t>
      </w:r>
      <w:r w:rsidR="00A91AFB">
        <w:t xml:space="preserve">.  </w:t>
      </w:r>
      <w:r w:rsidR="00C82AAC">
        <w:t xml:space="preserve">Furthermore, since the aluminum powder is of the same type as that used in the fuel plates, this entire filler region can be assumed to be a part of the fuel plate itself.  The only loss is in the </w:t>
      </w:r>
      <w:r w:rsidR="00254394">
        <w:t>modeling</w:t>
      </w:r>
      <w:r w:rsidR="00C82AAC">
        <w:t xml:space="preserve"> of </w:t>
      </w:r>
      <w:r w:rsidR="009B3010">
        <w:t xml:space="preserve">the </w:t>
      </w:r>
      <w:r w:rsidR="00C82AAC">
        <w:t>contact resistance between the two</w:t>
      </w:r>
      <w:r w:rsidR="0073285B">
        <w:t xml:space="preserve"> as well as within the powder itself</w:t>
      </w:r>
      <w:r w:rsidR="00C82AAC">
        <w:t>.</w:t>
      </w:r>
      <w:r w:rsidR="004E71CC">
        <w:t xml:space="preserve">  </w:t>
      </w:r>
      <w:r w:rsidR="004D4104">
        <w:t xml:space="preserve">The final method of manufacture for the LEU plates has not been set, therefore </w:t>
      </w:r>
      <w:r w:rsidR="00E71C2A">
        <w:t>the same assumptions are used in the LEU model</w:t>
      </w:r>
      <w:r w:rsidR="004D4104">
        <w:t xml:space="preserve">.  </w:t>
      </w:r>
      <w:r w:rsidR="004E71CC">
        <w:t>Under these assumptions, the process of creating the finalized fuel plate geometry through a Boolean subtraction of the fuel meat geometry is valid.</w:t>
      </w:r>
    </w:p>
    <w:p w14:paraId="4AA6DAAE" w14:textId="7FFDC3B0" w:rsidR="00633A0A" w:rsidRDefault="00A91AFB" w:rsidP="00DF0C87">
      <w:r>
        <w:t xml:space="preserve">  </w:t>
      </w:r>
      <w:r w:rsidR="00284C1B">
        <w:t xml:space="preserve"> </w:t>
      </w:r>
      <w:r w:rsidR="00EB5BA1">
        <w:t xml:space="preserve">The last major geometry component is </w:t>
      </w:r>
      <w:r w:rsidR="003D618D">
        <w:t>that of the coolant.  The coolant is, like the fuel plate itself, fairly simple to construct.  It encapsulate</w:t>
      </w:r>
      <w:r w:rsidR="00A83C59">
        <w:t xml:space="preserve">s the fuel plate on the top and </w:t>
      </w:r>
      <w:r w:rsidR="003D618D">
        <w:t>bottom as well as</w:t>
      </w:r>
      <w:r w:rsidR="00A83C59">
        <w:t xml:space="preserve"> the</w:t>
      </w:r>
      <w:r w:rsidR="003D618D">
        <w:t xml:space="preserve"> concave and</w:t>
      </w:r>
      <w:r w:rsidR="00A83C59">
        <w:t xml:space="preserve"> </w:t>
      </w:r>
      <w:r w:rsidR="00A83C59">
        <w:lastRenderedPageBreak/>
        <w:t>conv</w:t>
      </w:r>
      <w:r w:rsidR="00E71C2A">
        <w:t>ex sides.  An entry region approximately 2.0</w:t>
      </w:r>
      <w:r w:rsidR="00A83C59">
        <w:t xml:space="preserve"> cm</w:t>
      </w:r>
      <w:r w:rsidR="003D618D">
        <w:t xml:space="preserve"> in length is inserted upstream of the leading edge.  This allows the inlet flow to be specified using the conditions under which it enters the reactor core.  The flow then naturally develops as a result</w:t>
      </w:r>
      <w:r w:rsidR="00A83C59">
        <w:t xml:space="preserve"> of the impingement of</w:t>
      </w:r>
      <w:r w:rsidR="003D618D">
        <w:t xml:space="preserve"> the rounded </w:t>
      </w:r>
      <w:r w:rsidR="00A83C59">
        <w:t>leadi</w:t>
      </w:r>
      <w:r w:rsidR="00E71C2A">
        <w:t>ng edge.  A similar region 3.5</w:t>
      </w:r>
      <w:r w:rsidR="00A83C59">
        <w:t xml:space="preserve"> cm</w:t>
      </w:r>
      <w:r w:rsidR="003D618D">
        <w:t xml:space="preserve"> in length is inserted downstream of the trailing edge.  This region allows the fl</w:t>
      </w:r>
      <w:r w:rsidR="00A83C59">
        <w:t>ow</w:t>
      </w:r>
      <w:r w:rsidR="003D618D">
        <w:t xml:space="preserve"> to homogenize downstream of the fuel plate before being bounded by outlet flow conditions.  </w:t>
      </w:r>
      <w:r w:rsidR="00633A0A">
        <w:t xml:space="preserve">The coolant is bounded in the </w:t>
      </w:r>
      <w:r w:rsidR="00633A0A">
        <w:rPr>
          <w:i/>
        </w:rPr>
        <w:t>t</w:t>
      </w:r>
      <w:r w:rsidR="00633A0A">
        <w:t xml:space="preserve">-direction by lines of periodicity.  </w:t>
      </w:r>
    </w:p>
    <w:p w14:paraId="17EE2013" w14:textId="2E619D66" w:rsidR="00633A0A" w:rsidRDefault="00633A0A" w:rsidP="00DF0C87">
      <w:r>
        <w:t xml:space="preserve">Some models also take into account the side plates bounding the fuel plate and coolant channel along their inner and outer radii.  These geometries, like the coolant channel, are bounded in the </w:t>
      </w:r>
      <w:r>
        <w:rPr>
          <w:i/>
        </w:rPr>
        <w:t>t</w:t>
      </w:r>
      <w:r>
        <w:t>-di</w:t>
      </w:r>
      <w:r w:rsidR="00422A63">
        <w:t xml:space="preserve">rection by lines of periodicity.  The lines of involute periodicity in the coolant channel are extended into the outer side plate.  Since the circular involute is undefined at radii less than the base radius—the region in which the inner side plate exists—lines of radial periodicity are </w:t>
      </w:r>
      <w:r w:rsidR="0038254F">
        <w:t>used here</w:t>
      </w:r>
      <w:r w:rsidR="00422A63">
        <w:t xml:space="preserve"> instead. These periodic boundary lines are</w:t>
      </w:r>
      <w:r>
        <w:t xml:space="preserve"> shown in Fig. </w:t>
      </w:r>
      <w:r w:rsidR="001B383D">
        <w:fldChar w:fldCharType="begin"/>
      </w:r>
      <w:r w:rsidR="001B383D">
        <w:instrText xml:space="preserve"> REF _Ref368648771 \r \h </w:instrText>
      </w:r>
      <w:r w:rsidR="001B383D">
        <w:fldChar w:fldCharType="separate"/>
      </w:r>
      <w:r w:rsidR="001C5EC1">
        <w:t>3.14</w:t>
      </w:r>
      <w:r w:rsidR="001B383D">
        <w:fldChar w:fldCharType="end"/>
      </w:r>
      <w:r w:rsidR="00422A63">
        <w:t>.</w:t>
      </w:r>
    </w:p>
    <w:p w14:paraId="35BE9B4F" w14:textId="101DFA38" w:rsidR="00633A0A" w:rsidRDefault="00B34C63" w:rsidP="003E0C5E">
      <w:pPr>
        <w:pStyle w:val="PictureSytel"/>
      </w:pPr>
      <w:r>
        <w:rPr>
          <w:noProof/>
        </w:rPr>
        <w:drawing>
          <wp:inline distT="0" distB="0" distL="0" distR="0" wp14:anchorId="6915023E" wp14:editId="1D7C2D76">
            <wp:extent cx="5037849" cy="2845631"/>
            <wp:effectExtent l="19050" t="19050" r="10795" b="1206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nvolute%20Periodicity%20Diagram[1].png"/>
                    <pic:cNvPicPr/>
                  </pic:nvPicPr>
                  <pic:blipFill>
                    <a:blip r:embed="rId142">
                      <a:extLst>
                        <a:ext uri="{28A0092B-C50C-407E-A947-70E740481C1C}">
                          <a14:useLocalDpi xmlns:a14="http://schemas.microsoft.com/office/drawing/2010/main" val="0"/>
                        </a:ext>
                      </a:extLst>
                    </a:blip>
                    <a:stretch>
                      <a:fillRect/>
                    </a:stretch>
                  </pic:blipFill>
                  <pic:spPr>
                    <a:xfrm>
                      <a:off x="0" y="0"/>
                      <a:ext cx="5065849" cy="2861447"/>
                    </a:xfrm>
                    <a:prstGeom prst="rect">
                      <a:avLst/>
                    </a:prstGeom>
                    <a:ln>
                      <a:solidFill>
                        <a:schemeClr val="tx1"/>
                      </a:solidFill>
                    </a:ln>
                  </pic:spPr>
                </pic:pic>
              </a:graphicData>
            </a:graphic>
          </wp:inline>
        </w:drawing>
      </w:r>
    </w:p>
    <w:p w14:paraId="28A7E23C" w14:textId="3273F3ED" w:rsidR="00633A0A" w:rsidRPr="00B34C63" w:rsidRDefault="00633A0A" w:rsidP="00DF0C87">
      <w:pPr>
        <w:pStyle w:val="FigTitleStyle"/>
        <w:rPr>
          <w:b w:val="0"/>
        </w:rPr>
      </w:pPr>
      <w:bookmarkStart w:id="92" w:name="_Toc380156104"/>
      <w:bookmarkStart w:id="93" w:name="_Toc380157650"/>
      <w:bookmarkStart w:id="94" w:name="_Toc382920255"/>
      <w:r>
        <w:t xml:space="preserve">Fig. </w:t>
      </w:r>
      <w:r>
        <w:fldChar w:fldCharType="begin"/>
      </w:r>
      <w:bookmarkStart w:id="95" w:name="_Ref368648771"/>
      <w:bookmarkEnd w:id="95"/>
      <w:r>
        <w:instrText xml:space="preserve"> LISTNUM FIG \l 2 </w:instrText>
      </w:r>
      <w:r>
        <w:fldChar w:fldCharType="end"/>
      </w:r>
      <w:r>
        <w:t>.  Coolant Chann</w:t>
      </w:r>
      <w:r w:rsidR="00B34C63">
        <w:t xml:space="preserve">el and Side Plate Periodicity.  </w:t>
      </w:r>
      <w:r w:rsidR="00B34C63">
        <w:rPr>
          <w:b w:val="0"/>
        </w:rPr>
        <w:t>The fuel plate and side plates are shown in grey.  The half coolant channels are shown in blue.  Periodic boundaries are highlighted in red.</w:t>
      </w:r>
      <w:bookmarkEnd w:id="92"/>
      <w:bookmarkEnd w:id="93"/>
      <w:bookmarkEnd w:id="94"/>
    </w:p>
    <w:p w14:paraId="6315A7D9" w14:textId="0D4418B3" w:rsidR="00D13343" w:rsidRPr="00876BE1" w:rsidRDefault="00E71C2A" w:rsidP="00876BE1">
      <w:r>
        <w:t>The side plates’</w:t>
      </w:r>
      <w:r w:rsidR="00D13343">
        <w:t xml:space="preserve"> </w:t>
      </w:r>
      <w:r w:rsidR="00B037E6">
        <w:t>inside and outside</w:t>
      </w:r>
      <w:r w:rsidR="00D13343">
        <w:t xml:space="preserve"> boundaries are set according to their bounding radii.  These </w:t>
      </w:r>
      <w:r w:rsidR="00D13343" w:rsidRPr="00AD0103">
        <w:rPr>
          <w:rStyle w:val="NormalBeforeTableChar"/>
        </w:rPr>
        <w:t xml:space="preserve">dimensions are given in Table </w:t>
      </w:r>
      <w:r w:rsidR="00FA45E5" w:rsidRPr="00AD0103">
        <w:rPr>
          <w:rStyle w:val="NormalBeforeTableChar"/>
        </w:rPr>
        <w:fldChar w:fldCharType="begin"/>
      </w:r>
      <w:r w:rsidR="00FA45E5" w:rsidRPr="00AD0103">
        <w:rPr>
          <w:rStyle w:val="NormalBeforeTableChar"/>
        </w:rPr>
        <w:instrText xml:space="preserve"> REF _Ref377396884 \r \h </w:instrText>
      </w:r>
      <w:r w:rsidR="00AD0103">
        <w:rPr>
          <w:rStyle w:val="NormalBeforeTableChar"/>
        </w:rPr>
        <w:instrText xml:space="preserve"> \* MERGEFORMAT </w:instrText>
      </w:r>
      <w:r w:rsidR="00FA45E5" w:rsidRPr="00AD0103">
        <w:rPr>
          <w:rStyle w:val="NormalBeforeTableChar"/>
        </w:rPr>
      </w:r>
      <w:r w:rsidR="00FA45E5" w:rsidRPr="00AD0103">
        <w:rPr>
          <w:rStyle w:val="NormalBeforeTableChar"/>
        </w:rPr>
        <w:fldChar w:fldCharType="separate"/>
      </w:r>
      <w:r w:rsidR="001C5EC1">
        <w:rPr>
          <w:rStyle w:val="NormalBeforeTableChar"/>
        </w:rPr>
        <w:t>3.1</w:t>
      </w:r>
      <w:r w:rsidR="00FA45E5" w:rsidRPr="00AD0103">
        <w:rPr>
          <w:rStyle w:val="NormalBeforeTableChar"/>
        </w:rPr>
        <w:fldChar w:fldCharType="end"/>
      </w:r>
      <w:r w:rsidR="00876BE1" w:rsidRPr="00AD0103">
        <w:rPr>
          <w:rStyle w:val="NormalBeforeTableChar"/>
        </w:rPr>
        <w:t>.</w:t>
      </w:r>
    </w:p>
    <w:tbl>
      <w:tblPr>
        <w:tblW w:w="3635" w:type="dxa"/>
        <w:jc w:val="center"/>
        <w:tblLook w:val="04A0" w:firstRow="1" w:lastRow="0" w:firstColumn="1" w:lastColumn="0" w:noHBand="0" w:noVBand="1"/>
      </w:tblPr>
      <w:tblGrid>
        <w:gridCol w:w="1149"/>
        <w:gridCol w:w="1209"/>
        <w:gridCol w:w="1277"/>
      </w:tblGrid>
      <w:tr w:rsidR="00D13343" w:rsidRPr="00D13343" w14:paraId="1A3C8200" w14:textId="77777777" w:rsidTr="00CC0DFD">
        <w:trPr>
          <w:trHeight w:val="300"/>
          <w:jc w:val="center"/>
        </w:trPr>
        <w:tc>
          <w:tcPr>
            <w:tcW w:w="363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D51968" w14:textId="7D8EFAC5" w:rsidR="00D13343" w:rsidRPr="00F066C7" w:rsidRDefault="00D13343" w:rsidP="00F066C7">
            <w:pPr>
              <w:pStyle w:val="NoSpacing"/>
            </w:pPr>
            <w:bookmarkStart w:id="96" w:name="_Toc382920191"/>
            <w:r w:rsidRPr="00F066C7">
              <w:lastRenderedPageBreak/>
              <w:t>Table</w:t>
            </w:r>
            <w:r w:rsidR="00FA45E5" w:rsidRPr="00F066C7">
              <w:t xml:space="preserve"> </w:t>
            </w:r>
            <w:r w:rsidR="00FA45E5" w:rsidRPr="00F066C7">
              <w:fldChar w:fldCharType="begin"/>
            </w:r>
            <w:bookmarkStart w:id="97" w:name="_Ref377396884"/>
            <w:bookmarkEnd w:id="97"/>
            <w:r w:rsidR="00FA45E5" w:rsidRPr="00F066C7">
              <w:instrText xml:space="preserve"> LISTNUM TAB \l 2</w:instrText>
            </w:r>
            <w:r w:rsidR="00FA45E5" w:rsidRPr="00F066C7">
              <w:fldChar w:fldCharType="end"/>
            </w:r>
            <w:r w:rsidRPr="00F066C7">
              <w:t>:  Bounding Side Plate Radii</w:t>
            </w:r>
            <w:bookmarkEnd w:id="96"/>
          </w:p>
        </w:tc>
      </w:tr>
      <w:tr w:rsidR="00D13343" w:rsidRPr="00D13343" w14:paraId="7096139B" w14:textId="77777777" w:rsidTr="00CC0DFD">
        <w:trPr>
          <w:trHeight w:val="300"/>
          <w:jc w:val="center"/>
        </w:trPr>
        <w:tc>
          <w:tcPr>
            <w:tcW w:w="114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53FDF6" w14:textId="77777777" w:rsidR="00D13343" w:rsidRPr="00D13343" w:rsidRDefault="00D13343" w:rsidP="00CC0DFD">
            <w:pPr>
              <w:keepNext/>
              <w:spacing w:after="0" w:line="240" w:lineRule="auto"/>
              <w:ind w:firstLine="0"/>
              <w:jc w:val="center"/>
              <w:rPr>
                <w:rFonts w:eastAsia="Times New Roman"/>
                <w:color w:val="000000"/>
              </w:rPr>
            </w:pPr>
            <w:r w:rsidRPr="00D13343">
              <w:rPr>
                <w:rFonts w:eastAsia="Times New Roman"/>
                <w:color w:val="000000"/>
              </w:rPr>
              <w:t>Side Plate</w:t>
            </w:r>
          </w:p>
        </w:tc>
        <w:tc>
          <w:tcPr>
            <w:tcW w:w="2486" w:type="dxa"/>
            <w:gridSpan w:val="2"/>
            <w:tcBorders>
              <w:top w:val="single" w:sz="4" w:space="0" w:color="auto"/>
              <w:left w:val="nil"/>
              <w:bottom w:val="single" w:sz="4" w:space="0" w:color="auto"/>
              <w:right w:val="single" w:sz="4" w:space="0" w:color="auto"/>
            </w:tcBorders>
            <w:shd w:val="clear" w:color="auto" w:fill="auto"/>
            <w:noWrap/>
            <w:vAlign w:val="bottom"/>
            <w:hideMark/>
          </w:tcPr>
          <w:p w14:paraId="1742968B" w14:textId="77777777" w:rsidR="00D13343" w:rsidRPr="00D13343" w:rsidRDefault="00D13343" w:rsidP="00CC0DFD">
            <w:pPr>
              <w:keepNext/>
              <w:spacing w:after="0" w:line="240" w:lineRule="auto"/>
              <w:ind w:firstLine="0"/>
              <w:jc w:val="center"/>
              <w:rPr>
                <w:rFonts w:eastAsia="Times New Roman"/>
                <w:color w:val="000000"/>
              </w:rPr>
            </w:pPr>
            <w:r w:rsidRPr="00D13343">
              <w:rPr>
                <w:rFonts w:eastAsia="Times New Roman"/>
                <w:color w:val="000000"/>
              </w:rPr>
              <w:t>Radius</w:t>
            </w:r>
          </w:p>
        </w:tc>
      </w:tr>
      <w:tr w:rsidR="00D13343" w:rsidRPr="00D13343" w14:paraId="312F7B24" w14:textId="77777777" w:rsidTr="00CC0DFD">
        <w:trPr>
          <w:trHeight w:val="330"/>
          <w:jc w:val="center"/>
        </w:trPr>
        <w:tc>
          <w:tcPr>
            <w:tcW w:w="1149" w:type="dxa"/>
            <w:vMerge/>
            <w:tcBorders>
              <w:top w:val="nil"/>
              <w:left w:val="single" w:sz="4" w:space="0" w:color="auto"/>
              <w:bottom w:val="single" w:sz="4" w:space="0" w:color="auto"/>
              <w:right w:val="single" w:sz="4" w:space="0" w:color="auto"/>
            </w:tcBorders>
            <w:vAlign w:val="center"/>
            <w:hideMark/>
          </w:tcPr>
          <w:p w14:paraId="487B1B97" w14:textId="77777777" w:rsidR="00D13343" w:rsidRPr="00D13343" w:rsidRDefault="00D13343" w:rsidP="00CC0DFD">
            <w:pPr>
              <w:keepNext/>
              <w:spacing w:after="0" w:line="240" w:lineRule="auto"/>
              <w:ind w:firstLine="0"/>
              <w:jc w:val="left"/>
              <w:rPr>
                <w:rFonts w:eastAsia="Times New Roman"/>
                <w:color w:val="000000"/>
              </w:rPr>
            </w:pPr>
          </w:p>
        </w:tc>
        <w:tc>
          <w:tcPr>
            <w:tcW w:w="1209" w:type="dxa"/>
            <w:tcBorders>
              <w:top w:val="nil"/>
              <w:left w:val="nil"/>
              <w:bottom w:val="single" w:sz="4" w:space="0" w:color="auto"/>
              <w:right w:val="single" w:sz="4" w:space="0" w:color="auto"/>
            </w:tcBorders>
            <w:shd w:val="clear" w:color="auto" w:fill="auto"/>
            <w:noWrap/>
            <w:vAlign w:val="bottom"/>
            <w:hideMark/>
          </w:tcPr>
          <w:p w14:paraId="35DE5A7B" w14:textId="77777777" w:rsidR="00D13343" w:rsidRPr="00D13343" w:rsidRDefault="00D13343" w:rsidP="00CC0DFD">
            <w:pPr>
              <w:keepNext/>
              <w:spacing w:after="0" w:line="240" w:lineRule="auto"/>
              <w:ind w:firstLine="0"/>
              <w:jc w:val="center"/>
              <w:rPr>
                <w:rFonts w:eastAsia="Times New Roman"/>
                <w:color w:val="000000"/>
              </w:rPr>
            </w:pPr>
            <w:r w:rsidRPr="00D13343">
              <w:rPr>
                <w:rFonts w:eastAsia="Times New Roman"/>
                <w:color w:val="000000"/>
              </w:rPr>
              <w:t>Inside</w:t>
            </w:r>
          </w:p>
        </w:tc>
        <w:tc>
          <w:tcPr>
            <w:tcW w:w="1277" w:type="dxa"/>
            <w:tcBorders>
              <w:top w:val="nil"/>
              <w:left w:val="nil"/>
              <w:bottom w:val="single" w:sz="4" w:space="0" w:color="auto"/>
              <w:right w:val="single" w:sz="4" w:space="0" w:color="auto"/>
            </w:tcBorders>
            <w:shd w:val="clear" w:color="auto" w:fill="auto"/>
            <w:noWrap/>
            <w:vAlign w:val="bottom"/>
            <w:hideMark/>
          </w:tcPr>
          <w:p w14:paraId="2E41E65E" w14:textId="77777777" w:rsidR="00D13343" w:rsidRPr="00D13343" w:rsidRDefault="00D13343" w:rsidP="00CC0DFD">
            <w:pPr>
              <w:keepNext/>
              <w:spacing w:after="0" w:line="240" w:lineRule="auto"/>
              <w:ind w:firstLine="0"/>
              <w:jc w:val="center"/>
              <w:rPr>
                <w:rFonts w:eastAsia="Times New Roman"/>
                <w:color w:val="000000"/>
              </w:rPr>
            </w:pPr>
            <w:r w:rsidRPr="00D13343">
              <w:rPr>
                <w:rFonts w:eastAsia="Times New Roman"/>
                <w:color w:val="000000"/>
              </w:rPr>
              <w:t>Outside</w:t>
            </w:r>
          </w:p>
        </w:tc>
      </w:tr>
      <w:tr w:rsidR="00D13343" w:rsidRPr="00D13343" w14:paraId="5E0AFD3A" w14:textId="77777777" w:rsidTr="00CC0DFD">
        <w:trPr>
          <w:trHeight w:val="300"/>
          <w:jc w:val="center"/>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14:paraId="0593E980" w14:textId="77777777" w:rsidR="00D13343" w:rsidRPr="00D13343" w:rsidRDefault="00D13343" w:rsidP="00CC0DFD">
            <w:pPr>
              <w:keepNext/>
              <w:spacing w:after="0" w:line="240" w:lineRule="auto"/>
              <w:ind w:firstLine="0"/>
              <w:jc w:val="center"/>
              <w:rPr>
                <w:rFonts w:eastAsia="Times New Roman"/>
                <w:color w:val="000000"/>
              </w:rPr>
            </w:pPr>
            <w:r w:rsidRPr="00D13343">
              <w:rPr>
                <w:rFonts w:eastAsia="Times New Roman"/>
                <w:color w:val="000000"/>
              </w:rPr>
              <w:t>Inner</w:t>
            </w:r>
          </w:p>
        </w:tc>
        <w:tc>
          <w:tcPr>
            <w:tcW w:w="1209" w:type="dxa"/>
            <w:tcBorders>
              <w:top w:val="nil"/>
              <w:left w:val="nil"/>
              <w:bottom w:val="single" w:sz="4" w:space="0" w:color="auto"/>
              <w:right w:val="single" w:sz="4" w:space="0" w:color="auto"/>
            </w:tcBorders>
            <w:shd w:val="clear" w:color="auto" w:fill="auto"/>
            <w:noWrap/>
            <w:vAlign w:val="bottom"/>
            <w:hideMark/>
          </w:tcPr>
          <w:p w14:paraId="167189AD" w14:textId="77777777" w:rsidR="00D13343" w:rsidRPr="00D13343" w:rsidRDefault="00D13343" w:rsidP="00CC0DFD">
            <w:pPr>
              <w:keepNext/>
              <w:spacing w:after="0" w:line="240" w:lineRule="auto"/>
              <w:ind w:firstLine="0"/>
              <w:jc w:val="center"/>
              <w:rPr>
                <w:rFonts w:eastAsia="Times New Roman"/>
                <w:color w:val="000000"/>
              </w:rPr>
            </w:pPr>
            <w:r w:rsidRPr="00D13343">
              <w:rPr>
                <w:rFonts w:eastAsia="Times New Roman"/>
                <w:color w:val="000000"/>
              </w:rPr>
              <w:t>6.096</w:t>
            </w:r>
          </w:p>
        </w:tc>
        <w:tc>
          <w:tcPr>
            <w:tcW w:w="1277" w:type="dxa"/>
            <w:tcBorders>
              <w:top w:val="nil"/>
              <w:left w:val="nil"/>
              <w:bottom w:val="single" w:sz="4" w:space="0" w:color="auto"/>
              <w:right w:val="single" w:sz="4" w:space="0" w:color="auto"/>
            </w:tcBorders>
            <w:shd w:val="clear" w:color="auto" w:fill="auto"/>
            <w:noWrap/>
            <w:vAlign w:val="bottom"/>
            <w:hideMark/>
          </w:tcPr>
          <w:p w14:paraId="1CBB71D7" w14:textId="77777777" w:rsidR="00D13343" w:rsidRPr="00D13343" w:rsidRDefault="00D13343" w:rsidP="00CC0DFD">
            <w:pPr>
              <w:keepNext/>
              <w:spacing w:after="0" w:line="240" w:lineRule="auto"/>
              <w:ind w:firstLine="0"/>
              <w:jc w:val="center"/>
              <w:rPr>
                <w:rFonts w:eastAsia="Times New Roman"/>
                <w:color w:val="000000"/>
              </w:rPr>
            </w:pPr>
            <w:r w:rsidRPr="00D13343">
              <w:rPr>
                <w:rFonts w:eastAsia="Times New Roman"/>
                <w:color w:val="000000"/>
              </w:rPr>
              <w:t>6.963</w:t>
            </w:r>
          </w:p>
        </w:tc>
      </w:tr>
      <w:tr w:rsidR="00D13343" w:rsidRPr="00D13343" w14:paraId="41615C38" w14:textId="77777777" w:rsidTr="00CC0DFD">
        <w:trPr>
          <w:trHeight w:val="300"/>
          <w:jc w:val="center"/>
        </w:trPr>
        <w:tc>
          <w:tcPr>
            <w:tcW w:w="1149" w:type="dxa"/>
            <w:tcBorders>
              <w:top w:val="nil"/>
              <w:left w:val="single" w:sz="4" w:space="0" w:color="auto"/>
              <w:bottom w:val="single" w:sz="4" w:space="0" w:color="auto"/>
              <w:right w:val="single" w:sz="4" w:space="0" w:color="auto"/>
            </w:tcBorders>
            <w:shd w:val="clear" w:color="auto" w:fill="auto"/>
            <w:noWrap/>
            <w:vAlign w:val="bottom"/>
            <w:hideMark/>
          </w:tcPr>
          <w:p w14:paraId="66A175C8" w14:textId="77777777" w:rsidR="00D13343" w:rsidRPr="00D13343" w:rsidRDefault="00D13343" w:rsidP="00D13343">
            <w:pPr>
              <w:spacing w:after="0" w:line="240" w:lineRule="auto"/>
              <w:ind w:firstLine="0"/>
              <w:jc w:val="center"/>
              <w:rPr>
                <w:rFonts w:eastAsia="Times New Roman"/>
                <w:color w:val="000000"/>
              </w:rPr>
            </w:pPr>
            <w:r w:rsidRPr="00D13343">
              <w:rPr>
                <w:rFonts w:eastAsia="Times New Roman"/>
                <w:color w:val="000000"/>
              </w:rPr>
              <w:t>Outer</w:t>
            </w:r>
          </w:p>
        </w:tc>
        <w:tc>
          <w:tcPr>
            <w:tcW w:w="1209" w:type="dxa"/>
            <w:tcBorders>
              <w:top w:val="nil"/>
              <w:left w:val="nil"/>
              <w:bottom w:val="single" w:sz="4" w:space="0" w:color="auto"/>
              <w:right w:val="single" w:sz="4" w:space="0" w:color="auto"/>
            </w:tcBorders>
            <w:shd w:val="clear" w:color="auto" w:fill="auto"/>
            <w:noWrap/>
            <w:vAlign w:val="bottom"/>
            <w:hideMark/>
          </w:tcPr>
          <w:p w14:paraId="5B306015" w14:textId="77777777" w:rsidR="00D13343" w:rsidRPr="00D13343" w:rsidRDefault="00D13343" w:rsidP="00D13343">
            <w:pPr>
              <w:spacing w:after="0" w:line="240" w:lineRule="auto"/>
              <w:ind w:firstLine="0"/>
              <w:jc w:val="center"/>
              <w:rPr>
                <w:rFonts w:eastAsia="Times New Roman"/>
                <w:color w:val="000000"/>
              </w:rPr>
            </w:pPr>
            <w:r w:rsidRPr="00D13343">
              <w:rPr>
                <w:rFonts w:eastAsia="Times New Roman"/>
                <w:color w:val="000000"/>
              </w:rPr>
              <w:t>12.737</w:t>
            </w:r>
          </w:p>
        </w:tc>
        <w:tc>
          <w:tcPr>
            <w:tcW w:w="1277" w:type="dxa"/>
            <w:tcBorders>
              <w:top w:val="nil"/>
              <w:left w:val="nil"/>
              <w:bottom w:val="single" w:sz="4" w:space="0" w:color="auto"/>
              <w:right w:val="single" w:sz="4" w:space="0" w:color="auto"/>
            </w:tcBorders>
            <w:shd w:val="clear" w:color="auto" w:fill="auto"/>
            <w:noWrap/>
            <w:vAlign w:val="bottom"/>
            <w:hideMark/>
          </w:tcPr>
          <w:p w14:paraId="69E2EB14" w14:textId="77777777" w:rsidR="00D13343" w:rsidRPr="00D13343" w:rsidRDefault="00D13343" w:rsidP="00D13343">
            <w:pPr>
              <w:spacing w:after="0" w:line="240" w:lineRule="auto"/>
              <w:ind w:firstLine="0"/>
              <w:jc w:val="center"/>
              <w:rPr>
                <w:rFonts w:eastAsia="Times New Roman"/>
                <w:color w:val="000000"/>
              </w:rPr>
            </w:pPr>
            <w:r w:rsidRPr="00D13343">
              <w:rPr>
                <w:rFonts w:eastAsia="Times New Roman"/>
                <w:color w:val="000000"/>
              </w:rPr>
              <w:t>13.772</w:t>
            </w:r>
          </w:p>
        </w:tc>
      </w:tr>
    </w:tbl>
    <w:p w14:paraId="0ABD0EE4" w14:textId="63ACE2EC" w:rsidR="006A738E" w:rsidRPr="00A90B3C" w:rsidRDefault="00A3685B" w:rsidP="00A90B3C">
      <w:pPr>
        <w:spacing w:line="276" w:lineRule="auto"/>
        <w:ind w:firstLine="0"/>
        <w:jc w:val="left"/>
        <w:rPr>
          <w:sz w:val="24"/>
        </w:rPr>
      </w:pPr>
      <w:r>
        <w:rPr>
          <w:sz w:val="24"/>
        </w:rPr>
        <w:br w:type="page"/>
      </w:r>
    </w:p>
    <w:p w14:paraId="2984B7B5" w14:textId="77777777" w:rsidR="00F359EF" w:rsidRDefault="006A738E" w:rsidP="0038463A">
      <w:pPr>
        <w:pStyle w:val="Heading1"/>
        <w:ind w:firstLine="0"/>
        <w:rPr>
          <w:rStyle w:val="SubtitleChar"/>
        </w:rPr>
      </w:pPr>
      <w:r>
        <w:lastRenderedPageBreak/>
        <w:fldChar w:fldCharType="begin"/>
      </w:r>
      <w:bookmarkStart w:id="98" w:name="_Ref382911145"/>
      <w:bookmarkEnd w:id="98"/>
      <w:r>
        <w:instrText xml:space="preserve"> LISTNUM CHAP \l 1</w:instrText>
      </w:r>
      <w:bookmarkStart w:id="99" w:name="_Toc382921540"/>
      <w:r>
        <w:fldChar w:fldCharType="end"/>
      </w:r>
      <w:r>
        <w:t xml:space="preserve">    COMSOL Overview</w:t>
      </w:r>
      <w:bookmarkEnd w:id="99"/>
      <w:r w:rsidRPr="00FF3A17">
        <w:rPr>
          <w:rStyle w:val="SubtitleChar"/>
        </w:rPr>
        <w:t xml:space="preserve"> </w:t>
      </w:r>
    </w:p>
    <w:p w14:paraId="34ACF250" w14:textId="63885EF0" w:rsidR="006A738E" w:rsidRPr="00E3342F" w:rsidRDefault="006A738E" w:rsidP="00F359EF">
      <w:pPr>
        <w:pStyle w:val="Subtitle"/>
      </w:pPr>
      <w:r w:rsidRPr="00FF3A17">
        <w:rPr>
          <w:rStyle w:val="SubtitleChar"/>
        </w:rPr>
        <w:fldChar w:fldCharType="begin"/>
      </w:r>
      <w:r w:rsidRPr="00FF3A17">
        <w:rPr>
          <w:rStyle w:val="SubtitleChar"/>
        </w:rPr>
        <w:instrText xml:space="preserve"> LISTNUM EQN </w:instrText>
      </w:r>
      <w:r w:rsidRPr="00FF3A17">
        <w:rPr>
          <w:rStyle w:val="SubtitleChar"/>
        </w:rPr>
        <w:fldChar w:fldCharType="end"/>
      </w:r>
      <w:r w:rsidRPr="00FF3A17">
        <w:rPr>
          <w:rStyle w:val="SubtitleChar"/>
        </w:rPr>
        <w:fldChar w:fldCharType="begin"/>
      </w:r>
      <w:r w:rsidRPr="00FF3A17">
        <w:rPr>
          <w:rStyle w:val="SubtitleChar"/>
        </w:rPr>
        <w:instrText xml:space="preserve"> LISTNUM FIG </w:instrText>
      </w:r>
      <w:r w:rsidRPr="00FF3A17">
        <w:rPr>
          <w:rStyle w:val="SubtitleChar"/>
        </w:rPr>
        <w:fldChar w:fldCharType="end"/>
      </w:r>
      <w:r w:rsidRPr="00FF3A17">
        <w:rPr>
          <w:rStyle w:val="SubtitleChar"/>
        </w:rPr>
        <w:fldChar w:fldCharType="begin"/>
      </w:r>
      <w:r w:rsidRPr="00FF3A17">
        <w:rPr>
          <w:rStyle w:val="SubtitleChar"/>
        </w:rPr>
        <w:instrText xml:space="preserve">LISTNUM TAB </w:instrText>
      </w:r>
      <w:r w:rsidRPr="00FF3A17">
        <w:rPr>
          <w:rStyle w:val="SubtitleChar"/>
        </w:rPr>
        <w:fldChar w:fldCharType="end"/>
      </w:r>
    </w:p>
    <w:p w14:paraId="71FEE5F5" w14:textId="60B923AC" w:rsidR="00EE35AD" w:rsidRDefault="00FA0807" w:rsidP="00FA0807">
      <w:r>
        <w:t xml:space="preserve">Before simulation work was performed on thesis-related models, software quality assurance (SQA) was performed on COMSOL.  The process consisted of running example models pre-loaded with the COMSOL distribution on the same machine that thesis-related work would later be performed on.  The SQA process was intended as a means of code validation for all HFIR-related LEU conversion work, the scope of this thesis </w:t>
      </w:r>
      <w:r w:rsidR="00E174A2">
        <w:t xml:space="preserve">being </w:t>
      </w:r>
      <w:r>
        <w:t>a subset of a broader modeling and simulation effort.  Many of t</w:t>
      </w:r>
      <w:r w:rsidR="00DE6858">
        <w:t xml:space="preserve">he selected example models share, in at least one significant instance, similarities with the work presented in this thesis be it through similar geometry types, domain physics, meshing techniques, or other internal modeling mechanisms.  For all cases, solutions to the example models were compared against solutions obtained by COMSOL Mulitphysics.  In many instances these </w:t>
      </w:r>
      <w:r w:rsidR="00EE35AD">
        <w:t xml:space="preserve">example models were recreations of published experimental data that </w:t>
      </w:r>
      <w:r w:rsidR="006D56C5">
        <w:t>had been used by COMSOL Multiph</w:t>
      </w:r>
      <w:r w:rsidR="00EE35AD">
        <w:t>ysics as internal bench</w:t>
      </w:r>
      <w:r w:rsidR="00E174A2">
        <w:t>marks.  For such example models</w:t>
      </w:r>
      <w:r w:rsidR="006D56C5">
        <w:t>,</w:t>
      </w:r>
      <w:r w:rsidR="00EE35AD">
        <w:t xml:space="preserve"> locally obtained solutions were also compared directly against</w:t>
      </w:r>
      <w:r w:rsidR="00E174A2">
        <w:t xml:space="preserve"> the original experimental data</w:t>
      </w:r>
      <w:r w:rsidR="00EE35AD">
        <w:t xml:space="preserve"> included in the COMSOL documentation.</w:t>
      </w:r>
    </w:p>
    <w:p w14:paraId="5E2C9667" w14:textId="0C61397D" w:rsidR="0012452B" w:rsidRDefault="00AD0A43" w:rsidP="003E4EC2">
      <w:r>
        <w:t>COMSOL utilizes the</w:t>
      </w:r>
      <w:r w:rsidR="00E92F88">
        <w:t xml:space="preserve"> finite element method for</w:t>
      </w:r>
      <w:r w:rsidR="00AA7164">
        <w:t xml:space="preserve"> the</w:t>
      </w:r>
      <w:r>
        <w:t xml:space="preserve"> discretization and solution</w:t>
      </w:r>
      <w:r w:rsidR="00AA7164">
        <w:t xml:space="preserve"> of the domain and the physics modeled therein</w:t>
      </w:r>
      <w:r w:rsidR="00FA0807">
        <w:t>.</w:t>
      </w:r>
      <w:r w:rsidR="00A90B3C">
        <w:t xml:space="preserve">  </w:t>
      </w:r>
      <w:r w:rsidR="0012452B">
        <w:t xml:space="preserve">The finite element method operates under the assumption that an expansion exists that can perfectly satisfy the governing equations and their boundary conditions in </w:t>
      </w:r>
      <w:r w:rsidR="00E32F57">
        <w:t>a</w:t>
      </w:r>
      <w:r w:rsidR="0012452B">
        <w:t xml:space="preserve"> solution </w:t>
      </w:r>
      <w:r w:rsidR="00E32F57">
        <w:t>domain</w:t>
      </w:r>
      <w:r w:rsidR="0012452B">
        <w:t xml:space="preserve">.  For any solution variable, </w:t>
      </w:r>
      <w:r w:rsidR="0012452B">
        <w:rPr>
          <w:i/>
        </w:rPr>
        <w:t>ϕ</w:t>
      </w:r>
      <w:r w:rsidR="0012452B">
        <w:t>, such an expansion would have the form</w:t>
      </w:r>
    </w:p>
    <w:p w14:paraId="43D21A5C" w14:textId="77777777" w:rsidR="0012452B" w:rsidRDefault="0012452B" w:rsidP="0012452B">
      <w:pPr>
        <w:pStyle w:val="numberedeqnstyle"/>
      </w:pPr>
      <w:r w:rsidRPr="00A025AE">
        <w:tab/>
      </w:r>
      <w:r w:rsidR="008D5780" w:rsidRPr="00A90B3C">
        <w:rPr>
          <w:position w:val="-28"/>
        </w:rPr>
        <w:object w:dxaOrig="2340" w:dyaOrig="680" w14:anchorId="583D5426">
          <v:shape id="_x0000_i1083" type="#_x0000_t75" style="width:118.2pt;height:30.65pt" o:ole="">
            <v:imagedata r:id="rId143" o:title=""/>
          </v:shape>
          <o:OLEObject Type="Embed" ProgID="Equation.3" ShapeID="_x0000_i1083" DrawAspect="Content" ObjectID="_1457171735" r:id="rId144"/>
        </w:object>
      </w:r>
      <w:r>
        <w:tab/>
      </w:r>
      <w:r>
        <w:fldChar w:fldCharType="begin"/>
      </w:r>
      <w:bookmarkStart w:id="100" w:name="_Ref380148507"/>
      <w:bookmarkEnd w:id="100"/>
      <w:r>
        <w:instrText xml:space="preserve"> LISTNUM EQN \l 2 </w:instrText>
      </w:r>
      <w:r>
        <w:fldChar w:fldCharType="end"/>
      </w:r>
      <w:r>
        <w:t>)</w:t>
      </w:r>
    </w:p>
    <w:p w14:paraId="4CEF8739" w14:textId="3BC5FAA6" w:rsidR="0012452B" w:rsidRDefault="0012452B" w:rsidP="0012452B">
      <w:pPr>
        <w:ind w:firstLine="0"/>
      </w:pPr>
      <w:r>
        <w:t xml:space="preserve">where </w:t>
      </w:r>
      <w:r w:rsidR="008D5780">
        <w:rPr>
          <w:i/>
        </w:rPr>
        <w:t>ψ</w:t>
      </w:r>
      <w:r w:rsidR="008D5780">
        <w:rPr>
          <w:i/>
          <w:vertAlign w:val="subscript"/>
        </w:rPr>
        <w:t>i</w:t>
      </w:r>
      <w:r w:rsidR="008D5780">
        <w:t xml:space="preserve"> are </w:t>
      </w:r>
      <w:r w:rsidR="007938DF">
        <w:t>basis</w:t>
      </w:r>
      <w:r w:rsidR="008D5780">
        <w:t xml:space="preserve"> functions</w:t>
      </w:r>
      <w:r w:rsidR="009341C6">
        <w:t xml:space="preserve"> and </w:t>
      </w:r>
      <w:r w:rsidR="009341C6">
        <w:rPr>
          <w:i/>
        </w:rPr>
        <w:t>ϕ</w:t>
      </w:r>
      <w:r w:rsidR="009341C6">
        <w:rPr>
          <w:i/>
          <w:vertAlign w:val="subscript"/>
        </w:rPr>
        <w:t>i</w:t>
      </w:r>
      <w:r w:rsidR="009341C6">
        <w:t xml:space="preserve"> are values of the solution variable at </w:t>
      </w:r>
      <w:r w:rsidR="00AA7164">
        <w:t xml:space="preserve">specific </w:t>
      </w:r>
      <w:r w:rsidR="009341C6">
        <w:t>nodal points.</w:t>
      </w:r>
      <w:r w:rsidR="00AA7164">
        <w:t xml:space="preserve">  Therefore, for sufficiently large </w:t>
      </w:r>
      <w:r w:rsidR="00AA7164">
        <w:rPr>
          <w:i/>
        </w:rPr>
        <w:t>n</w:t>
      </w:r>
      <w:r w:rsidR="00686774">
        <w:t xml:space="preserve">, a finite </w:t>
      </w:r>
      <w:r w:rsidR="00AA7164">
        <w:t>approximate solution exists such that</w:t>
      </w:r>
      <w:r w:rsidR="00C260AA">
        <w:rPr>
          <w:rStyle w:val="EndnoteReference"/>
        </w:rPr>
        <w:endnoteReference w:id="56"/>
      </w:r>
    </w:p>
    <w:p w14:paraId="01BE546F" w14:textId="2251A051" w:rsidR="00AA7164" w:rsidRDefault="00AA7164" w:rsidP="00AA7164">
      <w:pPr>
        <w:pStyle w:val="numberedeqnstyle"/>
      </w:pPr>
      <w:r w:rsidRPr="00A025AE">
        <w:tab/>
      </w:r>
      <w:r w:rsidR="00686774" w:rsidRPr="00A90B3C">
        <w:rPr>
          <w:position w:val="-28"/>
        </w:rPr>
        <w:object w:dxaOrig="3379" w:dyaOrig="680" w14:anchorId="30F352DA">
          <v:shape id="_x0000_i1084" type="#_x0000_t75" style="width:171.4pt;height:30.65pt" o:ole="">
            <v:imagedata r:id="rId145" o:title=""/>
          </v:shape>
          <o:OLEObject Type="Embed" ProgID="Equation.3" ShapeID="_x0000_i1084" DrawAspect="Content" ObjectID="_1457171736" r:id="rId146"/>
        </w:object>
      </w:r>
      <w:r w:rsidR="00686774">
        <w:t>.</w:t>
      </w:r>
      <w:r>
        <w:tab/>
      </w:r>
      <w:r>
        <w:fldChar w:fldCharType="begin"/>
      </w:r>
      <w:r>
        <w:instrText xml:space="preserve"> LISTNUM EQN \l 2 </w:instrText>
      </w:r>
      <w:r>
        <w:fldChar w:fldCharType="end"/>
      </w:r>
      <w:r>
        <w:t>)</w:t>
      </w:r>
    </w:p>
    <w:p w14:paraId="489573D5" w14:textId="5EBD52AC" w:rsidR="005D412A" w:rsidRDefault="005D412A" w:rsidP="00C260AA">
      <w:r>
        <w:t xml:space="preserve">The </w:t>
      </w:r>
      <w:r w:rsidR="007938DF">
        <w:t>basis</w:t>
      </w:r>
      <w:r>
        <w:t xml:space="preserve"> functions most commonly chosen for such large solution domains are linear, quadratic, or cubic.  The increase in order carries with it the potential to increase the acc</w:t>
      </w:r>
      <w:r w:rsidR="004B0D81">
        <w:t xml:space="preserve">uracy of the solution.  </w:t>
      </w:r>
      <w:r w:rsidR="006D56C5">
        <w:t>It also</w:t>
      </w:r>
      <w:r w:rsidR="004B0D81">
        <w:t xml:space="preserve"> </w:t>
      </w:r>
      <w:r>
        <w:t>bears the price of increased complexity and computational cost</w:t>
      </w:r>
      <w:r w:rsidR="006D56C5">
        <w:t>, however,</w:t>
      </w:r>
      <w:r>
        <w:t xml:space="preserve"> and </w:t>
      </w:r>
      <w:r w:rsidR="00057CAB">
        <w:t>creates the</w:t>
      </w:r>
      <w:r>
        <w:t xml:space="preserve"> risk of introducing non-physical oscillations into the final solution</w:t>
      </w:r>
      <w:r w:rsidR="004B0D81">
        <w:t>, espec</w:t>
      </w:r>
      <w:r w:rsidR="009E059B">
        <w:t>ially in fluid domains</w:t>
      </w:r>
      <w:r w:rsidR="004B0D81">
        <w:t>.</w:t>
      </w:r>
      <w:r w:rsidR="00D45DA2">
        <w:t xml:space="preserve">  Linear </w:t>
      </w:r>
      <w:r w:rsidR="007938DF">
        <w:t>basis</w:t>
      </w:r>
      <w:r w:rsidR="00D45DA2">
        <w:t xml:space="preserve"> functions are usually chosen due to their simplicity and robustness.</w:t>
      </w:r>
    </w:p>
    <w:p w14:paraId="0121E03A" w14:textId="032DC858" w:rsidR="004866A0" w:rsidRDefault="00057CAB" w:rsidP="004F6ABC">
      <w:r>
        <w:t>The problems considered in this thesis</w:t>
      </w:r>
      <w:r w:rsidR="00D45DA2">
        <w:t xml:space="preserve"> </w:t>
      </w:r>
      <w:r>
        <w:t>do not contain</w:t>
      </w:r>
      <w:r w:rsidR="005D412A">
        <w:t xml:space="preserve"> known, exact solution</w:t>
      </w:r>
      <w:r>
        <w:t>s</w:t>
      </w:r>
      <w:r w:rsidR="005D412A">
        <w:t>.  Therefore, convergence is achieved through the minimization</w:t>
      </w:r>
      <w:r w:rsidR="00D45DA2">
        <w:t xml:space="preserve"> of a residual quantity</w:t>
      </w:r>
      <w:r w:rsidR="005D412A">
        <w:t>.</w:t>
      </w:r>
      <w:r w:rsidR="00A92E36">
        <w:t xml:space="preserve">  The derivation of the residual quantity </w:t>
      </w:r>
      <w:r w:rsidR="00A92E36">
        <w:lastRenderedPageBreak/>
        <w:t xml:space="preserve">depends on the governing physical equation for each solution variable.  It is essentially a reworking of the governing equation such that evaluating it with the idealized solution from Eqn. </w:t>
      </w:r>
      <w:r w:rsidR="00A92E36">
        <w:fldChar w:fldCharType="begin"/>
      </w:r>
      <w:r w:rsidR="00A92E36">
        <w:instrText xml:space="preserve"> REF _Ref380148507 \r \h </w:instrText>
      </w:r>
      <w:r w:rsidR="00A92E36">
        <w:fldChar w:fldCharType="separate"/>
      </w:r>
      <w:r w:rsidR="001C5EC1">
        <w:t>(4.1</w:t>
      </w:r>
      <w:r w:rsidR="00A92E36">
        <w:fldChar w:fldCharType="end"/>
      </w:r>
      <w:r w:rsidR="00A92E36">
        <w:t>) would yield zero.  Evaluating it with the approximate solution, however, will yield a nonzero answer</w:t>
      </w:r>
      <w:r>
        <w:t>.  This quantity</w:t>
      </w:r>
      <w:r w:rsidR="00A92E36">
        <w:t xml:space="preserve"> is the residual.  </w:t>
      </w:r>
      <w:r w:rsidR="00E17BE7">
        <w:t>And so it is the goal of the iterative convergence process to reduce this residual quantity to an acceptable toleran</w:t>
      </w:r>
      <w:r w:rsidR="003758C2">
        <w:t>ce that is approximately zero.</w:t>
      </w:r>
    </w:p>
    <w:p w14:paraId="7FB33D96" w14:textId="7B9BB22B" w:rsidR="00C465C3" w:rsidRDefault="00C465C3" w:rsidP="004F6ABC">
      <w:r>
        <w:t>The</w:t>
      </w:r>
      <w:r w:rsidR="00AD5D36">
        <w:t xml:space="preserve"> total set of solution variables can be formed into a</w:t>
      </w:r>
      <w:r w:rsidR="003B570C">
        <w:t xml:space="preserve"> Jacobian</w:t>
      </w:r>
      <w:r w:rsidR="00AD5D36">
        <w:t xml:space="preserve"> </w:t>
      </w:r>
      <w:r w:rsidR="00C742B9">
        <w:t xml:space="preserve">solution </w:t>
      </w:r>
      <w:r w:rsidR="00AD5D36">
        <w:t>matrix</w:t>
      </w:r>
      <w:r w:rsidR="00AB7FD0">
        <w:t>.  Using the accompanying residuals and a set of unknown variables that satisfy the system, the entire domain can be solved using iterative methods.  The MUltifrontal Massively Parallel sparce direct Solver (MUMPS)</w:t>
      </w:r>
      <w:r w:rsidR="006D030B">
        <w:rPr>
          <w:rStyle w:val="EndnoteReference"/>
        </w:rPr>
        <w:endnoteReference w:id="57"/>
      </w:r>
      <w:r w:rsidR="00AB7FD0">
        <w:t xml:space="preserve"> was chosen for both models.  The MUMPS solver is a direct solver ideal for large solution domains given its ability to utilize hyper-threading on capable machines and its compatibility with distributed memory server arrays via message passing interface (MPI).</w:t>
      </w:r>
      <w:r w:rsidR="00F717F8">
        <w:t xml:space="preserve">  The latter ability greatly expands the limiting size and complexity of models.</w:t>
      </w:r>
    </w:p>
    <w:p w14:paraId="7AD9088C" w14:textId="77777777" w:rsidR="004F6ABC" w:rsidRDefault="00420F65" w:rsidP="00D96A4E">
      <w:r>
        <w:t xml:space="preserve">Even </w:t>
      </w:r>
      <w:r w:rsidR="00E140F4">
        <w:t>with</w:t>
      </w:r>
      <w:r>
        <w:t xml:space="preserve"> the available computational resou</w:t>
      </w:r>
      <w:r w:rsidR="00E140F4">
        <w:t>rces</w:t>
      </w:r>
      <w:r>
        <w:t xml:space="preserve"> the iterative solution process was segregated into steps</w:t>
      </w:r>
      <w:r w:rsidR="00E140F4">
        <w:t xml:space="preserve"> in order to decrease memory requirements</w:t>
      </w:r>
      <w:r>
        <w:t xml:space="preserve">.  </w:t>
      </w:r>
      <w:r w:rsidR="00350616">
        <w:t xml:space="preserve">Each iterate was divided into two steps:  one to solve temperature, pressure, and velocity and another to solve </w:t>
      </w:r>
      <w:r w:rsidR="00E140F4">
        <w:t>turbulence variables</w:t>
      </w:r>
      <w:r w:rsidR="00350616">
        <w:t>.</w:t>
      </w:r>
      <w:r w:rsidR="004058FD">
        <w:t xml:space="preserve">  Iterate segregation can</w:t>
      </w:r>
      <w:r w:rsidR="006D56C5">
        <w:t xml:space="preserve"> </w:t>
      </w:r>
      <w:r w:rsidR="004058FD">
        <w:t>reduce the stability of the solution process</w:t>
      </w:r>
      <w:r w:rsidR="006D56C5">
        <w:t>, however</w:t>
      </w:r>
      <w:r w:rsidR="003616EF">
        <w:t>, especially if certain “inseparable” variables are segregated separately</w:t>
      </w:r>
      <w:r w:rsidR="004058FD">
        <w:t>.  To say</w:t>
      </w:r>
      <w:r w:rsidR="003616EF">
        <w:t>, for instance,</w:t>
      </w:r>
      <w:r w:rsidR="004058FD">
        <w:t xml:space="preserve"> that </w:t>
      </w:r>
      <w:r w:rsidR="003B570C">
        <w:rPr>
          <w:i/>
        </w:rPr>
        <w:t>T</w:t>
      </w:r>
      <w:r w:rsidR="004058FD">
        <w:t xml:space="preserve">, as a single variable, was solved in the first step is perhaps an oversimplification.  The first step solves </w:t>
      </w:r>
      <w:r w:rsidR="004058FD">
        <w:rPr>
          <w:i/>
        </w:rPr>
        <w:t>T</w:t>
      </w:r>
      <w:r w:rsidR="003B570C">
        <w:t xml:space="preserve"> in the solid domain</w:t>
      </w:r>
      <w:r w:rsidR="004058FD">
        <w:t xml:space="preserve">, the fluid domain, and a wall temperature variable on shared surfaces.  Attempting to further segregate the model by domain type and moving </w:t>
      </w:r>
      <w:r w:rsidR="004058FD">
        <w:rPr>
          <w:i/>
        </w:rPr>
        <w:t>T</w:t>
      </w:r>
      <w:r w:rsidR="004058FD">
        <w:rPr>
          <w:i/>
          <w:vertAlign w:val="subscript"/>
        </w:rPr>
        <w:t>solid</w:t>
      </w:r>
      <w:r w:rsidR="004058FD">
        <w:t xml:space="preserve"> into its own step caused the model to diverge.  This is readily understandable given the interdependency between all three temperature variables.  Likewise, </w:t>
      </w:r>
      <w:r w:rsidR="003616EF">
        <w:t xml:space="preserve">the </w:t>
      </w:r>
      <w:r w:rsidR="004058FD">
        <w:t xml:space="preserve">flow </w:t>
      </w:r>
      <w:r w:rsidR="003616EF">
        <w:t>variables</w:t>
      </w:r>
      <w:r w:rsidR="004058FD">
        <w:t xml:space="preserve"> </w:t>
      </w:r>
      <w:r w:rsidR="004058FD">
        <w:rPr>
          <w:i/>
        </w:rPr>
        <w:t>p</w:t>
      </w:r>
      <w:r w:rsidR="004058FD">
        <w:t xml:space="preserve"> and </w:t>
      </w:r>
      <w:r w:rsidR="004058FD">
        <w:rPr>
          <w:i/>
        </w:rPr>
        <w:t>u</w:t>
      </w:r>
      <w:r w:rsidR="004058FD">
        <w:t xml:space="preserve"> are inseparable as are</w:t>
      </w:r>
      <w:r w:rsidR="003616EF">
        <w:t xml:space="preserve"> the turbulence variables</w:t>
      </w:r>
      <w:r w:rsidR="004058FD">
        <w:t xml:space="preserve"> </w:t>
      </w:r>
      <w:r w:rsidR="004058FD">
        <w:rPr>
          <w:i/>
        </w:rPr>
        <w:t xml:space="preserve">k </w:t>
      </w:r>
      <w:r w:rsidR="004058FD">
        <w:t xml:space="preserve">and </w:t>
      </w:r>
      <w:r w:rsidR="004058FD">
        <w:rPr>
          <w:i/>
        </w:rPr>
        <w:t>ε</w:t>
      </w:r>
      <w:r w:rsidR="004058FD">
        <w:t>.  The two-step segregation avoids any such in</w:t>
      </w:r>
      <w:r w:rsidR="003616EF">
        <w:t>stability concerns while</w:t>
      </w:r>
      <w:r w:rsidR="00C41428">
        <w:t xml:space="preserve"> greatly decreasing</w:t>
      </w:r>
      <w:r w:rsidR="004058FD">
        <w:t xml:space="preserve"> the memory requirement per iterate by reducing the size of the respective solution matrices.</w:t>
      </w:r>
    </w:p>
    <w:p w14:paraId="7B37413D" w14:textId="0A170A16" w:rsidR="004F6ABC" w:rsidRDefault="004F6ABC" w:rsidP="00420442">
      <w:pPr>
        <w:pStyle w:val="NormalBeforeTable"/>
      </w:pPr>
      <w:r>
        <w:t>All thesis-related work was performed on a relative residua tolerance of 1.00X10</w:t>
      </w:r>
      <w:r>
        <w:rPr>
          <w:vertAlign w:val="superscript"/>
        </w:rPr>
        <w:t>-2</w:t>
      </w:r>
      <w:r>
        <w:t>.</w:t>
      </w:r>
      <w:r w:rsidR="00D30F56">
        <w:t xml:space="preserve">  This level of tolerance was deemed sufficient due to the fact that increasing it to a higher tolerance yielded only minimal changes to a solution, as will be demonstrated in Section </w:t>
      </w:r>
      <w:r w:rsidR="00D30F56">
        <w:fldChar w:fldCharType="begin"/>
      </w:r>
      <w:r w:rsidR="00D30F56">
        <w:instrText xml:space="preserve"> REF _Ref381189502 \r \h </w:instrText>
      </w:r>
      <w:r w:rsidR="00D30F56">
        <w:fldChar w:fldCharType="separate"/>
      </w:r>
      <w:r w:rsidR="001C5EC1">
        <w:t>VII</w:t>
      </w:r>
      <w:r w:rsidR="00D30F56">
        <w:fldChar w:fldCharType="end"/>
      </w:r>
      <w:r w:rsidR="00D30F56">
        <w:t>.</w:t>
      </w:r>
      <w:r>
        <w:t xml:space="preserve">  Each solution variable was scaled independently with respect to this residual quantity.  The scaling for each variable is shown in Table </w:t>
      </w:r>
      <w:r>
        <w:fldChar w:fldCharType="begin"/>
      </w:r>
      <w:r>
        <w:instrText xml:space="preserve"> REF _Ref382905535 \r \h </w:instrText>
      </w:r>
      <w:r>
        <w:fldChar w:fldCharType="separate"/>
      </w:r>
      <w:r w:rsidR="001C5EC1">
        <w:t>4.1</w:t>
      </w:r>
      <w:r>
        <w:fldChar w:fldCharType="end"/>
      </w:r>
      <w:r>
        <w:t>.</w:t>
      </w:r>
      <w:r w:rsidR="00E64569">
        <w:t xml:space="preserve">  Residuals are calculated for each segregated step based on the L2-norm of the individual scaled residuals in that step.</w:t>
      </w:r>
    </w:p>
    <w:tbl>
      <w:tblPr>
        <w:tblW w:w="3180" w:type="dxa"/>
        <w:jc w:val="center"/>
        <w:tblLook w:val="04A0" w:firstRow="1" w:lastRow="0" w:firstColumn="1" w:lastColumn="0" w:noHBand="0" w:noVBand="1"/>
      </w:tblPr>
      <w:tblGrid>
        <w:gridCol w:w="1561"/>
        <w:gridCol w:w="1619"/>
      </w:tblGrid>
      <w:tr w:rsidR="004F6ABC" w:rsidRPr="004866A0" w14:paraId="4497B60D" w14:textId="77777777" w:rsidTr="00D30F56">
        <w:trPr>
          <w:trHeight w:val="375"/>
          <w:jc w:val="center"/>
        </w:trPr>
        <w:tc>
          <w:tcPr>
            <w:tcW w:w="31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EC63C" w14:textId="77777777" w:rsidR="004F6ABC" w:rsidRPr="004866A0" w:rsidRDefault="004F6ABC" w:rsidP="006B4E71">
            <w:pPr>
              <w:pStyle w:val="NoSpacing"/>
            </w:pPr>
            <w:bookmarkStart w:id="101" w:name="_Toc382920192"/>
            <w:r w:rsidRPr="004866A0">
              <w:lastRenderedPageBreak/>
              <w:t xml:space="preserve">Table </w:t>
            </w:r>
            <w:r w:rsidRPr="004866A0">
              <w:fldChar w:fldCharType="begin"/>
            </w:r>
            <w:bookmarkStart w:id="102" w:name="_Ref382905535"/>
            <w:bookmarkEnd w:id="102"/>
            <w:r w:rsidRPr="004866A0">
              <w:instrText xml:space="preserve"> LISTNUM TAB \l 2</w:instrText>
            </w:r>
            <w:r w:rsidRPr="004866A0">
              <w:fldChar w:fldCharType="end"/>
            </w:r>
            <w:r w:rsidRPr="004866A0">
              <w:t>:  Solution Variable Scaling Factors</w:t>
            </w:r>
            <w:bookmarkEnd w:id="101"/>
          </w:p>
        </w:tc>
      </w:tr>
      <w:tr w:rsidR="004F6ABC" w:rsidRPr="004866A0" w14:paraId="1AE3459C" w14:textId="77777777" w:rsidTr="00D30F56">
        <w:trPr>
          <w:trHeight w:val="300"/>
          <w:jc w:val="center"/>
        </w:trPr>
        <w:tc>
          <w:tcPr>
            <w:tcW w:w="1561" w:type="dxa"/>
            <w:tcBorders>
              <w:top w:val="nil"/>
              <w:left w:val="single" w:sz="4" w:space="0" w:color="auto"/>
              <w:bottom w:val="single" w:sz="4" w:space="0" w:color="auto"/>
              <w:right w:val="single" w:sz="4" w:space="0" w:color="auto"/>
            </w:tcBorders>
            <w:shd w:val="clear" w:color="auto" w:fill="auto"/>
            <w:noWrap/>
            <w:vAlign w:val="center"/>
            <w:hideMark/>
          </w:tcPr>
          <w:p w14:paraId="0B2FEACA" w14:textId="77777777" w:rsidR="004F6ABC" w:rsidRPr="004866A0" w:rsidRDefault="004F6ABC" w:rsidP="00D30F56">
            <w:pPr>
              <w:spacing w:after="0" w:line="240" w:lineRule="auto"/>
              <w:ind w:firstLine="0"/>
              <w:jc w:val="center"/>
              <w:rPr>
                <w:rFonts w:eastAsia="Times New Roman"/>
                <w:color w:val="000000"/>
              </w:rPr>
            </w:pPr>
            <w:r w:rsidRPr="004866A0">
              <w:rPr>
                <w:rFonts w:eastAsia="Times New Roman"/>
                <w:color w:val="000000"/>
              </w:rPr>
              <w:t>Variable</w:t>
            </w:r>
          </w:p>
        </w:tc>
        <w:tc>
          <w:tcPr>
            <w:tcW w:w="1619" w:type="dxa"/>
            <w:tcBorders>
              <w:top w:val="nil"/>
              <w:left w:val="nil"/>
              <w:bottom w:val="single" w:sz="4" w:space="0" w:color="auto"/>
              <w:right w:val="single" w:sz="4" w:space="0" w:color="auto"/>
            </w:tcBorders>
            <w:shd w:val="clear" w:color="auto" w:fill="auto"/>
            <w:noWrap/>
            <w:vAlign w:val="bottom"/>
            <w:hideMark/>
          </w:tcPr>
          <w:p w14:paraId="484F0799" w14:textId="77777777" w:rsidR="004F6ABC" w:rsidRPr="004866A0" w:rsidRDefault="004F6ABC" w:rsidP="00D30F56">
            <w:pPr>
              <w:spacing w:after="0" w:line="240" w:lineRule="auto"/>
              <w:ind w:firstLine="0"/>
              <w:jc w:val="center"/>
              <w:rPr>
                <w:rFonts w:eastAsia="Times New Roman"/>
                <w:color w:val="000000"/>
              </w:rPr>
            </w:pPr>
            <w:r w:rsidRPr="004866A0">
              <w:rPr>
                <w:rFonts w:eastAsia="Times New Roman"/>
                <w:color w:val="000000"/>
              </w:rPr>
              <w:t>Scale</w:t>
            </w:r>
          </w:p>
        </w:tc>
      </w:tr>
      <w:tr w:rsidR="004F6ABC" w:rsidRPr="004866A0" w14:paraId="400CA509" w14:textId="77777777" w:rsidTr="00D30F56">
        <w:trPr>
          <w:trHeight w:val="300"/>
          <w:jc w:val="center"/>
        </w:trPr>
        <w:tc>
          <w:tcPr>
            <w:tcW w:w="1561" w:type="dxa"/>
            <w:tcBorders>
              <w:top w:val="nil"/>
              <w:left w:val="single" w:sz="4" w:space="0" w:color="auto"/>
              <w:bottom w:val="single" w:sz="4" w:space="0" w:color="auto"/>
              <w:right w:val="single" w:sz="4" w:space="0" w:color="auto"/>
            </w:tcBorders>
            <w:shd w:val="clear" w:color="auto" w:fill="auto"/>
            <w:noWrap/>
            <w:vAlign w:val="center"/>
            <w:hideMark/>
          </w:tcPr>
          <w:p w14:paraId="1BF24106" w14:textId="77777777" w:rsidR="004F6ABC" w:rsidRPr="004866A0" w:rsidRDefault="004F6ABC" w:rsidP="00D30F56">
            <w:pPr>
              <w:spacing w:after="0" w:line="240" w:lineRule="auto"/>
              <w:ind w:firstLine="0"/>
              <w:jc w:val="center"/>
              <w:rPr>
                <w:rFonts w:eastAsia="Times New Roman"/>
                <w:color w:val="000000"/>
              </w:rPr>
            </w:pPr>
            <w:r w:rsidRPr="004866A0">
              <w:rPr>
                <w:rFonts w:eastAsia="Times New Roman"/>
                <w:color w:val="000000"/>
              </w:rPr>
              <w:t>p</w:t>
            </w:r>
          </w:p>
        </w:tc>
        <w:tc>
          <w:tcPr>
            <w:tcW w:w="1619" w:type="dxa"/>
            <w:tcBorders>
              <w:top w:val="nil"/>
              <w:left w:val="nil"/>
              <w:bottom w:val="single" w:sz="4" w:space="0" w:color="auto"/>
              <w:right w:val="single" w:sz="4" w:space="0" w:color="auto"/>
            </w:tcBorders>
            <w:shd w:val="clear" w:color="auto" w:fill="auto"/>
            <w:noWrap/>
            <w:vAlign w:val="bottom"/>
            <w:hideMark/>
          </w:tcPr>
          <w:p w14:paraId="37B5445E" w14:textId="77777777" w:rsidR="004F6ABC" w:rsidRPr="004866A0" w:rsidRDefault="004F6ABC" w:rsidP="00D30F56">
            <w:pPr>
              <w:spacing w:after="0" w:line="240" w:lineRule="auto"/>
              <w:ind w:firstLine="0"/>
              <w:jc w:val="center"/>
              <w:rPr>
                <w:rFonts w:eastAsia="Times New Roman"/>
                <w:color w:val="000000"/>
              </w:rPr>
            </w:pPr>
            <w:r w:rsidRPr="004866A0">
              <w:rPr>
                <w:rFonts w:eastAsia="Times New Roman"/>
                <w:color w:val="000000"/>
              </w:rPr>
              <w:t>101 kPa</w:t>
            </w:r>
          </w:p>
        </w:tc>
      </w:tr>
      <w:tr w:rsidR="004F6ABC" w:rsidRPr="004866A0" w14:paraId="2A3D7A62" w14:textId="77777777" w:rsidTr="00D30F56">
        <w:trPr>
          <w:trHeight w:val="300"/>
          <w:jc w:val="center"/>
        </w:trPr>
        <w:tc>
          <w:tcPr>
            <w:tcW w:w="1561" w:type="dxa"/>
            <w:tcBorders>
              <w:top w:val="nil"/>
              <w:left w:val="single" w:sz="4" w:space="0" w:color="auto"/>
              <w:bottom w:val="single" w:sz="4" w:space="0" w:color="auto"/>
              <w:right w:val="single" w:sz="4" w:space="0" w:color="auto"/>
            </w:tcBorders>
            <w:shd w:val="clear" w:color="auto" w:fill="auto"/>
            <w:noWrap/>
            <w:vAlign w:val="center"/>
            <w:hideMark/>
          </w:tcPr>
          <w:p w14:paraId="402430C6" w14:textId="77777777" w:rsidR="004F6ABC" w:rsidRPr="004866A0" w:rsidRDefault="004F6ABC" w:rsidP="00D30F56">
            <w:pPr>
              <w:spacing w:after="0" w:line="240" w:lineRule="auto"/>
              <w:ind w:firstLine="0"/>
              <w:jc w:val="center"/>
              <w:rPr>
                <w:rFonts w:eastAsia="Times New Roman"/>
                <w:color w:val="000000"/>
              </w:rPr>
            </w:pPr>
            <w:r w:rsidRPr="004866A0">
              <w:rPr>
                <w:rFonts w:eastAsia="Times New Roman"/>
                <w:color w:val="000000"/>
              </w:rPr>
              <w:t>u</w:t>
            </w:r>
          </w:p>
        </w:tc>
        <w:tc>
          <w:tcPr>
            <w:tcW w:w="1619" w:type="dxa"/>
            <w:tcBorders>
              <w:top w:val="nil"/>
              <w:left w:val="nil"/>
              <w:bottom w:val="single" w:sz="4" w:space="0" w:color="auto"/>
              <w:right w:val="single" w:sz="4" w:space="0" w:color="auto"/>
            </w:tcBorders>
            <w:shd w:val="clear" w:color="auto" w:fill="auto"/>
            <w:noWrap/>
            <w:vAlign w:val="bottom"/>
            <w:hideMark/>
          </w:tcPr>
          <w:p w14:paraId="476FE1FD" w14:textId="77777777" w:rsidR="004F6ABC" w:rsidRPr="004866A0" w:rsidRDefault="004F6ABC" w:rsidP="00D30F56">
            <w:pPr>
              <w:spacing w:after="0" w:line="240" w:lineRule="auto"/>
              <w:ind w:firstLine="0"/>
              <w:jc w:val="center"/>
              <w:rPr>
                <w:rFonts w:eastAsia="Times New Roman"/>
                <w:color w:val="000000"/>
              </w:rPr>
            </w:pPr>
            <w:r w:rsidRPr="004866A0">
              <w:rPr>
                <w:rFonts w:eastAsia="Times New Roman"/>
                <w:color w:val="000000"/>
              </w:rPr>
              <w:t>7.77 m/s</w:t>
            </w:r>
          </w:p>
        </w:tc>
      </w:tr>
      <w:tr w:rsidR="004F6ABC" w:rsidRPr="004866A0" w14:paraId="3BE01E1E" w14:textId="77777777" w:rsidTr="00D30F56">
        <w:trPr>
          <w:trHeight w:val="300"/>
          <w:jc w:val="center"/>
        </w:trPr>
        <w:tc>
          <w:tcPr>
            <w:tcW w:w="1561" w:type="dxa"/>
            <w:tcBorders>
              <w:top w:val="nil"/>
              <w:left w:val="single" w:sz="4" w:space="0" w:color="auto"/>
              <w:bottom w:val="single" w:sz="4" w:space="0" w:color="auto"/>
              <w:right w:val="single" w:sz="4" w:space="0" w:color="auto"/>
            </w:tcBorders>
            <w:shd w:val="clear" w:color="auto" w:fill="auto"/>
            <w:noWrap/>
            <w:vAlign w:val="center"/>
            <w:hideMark/>
          </w:tcPr>
          <w:p w14:paraId="138CC26B" w14:textId="77777777" w:rsidR="004F6ABC" w:rsidRPr="004866A0" w:rsidRDefault="004F6ABC" w:rsidP="00D30F56">
            <w:pPr>
              <w:spacing w:after="0" w:line="240" w:lineRule="auto"/>
              <w:ind w:firstLine="0"/>
              <w:jc w:val="center"/>
              <w:rPr>
                <w:rFonts w:eastAsia="Times New Roman"/>
                <w:color w:val="000000"/>
              </w:rPr>
            </w:pPr>
            <w:r w:rsidRPr="004866A0">
              <w:rPr>
                <w:rFonts w:eastAsia="Times New Roman"/>
                <w:color w:val="000000"/>
              </w:rPr>
              <w:t>T</w:t>
            </w:r>
          </w:p>
        </w:tc>
        <w:tc>
          <w:tcPr>
            <w:tcW w:w="1619" w:type="dxa"/>
            <w:tcBorders>
              <w:top w:val="nil"/>
              <w:left w:val="nil"/>
              <w:bottom w:val="single" w:sz="4" w:space="0" w:color="auto"/>
              <w:right w:val="single" w:sz="4" w:space="0" w:color="auto"/>
            </w:tcBorders>
            <w:shd w:val="clear" w:color="auto" w:fill="auto"/>
            <w:noWrap/>
            <w:vAlign w:val="bottom"/>
            <w:hideMark/>
          </w:tcPr>
          <w:p w14:paraId="1A0B3AEC" w14:textId="77777777" w:rsidR="004F6ABC" w:rsidRPr="004866A0" w:rsidRDefault="004F6ABC" w:rsidP="00D30F56">
            <w:pPr>
              <w:spacing w:after="0" w:line="240" w:lineRule="auto"/>
              <w:ind w:firstLine="0"/>
              <w:jc w:val="center"/>
              <w:rPr>
                <w:rFonts w:eastAsia="Times New Roman"/>
                <w:color w:val="000000"/>
              </w:rPr>
            </w:pPr>
            <w:r w:rsidRPr="004866A0">
              <w:rPr>
                <w:rFonts w:eastAsia="Times New Roman"/>
                <w:color w:val="000000"/>
              </w:rPr>
              <w:t>293 K</w:t>
            </w:r>
          </w:p>
        </w:tc>
      </w:tr>
      <w:tr w:rsidR="004F6ABC" w:rsidRPr="004866A0" w14:paraId="4A4CCDDE" w14:textId="77777777" w:rsidTr="00D30F56">
        <w:trPr>
          <w:trHeight w:val="300"/>
          <w:jc w:val="center"/>
        </w:trPr>
        <w:tc>
          <w:tcPr>
            <w:tcW w:w="1561" w:type="dxa"/>
            <w:tcBorders>
              <w:top w:val="nil"/>
              <w:left w:val="single" w:sz="4" w:space="0" w:color="auto"/>
              <w:bottom w:val="single" w:sz="4" w:space="0" w:color="auto"/>
              <w:right w:val="single" w:sz="4" w:space="0" w:color="auto"/>
            </w:tcBorders>
            <w:shd w:val="clear" w:color="auto" w:fill="auto"/>
            <w:noWrap/>
            <w:vAlign w:val="center"/>
            <w:hideMark/>
          </w:tcPr>
          <w:p w14:paraId="1FF02916" w14:textId="77777777" w:rsidR="004F6ABC" w:rsidRPr="004866A0" w:rsidRDefault="004F6ABC" w:rsidP="00D30F56">
            <w:pPr>
              <w:spacing w:after="0" w:line="240" w:lineRule="auto"/>
              <w:ind w:firstLine="0"/>
              <w:jc w:val="center"/>
              <w:rPr>
                <w:rFonts w:eastAsia="Times New Roman"/>
                <w:color w:val="000000"/>
              </w:rPr>
            </w:pPr>
            <w:r w:rsidRPr="004866A0">
              <w:rPr>
                <w:rFonts w:eastAsia="Times New Roman"/>
                <w:color w:val="000000"/>
              </w:rPr>
              <w:t>k</w:t>
            </w:r>
          </w:p>
        </w:tc>
        <w:tc>
          <w:tcPr>
            <w:tcW w:w="1619" w:type="dxa"/>
            <w:tcBorders>
              <w:top w:val="nil"/>
              <w:left w:val="nil"/>
              <w:bottom w:val="single" w:sz="4" w:space="0" w:color="auto"/>
              <w:right w:val="single" w:sz="4" w:space="0" w:color="auto"/>
            </w:tcBorders>
            <w:shd w:val="clear" w:color="auto" w:fill="auto"/>
            <w:noWrap/>
            <w:vAlign w:val="bottom"/>
            <w:hideMark/>
          </w:tcPr>
          <w:p w14:paraId="5B64EFB5" w14:textId="77777777" w:rsidR="004F6ABC" w:rsidRPr="004866A0" w:rsidRDefault="004F6ABC" w:rsidP="00D30F56">
            <w:pPr>
              <w:spacing w:after="0" w:line="240" w:lineRule="auto"/>
              <w:ind w:firstLine="0"/>
              <w:jc w:val="center"/>
              <w:rPr>
                <w:rFonts w:eastAsia="Times New Roman"/>
                <w:color w:val="000000"/>
                <w:vertAlign w:val="superscript"/>
              </w:rPr>
            </w:pPr>
            <w:r>
              <w:rPr>
                <w:rFonts w:eastAsia="Times New Roman"/>
                <w:color w:val="000000"/>
              </w:rPr>
              <w:t>10</w:t>
            </w:r>
            <w:r>
              <w:rPr>
                <w:rFonts w:eastAsia="Times New Roman"/>
                <w:color w:val="000000"/>
                <w:vertAlign w:val="superscript"/>
              </w:rPr>
              <w:t>6</w:t>
            </w:r>
          </w:p>
        </w:tc>
      </w:tr>
      <w:tr w:rsidR="004F6ABC" w:rsidRPr="004866A0" w14:paraId="42DD4E04" w14:textId="77777777" w:rsidTr="00D30F56">
        <w:trPr>
          <w:trHeight w:val="300"/>
          <w:jc w:val="center"/>
        </w:trPr>
        <w:tc>
          <w:tcPr>
            <w:tcW w:w="1561" w:type="dxa"/>
            <w:tcBorders>
              <w:top w:val="nil"/>
              <w:left w:val="single" w:sz="4" w:space="0" w:color="auto"/>
              <w:bottom w:val="single" w:sz="4" w:space="0" w:color="auto"/>
              <w:right w:val="single" w:sz="4" w:space="0" w:color="auto"/>
            </w:tcBorders>
            <w:shd w:val="clear" w:color="auto" w:fill="auto"/>
            <w:noWrap/>
            <w:vAlign w:val="center"/>
            <w:hideMark/>
          </w:tcPr>
          <w:p w14:paraId="7F8292B0" w14:textId="77777777" w:rsidR="004F6ABC" w:rsidRPr="004866A0" w:rsidRDefault="004F6ABC" w:rsidP="00D30F56">
            <w:pPr>
              <w:spacing w:after="0" w:line="240" w:lineRule="auto"/>
              <w:ind w:firstLine="0"/>
              <w:jc w:val="center"/>
              <w:rPr>
                <w:rFonts w:eastAsia="Times New Roman"/>
                <w:color w:val="000000"/>
              </w:rPr>
            </w:pPr>
            <w:r w:rsidRPr="004866A0">
              <w:rPr>
                <w:rFonts w:eastAsia="Times New Roman"/>
                <w:color w:val="000000"/>
              </w:rPr>
              <w:t>ε</w:t>
            </w:r>
          </w:p>
        </w:tc>
        <w:tc>
          <w:tcPr>
            <w:tcW w:w="1619" w:type="dxa"/>
            <w:tcBorders>
              <w:top w:val="nil"/>
              <w:left w:val="nil"/>
              <w:bottom w:val="single" w:sz="4" w:space="0" w:color="auto"/>
              <w:right w:val="single" w:sz="4" w:space="0" w:color="auto"/>
            </w:tcBorders>
            <w:shd w:val="clear" w:color="auto" w:fill="auto"/>
            <w:noWrap/>
            <w:vAlign w:val="bottom"/>
            <w:hideMark/>
          </w:tcPr>
          <w:p w14:paraId="4F42705C" w14:textId="77777777" w:rsidR="004F6ABC" w:rsidRPr="004866A0" w:rsidRDefault="004F6ABC" w:rsidP="00D30F56">
            <w:pPr>
              <w:spacing w:after="0" w:line="240" w:lineRule="auto"/>
              <w:ind w:firstLine="0"/>
              <w:jc w:val="center"/>
              <w:rPr>
                <w:rFonts w:eastAsia="Times New Roman"/>
                <w:color w:val="000000"/>
                <w:vertAlign w:val="superscript"/>
              </w:rPr>
            </w:pPr>
            <w:r>
              <w:rPr>
                <w:rFonts w:eastAsia="Times New Roman"/>
                <w:color w:val="000000"/>
              </w:rPr>
              <w:t>10</w:t>
            </w:r>
            <w:r>
              <w:rPr>
                <w:rFonts w:eastAsia="Times New Roman"/>
                <w:color w:val="000000"/>
                <w:vertAlign w:val="superscript"/>
              </w:rPr>
              <w:t>6</w:t>
            </w:r>
          </w:p>
        </w:tc>
      </w:tr>
    </w:tbl>
    <w:p w14:paraId="76248539" w14:textId="7329DE1D" w:rsidR="006A738E" w:rsidRPr="00D02EFA" w:rsidRDefault="006A738E" w:rsidP="00D96A4E">
      <w:r>
        <w:br w:type="page"/>
      </w:r>
    </w:p>
    <w:p w14:paraId="7BEE9D58" w14:textId="77777777" w:rsidR="00F359EF" w:rsidRDefault="00D228FE" w:rsidP="0038463A">
      <w:pPr>
        <w:pStyle w:val="Heading1"/>
        <w:ind w:firstLine="0"/>
        <w:rPr>
          <w:rStyle w:val="SubtitleChar"/>
        </w:rPr>
      </w:pPr>
      <w:r>
        <w:lastRenderedPageBreak/>
        <w:fldChar w:fldCharType="begin"/>
      </w:r>
      <w:bookmarkStart w:id="103" w:name="_Ref381968711"/>
      <w:bookmarkEnd w:id="103"/>
      <w:r>
        <w:instrText xml:space="preserve"> LISTNUM CHAP \l 1</w:instrText>
      </w:r>
      <w:bookmarkStart w:id="104" w:name="_Toc382921541"/>
      <w:r>
        <w:fldChar w:fldCharType="end"/>
      </w:r>
      <w:r>
        <w:t xml:space="preserve">    </w:t>
      </w:r>
      <w:r w:rsidR="00F41A69">
        <w:t>3D</w:t>
      </w:r>
      <w:r>
        <w:t xml:space="preserve"> Model</w:t>
      </w:r>
      <w:bookmarkEnd w:id="104"/>
      <w:r w:rsidRPr="00FF3A17">
        <w:rPr>
          <w:rStyle w:val="SubtitleChar"/>
        </w:rPr>
        <w:t xml:space="preserve"> </w:t>
      </w:r>
    </w:p>
    <w:p w14:paraId="40ADA018" w14:textId="0C1732BB" w:rsidR="00D228FE" w:rsidRPr="00E3342F" w:rsidRDefault="00D228FE" w:rsidP="00F359EF">
      <w:pPr>
        <w:pStyle w:val="Subtitle"/>
      </w:pPr>
      <w:r w:rsidRPr="00FF3A17">
        <w:rPr>
          <w:rStyle w:val="SubtitleChar"/>
        </w:rPr>
        <w:fldChar w:fldCharType="begin"/>
      </w:r>
      <w:r w:rsidRPr="00FF3A17">
        <w:rPr>
          <w:rStyle w:val="SubtitleChar"/>
        </w:rPr>
        <w:instrText xml:space="preserve"> LISTNUM EQN </w:instrText>
      </w:r>
      <w:r w:rsidRPr="00FF3A17">
        <w:rPr>
          <w:rStyle w:val="SubtitleChar"/>
        </w:rPr>
        <w:fldChar w:fldCharType="end"/>
      </w:r>
      <w:r w:rsidRPr="00FF3A17">
        <w:rPr>
          <w:rStyle w:val="SubtitleChar"/>
        </w:rPr>
        <w:fldChar w:fldCharType="begin"/>
      </w:r>
      <w:r w:rsidRPr="00FF3A17">
        <w:rPr>
          <w:rStyle w:val="SubtitleChar"/>
        </w:rPr>
        <w:instrText xml:space="preserve"> LISTNUM FIG </w:instrText>
      </w:r>
      <w:r w:rsidRPr="00FF3A17">
        <w:rPr>
          <w:rStyle w:val="SubtitleChar"/>
        </w:rPr>
        <w:fldChar w:fldCharType="end"/>
      </w:r>
      <w:r w:rsidR="005B50CC" w:rsidRPr="00FF3A17">
        <w:rPr>
          <w:rStyle w:val="SubtitleChar"/>
        </w:rPr>
        <w:fldChar w:fldCharType="begin"/>
      </w:r>
      <w:r w:rsidR="005B50CC" w:rsidRPr="00FF3A17">
        <w:rPr>
          <w:rStyle w:val="SubtitleChar"/>
        </w:rPr>
        <w:instrText xml:space="preserve">LISTNUM TAB </w:instrText>
      </w:r>
      <w:r w:rsidR="005B50CC" w:rsidRPr="00FF3A17">
        <w:rPr>
          <w:rStyle w:val="SubtitleChar"/>
        </w:rPr>
        <w:fldChar w:fldCharType="end"/>
      </w:r>
    </w:p>
    <w:p w14:paraId="469481CE" w14:textId="266144B4" w:rsidR="00373AB1" w:rsidRPr="00373AB1" w:rsidRDefault="00373AB1" w:rsidP="00373AB1">
      <w:pPr>
        <w:pStyle w:val="Heading2"/>
      </w:pPr>
      <w:r>
        <w:fldChar w:fldCharType="begin"/>
      </w:r>
      <w:r>
        <w:instrText xml:space="preserve"> LISTNUM CHAP \l 2 </w:instrText>
      </w:r>
      <w:bookmarkStart w:id="105" w:name="_Toc382921542"/>
      <w:r>
        <w:fldChar w:fldCharType="end"/>
      </w:r>
      <w:r>
        <w:t xml:space="preserve">    Construction</w:t>
      </w:r>
      <w:bookmarkEnd w:id="105"/>
    </w:p>
    <w:p w14:paraId="711EE28B" w14:textId="474B37CC" w:rsidR="005B50CC" w:rsidRPr="00AD0103" w:rsidRDefault="00D52C90" w:rsidP="00AD0103">
      <w:pPr>
        <w:spacing w:after="720"/>
        <w:ind w:firstLine="274"/>
        <w:rPr>
          <w:rStyle w:val="NormalBeforeTableChar"/>
        </w:rPr>
      </w:pPr>
      <w:r w:rsidRPr="00D52C90">
        <w:t xml:space="preserve">All geometry pieces were created in SolidWorks and imported into COMSOL for assembly.  </w:t>
      </w:r>
      <w:r w:rsidR="00892E11">
        <w:t xml:space="preserve">The assembly process begins with the coolant </w:t>
      </w:r>
      <w:r w:rsidR="00892E11" w:rsidRPr="00DF0C87">
        <w:t>geometries</w:t>
      </w:r>
      <w:r w:rsidR="001C58BA">
        <w:t xml:space="preserve"> which are imported first</w:t>
      </w:r>
      <w:r w:rsidR="00892E11">
        <w:t>.</w:t>
      </w:r>
      <w:r w:rsidR="001C58BA">
        <w:t xml:space="preserve">  </w:t>
      </w:r>
      <w:r w:rsidR="0042588D">
        <w:t xml:space="preserve">For ease of meshing the coolant domain is split into six axial components.  </w:t>
      </w:r>
      <w:r w:rsidR="001C58BA">
        <w:t>The model is created with the axial datum (</w:t>
      </w:r>
      <w:r w:rsidR="001C58BA">
        <w:rPr>
          <w:i/>
        </w:rPr>
        <w:t>z</w:t>
      </w:r>
      <w:r w:rsidR="001C58BA">
        <w:t>=0) located at the</w:t>
      </w:r>
      <w:r w:rsidR="00725A2A">
        <w:t xml:space="preserve"> leading edge of the fuel meat (not the fuel plate itself which is located at </w:t>
      </w:r>
      <w:r w:rsidR="00725A2A">
        <w:rPr>
          <w:i/>
        </w:rPr>
        <w:t>z</w:t>
      </w:r>
      <w:r w:rsidR="00725A2A">
        <w:t xml:space="preserve"> = -5.08 cm)</w:t>
      </w:r>
      <w:r w:rsidR="001C58BA">
        <w:t>.</w:t>
      </w:r>
      <w:r w:rsidR="00725A2A">
        <w:t xml:space="preserve">  The direction of flow is assumed positive with </w:t>
      </w:r>
      <w:r w:rsidR="00725A2A">
        <w:rPr>
          <w:i/>
        </w:rPr>
        <w:t>z</w:t>
      </w:r>
      <w:r w:rsidR="00725A2A">
        <w:t xml:space="preserve"> increasing d</w:t>
      </w:r>
      <w:r w:rsidR="00B120B7">
        <w:t>own the length of the channel</w:t>
      </w:r>
      <w:r w:rsidR="00725A2A">
        <w:t>.</w:t>
      </w:r>
      <w:r w:rsidR="00350A93">
        <w:t xml:space="preserve">  </w:t>
      </w:r>
      <w:r w:rsidR="009F23A0">
        <w:t xml:space="preserve">The coolant channel geometries extend in the </w:t>
      </w:r>
      <w:r w:rsidR="009F23A0" w:rsidRPr="009F23A0">
        <w:rPr>
          <w:i/>
        </w:rPr>
        <w:t>t</w:t>
      </w:r>
      <w:r w:rsidR="009F23A0">
        <w:t xml:space="preserve">-direction </w:t>
      </w:r>
      <w:r w:rsidR="009F23A0" w:rsidRPr="009F23A0">
        <w:t>to</w:t>
      </w:r>
      <w:r w:rsidR="009F23A0">
        <w:t xml:space="preserve"> midstream lines of periodicity between adjacent fuel </w:t>
      </w:r>
      <w:r w:rsidR="009F23A0" w:rsidRPr="00AD0103">
        <w:rPr>
          <w:rStyle w:val="NormalBeforeTableChar"/>
        </w:rPr>
        <w:t>plates.</w:t>
      </w:r>
      <w:r w:rsidR="001C58BA" w:rsidRPr="00AD0103">
        <w:rPr>
          <w:rStyle w:val="NormalBeforeTableChar"/>
        </w:rPr>
        <w:t xml:space="preserve"> </w:t>
      </w:r>
      <w:r w:rsidR="009F23A0" w:rsidRPr="00AD0103">
        <w:rPr>
          <w:rStyle w:val="NormalBeforeTableChar"/>
        </w:rPr>
        <w:t xml:space="preserve"> </w:t>
      </w:r>
      <w:r w:rsidR="001C58BA" w:rsidRPr="00AD0103">
        <w:rPr>
          <w:rStyle w:val="NormalBeforeTableChar"/>
        </w:rPr>
        <w:t xml:space="preserve">The six coolant components and their </w:t>
      </w:r>
      <w:r w:rsidR="0042588D" w:rsidRPr="00AD0103">
        <w:rPr>
          <w:rStyle w:val="NormalBeforeTableChar"/>
        </w:rPr>
        <w:t xml:space="preserve">axial </w:t>
      </w:r>
      <w:r w:rsidR="001C58BA" w:rsidRPr="00AD0103">
        <w:rPr>
          <w:rStyle w:val="NormalBeforeTableChar"/>
        </w:rPr>
        <w:t>lengths are listed in Table</w:t>
      </w:r>
      <w:r w:rsidR="00350A93" w:rsidRPr="00AD0103">
        <w:rPr>
          <w:rStyle w:val="NormalBeforeTableChar"/>
        </w:rPr>
        <w:t xml:space="preserve"> </w:t>
      </w:r>
      <w:r w:rsidR="0042588D" w:rsidRPr="00AD0103">
        <w:rPr>
          <w:rStyle w:val="NormalBeforeTableChar"/>
        </w:rPr>
        <w:fldChar w:fldCharType="begin"/>
      </w:r>
      <w:r w:rsidR="0042588D" w:rsidRPr="00AD0103">
        <w:rPr>
          <w:rStyle w:val="NormalBeforeTableChar"/>
        </w:rPr>
        <w:instrText xml:space="preserve"> REF _Ref377384444 \r \h </w:instrText>
      </w:r>
      <w:r w:rsidR="00AD0103" w:rsidRPr="00AD0103">
        <w:rPr>
          <w:rStyle w:val="NormalBeforeTableChar"/>
        </w:rPr>
        <w:instrText xml:space="preserve"> \* MERGEFORMAT </w:instrText>
      </w:r>
      <w:r w:rsidR="0042588D" w:rsidRPr="00AD0103">
        <w:rPr>
          <w:rStyle w:val="NormalBeforeTableChar"/>
        </w:rPr>
      </w:r>
      <w:r w:rsidR="0042588D" w:rsidRPr="00AD0103">
        <w:rPr>
          <w:rStyle w:val="NormalBeforeTableChar"/>
        </w:rPr>
        <w:fldChar w:fldCharType="separate"/>
      </w:r>
      <w:r w:rsidR="001C5EC1">
        <w:rPr>
          <w:rStyle w:val="NormalBeforeTableChar"/>
        </w:rPr>
        <w:t>5.1</w:t>
      </w:r>
      <w:r w:rsidR="0042588D" w:rsidRPr="00AD0103">
        <w:rPr>
          <w:rStyle w:val="NormalBeforeTableChar"/>
        </w:rPr>
        <w:fldChar w:fldCharType="end"/>
      </w:r>
      <w:r w:rsidR="0042588D" w:rsidRPr="00AD0103">
        <w:rPr>
          <w:rStyle w:val="NormalBeforeTableChar"/>
        </w:rPr>
        <w:t>.</w:t>
      </w:r>
    </w:p>
    <w:tbl>
      <w:tblPr>
        <w:tblW w:w="4567" w:type="dxa"/>
        <w:jc w:val="center"/>
        <w:tblLook w:val="04A0" w:firstRow="1" w:lastRow="0" w:firstColumn="1" w:lastColumn="0" w:noHBand="0" w:noVBand="1"/>
      </w:tblPr>
      <w:tblGrid>
        <w:gridCol w:w="1290"/>
        <w:gridCol w:w="1904"/>
        <w:gridCol w:w="1373"/>
      </w:tblGrid>
      <w:tr w:rsidR="00350A93" w:rsidRPr="00350A93" w14:paraId="0B6BA0EA" w14:textId="77777777" w:rsidTr="009F23A0">
        <w:trPr>
          <w:trHeight w:val="300"/>
          <w:jc w:val="center"/>
        </w:trPr>
        <w:tc>
          <w:tcPr>
            <w:tcW w:w="45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E983A2" w14:textId="3CFAB04B" w:rsidR="00350A93" w:rsidRPr="00350A93" w:rsidRDefault="00350A93" w:rsidP="00F066C7">
            <w:pPr>
              <w:pStyle w:val="NoSpacing"/>
            </w:pPr>
            <w:bookmarkStart w:id="106" w:name="_Toc382920193"/>
            <w:r w:rsidRPr="00350A93">
              <w:t xml:space="preserve">Table </w:t>
            </w:r>
            <w:r>
              <w:fldChar w:fldCharType="begin"/>
            </w:r>
            <w:bookmarkStart w:id="107" w:name="_Ref377384444"/>
            <w:bookmarkEnd w:id="107"/>
            <w:r>
              <w:instrText xml:space="preserve"> LISTNUM TAB \l 2</w:instrText>
            </w:r>
            <w:r>
              <w:fldChar w:fldCharType="end"/>
            </w:r>
            <w:r w:rsidRPr="00350A93">
              <w:t>:  Coolant Components</w:t>
            </w:r>
            <w:bookmarkEnd w:id="106"/>
          </w:p>
        </w:tc>
      </w:tr>
      <w:tr w:rsidR="00350A93" w:rsidRPr="00350A93" w14:paraId="51CDBD07" w14:textId="77777777" w:rsidTr="009F23A0">
        <w:trPr>
          <w:trHeight w:val="330"/>
          <w:jc w:val="center"/>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3B08FA4A" w14:textId="77777777"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Component</w:t>
            </w:r>
          </w:p>
        </w:tc>
        <w:tc>
          <w:tcPr>
            <w:tcW w:w="1904" w:type="dxa"/>
            <w:tcBorders>
              <w:top w:val="nil"/>
              <w:left w:val="nil"/>
              <w:bottom w:val="single" w:sz="4" w:space="0" w:color="auto"/>
              <w:right w:val="single" w:sz="4" w:space="0" w:color="auto"/>
            </w:tcBorders>
            <w:shd w:val="clear" w:color="auto" w:fill="auto"/>
            <w:noWrap/>
            <w:vAlign w:val="bottom"/>
            <w:hideMark/>
          </w:tcPr>
          <w:p w14:paraId="6276B515" w14:textId="77777777"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Axial Region</w:t>
            </w:r>
          </w:p>
        </w:tc>
        <w:tc>
          <w:tcPr>
            <w:tcW w:w="1373" w:type="dxa"/>
            <w:tcBorders>
              <w:top w:val="nil"/>
              <w:left w:val="nil"/>
              <w:bottom w:val="single" w:sz="4" w:space="0" w:color="auto"/>
              <w:right w:val="single" w:sz="4" w:space="0" w:color="auto"/>
            </w:tcBorders>
            <w:shd w:val="clear" w:color="auto" w:fill="auto"/>
            <w:noWrap/>
            <w:vAlign w:val="bottom"/>
            <w:hideMark/>
          </w:tcPr>
          <w:p w14:paraId="7F0DDC6A" w14:textId="10DEBB75"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Length</w:t>
            </w:r>
            <w:r w:rsidR="0042588D">
              <w:rPr>
                <w:rFonts w:eastAsia="Times New Roman"/>
                <w:color w:val="000000"/>
              </w:rPr>
              <w:t xml:space="preserve"> (cm)</w:t>
            </w:r>
          </w:p>
        </w:tc>
      </w:tr>
      <w:tr w:rsidR="00350A93" w:rsidRPr="00350A93" w14:paraId="604B1067" w14:textId="77777777" w:rsidTr="009F23A0">
        <w:trPr>
          <w:trHeight w:val="300"/>
          <w:jc w:val="center"/>
        </w:trPr>
        <w:tc>
          <w:tcPr>
            <w:tcW w:w="1290" w:type="dxa"/>
            <w:tcBorders>
              <w:top w:val="nil"/>
              <w:left w:val="single" w:sz="4" w:space="0" w:color="auto"/>
              <w:bottom w:val="single" w:sz="4" w:space="0" w:color="auto"/>
              <w:right w:val="single" w:sz="4" w:space="0" w:color="auto"/>
            </w:tcBorders>
            <w:shd w:val="clear" w:color="auto" w:fill="auto"/>
            <w:noWrap/>
            <w:vAlign w:val="bottom"/>
            <w:hideMark/>
          </w:tcPr>
          <w:p w14:paraId="5CD98C62" w14:textId="77777777"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1</w:t>
            </w:r>
          </w:p>
        </w:tc>
        <w:tc>
          <w:tcPr>
            <w:tcW w:w="1904" w:type="dxa"/>
            <w:tcBorders>
              <w:top w:val="nil"/>
              <w:left w:val="nil"/>
              <w:bottom w:val="single" w:sz="4" w:space="0" w:color="auto"/>
              <w:right w:val="single" w:sz="4" w:space="0" w:color="auto"/>
            </w:tcBorders>
            <w:shd w:val="clear" w:color="auto" w:fill="auto"/>
            <w:noWrap/>
            <w:vAlign w:val="bottom"/>
            <w:hideMark/>
          </w:tcPr>
          <w:p w14:paraId="20EB7973" w14:textId="77777777"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Entrance</w:t>
            </w:r>
          </w:p>
        </w:tc>
        <w:tc>
          <w:tcPr>
            <w:tcW w:w="1373" w:type="dxa"/>
            <w:tcBorders>
              <w:top w:val="nil"/>
              <w:left w:val="nil"/>
              <w:bottom w:val="single" w:sz="4" w:space="0" w:color="auto"/>
              <w:right w:val="single" w:sz="4" w:space="0" w:color="auto"/>
            </w:tcBorders>
            <w:shd w:val="clear" w:color="auto" w:fill="auto"/>
            <w:noWrap/>
            <w:vAlign w:val="bottom"/>
            <w:hideMark/>
          </w:tcPr>
          <w:p w14:paraId="049EEF32" w14:textId="77777777"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2.032</w:t>
            </w:r>
          </w:p>
        </w:tc>
      </w:tr>
      <w:tr w:rsidR="00350A93" w:rsidRPr="00350A93" w14:paraId="43952985" w14:textId="77777777" w:rsidTr="009F23A0">
        <w:trPr>
          <w:trHeight w:val="300"/>
          <w:jc w:val="center"/>
        </w:trPr>
        <w:tc>
          <w:tcPr>
            <w:tcW w:w="1290" w:type="dxa"/>
            <w:tcBorders>
              <w:top w:val="nil"/>
              <w:left w:val="single" w:sz="4" w:space="0" w:color="auto"/>
              <w:bottom w:val="single" w:sz="4" w:space="0" w:color="auto"/>
              <w:right w:val="single" w:sz="4" w:space="0" w:color="auto"/>
            </w:tcBorders>
            <w:shd w:val="clear" w:color="auto" w:fill="auto"/>
            <w:noWrap/>
            <w:vAlign w:val="bottom"/>
            <w:hideMark/>
          </w:tcPr>
          <w:p w14:paraId="3AC124F2" w14:textId="77777777"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2</w:t>
            </w:r>
          </w:p>
        </w:tc>
        <w:tc>
          <w:tcPr>
            <w:tcW w:w="1904" w:type="dxa"/>
            <w:tcBorders>
              <w:top w:val="nil"/>
              <w:left w:val="nil"/>
              <w:bottom w:val="single" w:sz="4" w:space="0" w:color="auto"/>
              <w:right w:val="single" w:sz="4" w:space="0" w:color="auto"/>
            </w:tcBorders>
            <w:shd w:val="clear" w:color="auto" w:fill="auto"/>
            <w:noWrap/>
            <w:vAlign w:val="bottom"/>
            <w:hideMark/>
          </w:tcPr>
          <w:p w14:paraId="1EB3367A" w14:textId="779C9B71"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Leading Edge</w:t>
            </w:r>
            <w:r w:rsidR="009F23A0">
              <w:rPr>
                <w:rFonts w:eastAsia="Times New Roman"/>
                <w:color w:val="000000"/>
              </w:rPr>
              <w:t xml:space="preserve"> Cap</w:t>
            </w:r>
          </w:p>
        </w:tc>
        <w:tc>
          <w:tcPr>
            <w:tcW w:w="1373" w:type="dxa"/>
            <w:tcBorders>
              <w:top w:val="nil"/>
              <w:left w:val="nil"/>
              <w:bottom w:val="single" w:sz="4" w:space="0" w:color="auto"/>
              <w:right w:val="single" w:sz="4" w:space="0" w:color="auto"/>
            </w:tcBorders>
            <w:shd w:val="clear" w:color="auto" w:fill="auto"/>
            <w:noWrap/>
            <w:vAlign w:val="bottom"/>
            <w:hideMark/>
          </w:tcPr>
          <w:p w14:paraId="5C3DA2A3" w14:textId="77777777"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0.178</w:t>
            </w:r>
          </w:p>
        </w:tc>
      </w:tr>
      <w:tr w:rsidR="00350A93" w:rsidRPr="00350A93" w14:paraId="331FFDD3" w14:textId="77777777" w:rsidTr="009F23A0">
        <w:trPr>
          <w:trHeight w:val="300"/>
          <w:jc w:val="center"/>
        </w:trPr>
        <w:tc>
          <w:tcPr>
            <w:tcW w:w="1290" w:type="dxa"/>
            <w:tcBorders>
              <w:top w:val="nil"/>
              <w:left w:val="single" w:sz="4" w:space="0" w:color="auto"/>
              <w:bottom w:val="single" w:sz="4" w:space="0" w:color="auto"/>
              <w:right w:val="single" w:sz="4" w:space="0" w:color="auto"/>
            </w:tcBorders>
            <w:shd w:val="clear" w:color="auto" w:fill="auto"/>
            <w:noWrap/>
            <w:vAlign w:val="bottom"/>
            <w:hideMark/>
          </w:tcPr>
          <w:p w14:paraId="4C66B925" w14:textId="77777777"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3</w:t>
            </w:r>
          </w:p>
        </w:tc>
        <w:tc>
          <w:tcPr>
            <w:tcW w:w="1904" w:type="dxa"/>
            <w:tcBorders>
              <w:top w:val="nil"/>
              <w:left w:val="nil"/>
              <w:bottom w:val="single" w:sz="4" w:space="0" w:color="auto"/>
              <w:right w:val="single" w:sz="4" w:space="0" w:color="auto"/>
            </w:tcBorders>
            <w:shd w:val="clear" w:color="auto" w:fill="auto"/>
            <w:noWrap/>
            <w:vAlign w:val="bottom"/>
            <w:hideMark/>
          </w:tcPr>
          <w:p w14:paraId="1BD99483" w14:textId="77777777"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Fuel Plate</w:t>
            </w:r>
          </w:p>
        </w:tc>
        <w:tc>
          <w:tcPr>
            <w:tcW w:w="1373" w:type="dxa"/>
            <w:tcBorders>
              <w:top w:val="nil"/>
              <w:left w:val="nil"/>
              <w:bottom w:val="single" w:sz="4" w:space="0" w:color="auto"/>
              <w:right w:val="single" w:sz="4" w:space="0" w:color="auto"/>
            </w:tcBorders>
            <w:shd w:val="clear" w:color="auto" w:fill="auto"/>
            <w:noWrap/>
            <w:vAlign w:val="bottom"/>
            <w:hideMark/>
          </w:tcPr>
          <w:p w14:paraId="052337CA" w14:textId="77777777"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60.782</w:t>
            </w:r>
          </w:p>
        </w:tc>
      </w:tr>
      <w:tr w:rsidR="00350A93" w:rsidRPr="00350A93" w14:paraId="339D8D20" w14:textId="77777777" w:rsidTr="009F23A0">
        <w:trPr>
          <w:trHeight w:val="300"/>
          <w:jc w:val="center"/>
        </w:trPr>
        <w:tc>
          <w:tcPr>
            <w:tcW w:w="1290" w:type="dxa"/>
            <w:tcBorders>
              <w:top w:val="nil"/>
              <w:left w:val="single" w:sz="4" w:space="0" w:color="auto"/>
              <w:bottom w:val="single" w:sz="4" w:space="0" w:color="auto"/>
              <w:right w:val="single" w:sz="4" w:space="0" w:color="auto"/>
            </w:tcBorders>
            <w:shd w:val="clear" w:color="auto" w:fill="auto"/>
            <w:noWrap/>
            <w:vAlign w:val="bottom"/>
            <w:hideMark/>
          </w:tcPr>
          <w:p w14:paraId="6D595F64" w14:textId="77777777"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4</w:t>
            </w:r>
          </w:p>
        </w:tc>
        <w:tc>
          <w:tcPr>
            <w:tcW w:w="1904" w:type="dxa"/>
            <w:tcBorders>
              <w:top w:val="nil"/>
              <w:left w:val="nil"/>
              <w:bottom w:val="single" w:sz="4" w:space="0" w:color="auto"/>
              <w:right w:val="single" w:sz="4" w:space="0" w:color="auto"/>
            </w:tcBorders>
            <w:shd w:val="clear" w:color="auto" w:fill="auto"/>
            <w:noWrap/>
            <w:vAlign w:val="bottom"/>
            <w:hideMark/>
          </w:tcPr>
          <w:p w14:paraId="18AD7412" w14:textId="12B80787"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Trailing Edge</w:t>
            </w:r>
            <w:r w:rsidR="009F23A0">
              <w:rPr>
                <w:rFonts w:eastAsia="Times New Roman"/>
                <w:color w:val="000000"/>
              </w:rPr>
              <w:t xml:space="preserve"> Cap</w:t>
            </w:r>
          </w:p>
        </w:tc>
        <w:tc>
          <w:tcPr>
            <w:tcW w:w="1373" w:type="dxa"/>
            <w:tcBorders>
              <w:top w:val="nil"/>
              <w:left w:val="nil"/>
              <w:bottom w:val="single" w:sz="4" w:space="0" w:color="auto"/>
              <w:right w:val="single" w:sz="4" w:space="0" w:color="auto"/>
            </w:tcBorders>
            <w:shd w:val="clear" w:color="auto" w:fill="auto"/>
            <w:noWrap/>
            <w:vAlign w:val="bottom"/>
            <w:hideMark/>
          </w:tcPr>
          <w:p w14:paraId="514A8A04" w14:textId="77777777"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0.178</w:t>
            </w:r>
          </w:p>
        </w:tc>
      </w:tr>
      <w:tr w:rsidR="00350A93" w:rsidRPr="00350A93" w14:paraId="2F70AAB6" w14:textId="77777777" w:rsidTr="009F23A0">
        <w:trPr>
          <w:trHeight w:val="300"/>
          <w:jc w:val="center"/>
        </w:trPr>
        <w:tc>
          <w:tcPr>
            <w:tcW w:w="1290" w:type="dxa"/>
            <w:tcBorders>
              <w:top w:val="nil"/>
              <w:left w:val="single" w:sz="4" w:space="0" w:color="auto"/>
              <w:bottom w:val="single" w:sz="4" w:space="0" w:color="auto"/>
              <w:right w:val="single" w:sz="4" w:space="0" w:color="auto"/>
            </w:tcBorders>
            <w:shd w:val="clear" w:color="auto" w:fill="auto"/>
            <w:noWrap/>
            <w:vAlign w:val="bottom"/>
            <w:hideMark/>
          </w:tcPr>
          <w:p w14:paraId="3E3BDE04" w14:textId="77777777"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5</w:t>
            </w:r>
          </w:p>
        </w:tc>
        <w:tc>
          <w:tcPr>
            <w:tcW w:w="1904" w:type="dxa"/>
            <w:tcBorders>
              <w:top w:val="nil"/>
              <w:left w:val="nil"/>
              <w:bottom w:val="single" w:sz="4" w:space="0" w:color="auto"/>
              <w:right w:val="single" w:sz="4" w:space="0" w:color="auto"/>
            </w:tcBorders>
            <w:shd w:val="clear" w:color="auto" w:fill="auto"/>
            <w:noWrap/>
            <w:vAlign w:val="bottom"/>
            <w:hideMark/>
          </w:tcPr>
          <w:p w14:paraId="19C10DAE" w14:textId="77777777"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Exit 1</w:t>
            </w:r>
          </w:p>
        </w:tc>
        <w:tc>
          <w:tcPr>
            <w:tcW w:w="1373" w:type="dxa"/>
            <w:tcBorders>
              <w:top w:val="nil"/>
              <w:left w:val="nil"/>
              <w:bottom w:val="single" w:sz="4" w:space="0" w:color="auto"/>
              <w:right w:val="single" w:sz="4" w:space="0" w:color="auto"/>
            </w:tcBorders>
            <w:shd w:val="clear" w:color="auto" w:fill="auto"/>
            <w:noWrap/>
            <w:vAlign w:val="bottom"/>
            <w:hideMark/>
          </w:tcPr>
          <w:p w14:paraId="1E3697F7" w14:textId="77777777" w:rsidR="00350A93" w:rsidRPr="00350A93" w:rsidRDefault="00350A93" w:rsidP="00CC0DFD">
            <w:pPr>
              <w:keepNext/>
              <w:spacing w:after="0" w:line="240" w:lineRule="auto"/>
              <w:ind w:firstLine="0"/>
              <w:jc w:val="center"/>
              <w:rPr>
                <w:rFonts w:eastAsia="Times New Roman"/>
                <w:color w:val="000000"/>
              </w:rPr>
            </w:pPr>
            <w:r w:rsidRPr="00350A93">
              <w:rPr>
                <w:rFonts w:eastAsia="Times New Roman"/>
                <w:color w:val="000000"/>
              </w:rPr>
              <w:t>1.194</w:t>
            </w:r>
          </w:p>
        </w:tc>
      </w:tr>
      <w:tr w:rsidR="00350A93" w:rsidRPr="00350A93" w14:paraId="76A218A0" w14:textId="77777777" w:rsidTr="009F23A0">
        <w:trPr>
          <w:trHeight w:val="300"/>
          <w:jc w:val="center"/>
        </w:trPr>
        <w:tc>
          <w:tcPr>
            <w:tcW w:w="1290" w:type="dxa"/>
            <w:tcBorders>
              <w:top w:val="nil"/>
              <w:left w:val="single" w:sz="4" w:space="0" w:color="auto"/>
              <w:bottom w:val="single" w:sz="4" w:space="0" w:color="auto"/>
              <w:right w:val="single" w:sz="4" w:space="0" w:color="auto"/>
            </w:tcBorders>
            <w:shd w:val="clear" w:color="auto" w:fill="auto"/>
            <w:noWrap/>
            <w:vAlign w:val="bottom"/>
            <w:hideMark/>
          </w:tcPr>
          <w:p w14:paraId="1051C2A4" w14:textId="77777777" w:rsidR="00350A93" w:rsidRPr="00350A93" w:rsidRDefault="00350A93" w:rsidP="00350A93">
            <w:pPr>
              <w:spacing w:after="0" w:line="240" w:lineRule="auto"/>
              <w:ind w:firstLine="0"/>
              <w:jc w:val="center"/>
              <w:rPr>
                <w:rFonts w:eastAsia="Times New Roman"/>
                <w:color w:val="000000"/>
              </w:rPr>
            </w:pPr>
            <w:r w:rsidRPr="00350A93">
              <w:rPr>
                <w:rFonts w:eastAsia="Times New Roman"/>
                <w:color w:val="000000"/>
              </w:rPr>
              <w:t>6</w:t>
            </w:r>
          </w:p>
        </w:tc>
        <w:tc>
          <w:tcPr>
            <w:tcW w:w="1904" w:type="dxa"/>
            <w:tcBorders>
              <w:top w:val="nil"/>
              <w:left w:val="nil"/>
              <w:bottom w:val="single" w:sz="4" w:space="0" w:color="auto"/>
              <w:right w:val="single" w:sz="4" w:space="0" w:color="auto"/>
            </w:tcBorders>
            <w:shd w:val="clear" w:color="auto" w:fill="auto"/>
            <w:noWrap/>
            <w:vAlign w:val="bottom"/>
            <w:hideMark/>
          </w:tcPr>
          <w:p w14:paraId="2BA4BBBC" w14:textId="77777777" w:rsidR="00350A93" w:rsidRPr="00350A93" w:rsidRDefault="00350A93" w:rsidP="00350A93">
            <w:pPr>
              <w:spacing w:after="0" w:line="240" w:lineRule="auto"/>
              <w:ind w:firstLine="0"/>
              <w:jc w:val="center"/>
              <w:rPr>
                <w:rFonts w:eastAsia="Times New Roman"/>
                <w:color w:val="000000"/>
              </w:rPr>
            </w:pPr>
            <w:r w:rsidRPr="00350A93">
              <w:rPr>
                <w:rFonts w:eastAsia="Times New Roman"/>
                <w:color w:val="000000"/>
              </w:rPr>
              <w:t>Exit 2</w:t>
            </w:r>
          </w:p>
        </w:tc>
        <w:tc>
          <w:tcPr>
            <w:tcW w:w="1373" w:type="dxa"/>
            <w:tcBorders>
              <w:top w:val="nil"/>
              <w:left w:val="nil"/>
              <w:bottom w:val="single" w:sz="4" w:space="0" w:color="auto"/>
              <w:right w:val="single" w:sz="4" w:space="0" w:color="auto"/>
            </w:tcBorders>
            <w:shd w:val="clear" w:color="auto" w:fill="auto"/>
            <w:noWrap/>
            <w:vAlign w:val="bottom"/>
            <w:hideMark/>
          </w:tcPr>
          <w:p w14:paraId="69C2F0F0" w14:textId="77777777" w:rsidR="00350A93" w:rsidRPr="00350A93" w:rsidRDefault="00350A93" w:rsidP="00350A93">
            <w:pPr>
              <w:spacing w:after="0" w:line="240" w:lineRule="auto"/>
              <w:ind w:firstLine="0"/>
              <w:jc w:val="center"/>
              <w:rPr>
                <w:rFonts w:eastAsia="Times New Roman"/>
                <w:color w:val="000000"/>
              </w:rPr>
            </w:pPr>
            <w:r w:rsidRPr="00350A93">
              <w:rPr>
                <w:rFonts w:eastAsia="Times New Roman"/>
                <w:color w:val="000000"/>
              </w:rPr>
              <w:t>2.311</w:t>
            </w:r>
          </w:p>
        </w:tc>
      </w:tr>
    </w:tbl>
    <w:p w14:paraId="501673F5" w14:textId="769D0A3E" w:rsidR="0042588D" w:rsidRDefault="0042588D" w:rsidP="00AD0103">
      <w:pPr>
        <w:spacing w:before="720"/>
        <w:ind w:firstLine="274"/>
      </w:pPr>
      <w:r w:rsidRPr="00AD0103">
        <w:rPr>
          <w:rStyle w:val="NormalAfterTableChar"/>
        </w:rPr>
        <w:t xml:space="preserve">The exit region is divided into components due to a difference in lengths of the inner and outer side </w:t>
      </w:r>
      <w:r w:rsidR="00A60859">
        <w:t>plates which wil</w:t>
      </w:r>
      <w:r w:rsidR="00416885">
        <w:t>l be added to the model assemblage</w:t>
      </w:r>
      <w:r w:rsidR="00A60859">
        <w:t xml:space="preserve"> last.  The assembled coolant components are shown in Fig. </w:t>
      </w:r>
      <w:r w:rsidR="00A60859">
        <w:fldChar w:fldCharType="begin"/>
      </w:r>
      <w:r w:rsidR="00A60859">
        <w:instrText xml:space="preserve"> REF _Ref377376198 \r \h </w:instrText>
      </w:r>
      <w:r w:rsidR="00A60859">
        <w:fldChar w:fldCharType="separate"/>
      </w:r>
      <w:r w:rsidR="001C5EC1">
        <w:t>5.1</w:t>
      </w:r>
      <w:r w:rsidR="00A60859">
        <w:fldChar w:fldCharType="end"/>
      </w:r>
      <w:r w:rsidR="00A60859">
        <w:t>.</w:t>
      </w:r>
    </w:p>
    <w:p w14:paraId="395A726F" w14:textId="3A6EAF7E" w:rsidR="00DF0C87" w:rsidRDefault="00350A93" w:rsidP="003E0C5E">
      <w:pPr>
        <w:pStyle w:val="PictureSytel"/>
      </w:pPr>
      <w:r>
        <w:rPr>
          <w:noProof/>
        </w:rPr>
        <w:drawing>
          <wp:inline distT="0" distB="0" distL="0" distR="0" wp14:anchorId="434F59B4" wp14:editId="372B5038">
            <wp:extent cx="4999807" cy="1411039"/>
            <wp:effectExtent l="19050" t="19050" r="10795" b="177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olant%20Geometries%20Annotated%202[1].png"/>
                    <pic:cNvPicPr/>
                  </pic:nvPicPr>
                  <pic:blipFill rotWithShape="1">
                    <a:blip r:embed="rId147">
                      <a:extLst>
                        <a:ext uri="{28A0092B-C50C-407E-A947-70E740481C1C}">
                          <a14:useLocalDpi xmlns:a14="http://schemas.microsoft.com/office/drawing/2010/main" val="0"/>
                        </a:ext>
                      </a:extLst>
                    </a:blip>
                    <a:srcRect l="5823" t="23311" r="5095" b="27589"/>
                    <a:stretch/>
                  </pic:blipFill>
                  <pic:spPr bwMode="auto">
                    <a:xfrm>
                      <a:off x="0" y="0"/>
                      <a:ext cx="4995618" cy="1409857"/>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B094207" w14:textId="4F34D4BD" w:rsidR="003D43D8" w:rsidRDefault="00892E11" w:rsidP="00DF0C87">
      <w:pPr>
        <w:pStyle w:val="FigTitleStyle"/>
      </w:pPr>
      <w:bookmarkStart w:id="108" w:name="_Toc380156105"/>
      <w:bookmarkStart w:id="109" w:name="_Toc380157651"/>
      <w:bookmarkStart w:id="110" w:name="_Toc382920256"/>
      <w:r>
        <w:t xml:space="preserve">Fig. </w:t>
      </w:r>
      <w:r>
        <w:fldChar w:fldCharType="begin"/>
      </w:r>
      <w:bookmarkStart w:id="111" w:name="_Ref377376198"/>
      <w:bookmarkEnd w:id="111"/>
      <w:r>
        <w:instrText xml:space="preserve"> LISTNUM FIG \l 2 </w:instrText>
      </w:r>
      <w:r>
        <w:fldChar w:fldCharType="end"/>
      </w:r>
      <w:r>
        <w:t xml:space="preserve">.  </w:t>
      </w:r>
      <w:r w:rsidR="00A60859">
        <w:t xml:space="preserve">Assembled </w:t>
      </w:r>
      <w:r>
        <w:t>Coolant Components.</w:t>
      </w:r>
      <w:r w:rsidR="0057489F">
        <w:t xml:space="preserve">  </w:t>
      </w:r>
      <w:r w:rsidR="002722F3">
        <w:rPr>
          <w:b w:val="0"/>
        </w:rPr>
        <w:t>Flow direction is in the +</w:t>
      </w:r>
      <w:r w:rsidR="0057489F">
        <w:rPr>
          <w:b w:val="0"/>
          <w:i/>
        </w:rPr>
        <w:t>z</w:t>
      </w:r>
      <w:r w:rsidR="0057489F">
        <w:rPr>
          <w:b w:val="0"/>
        </w:rPr>
        <w:t>-direction.</w:t>
      </w:r>
      <w:bookmarkEnd w:id="108"/>
      <w:bookmarkEnd w:id="109"/>
      <w:bookmarkEnd w:id="110"/>
    </w:p>
    <w:p w14:paraId="1D36D987" w14:textId="2B236682" w:rsidR="003D43D8" w:rsidRDefault="00416885" w:rsidP="00AD0103">
      <w:pPr>
        <w:spacing w:after="720"/>
        <w:ind w:firstLine="274"/>
      </w:pPr>
      <w:r>
        <w:lastRenderedPageBreak/>
        <w:t xml:space="preserve">Next, the fuel plate </w:t>
      </w:r>
      <w:r w:rsidR="00951730">
        <w:t>components are</w:t>
      </w:r>
      <w:r>
        <w:t xml:space="preserve"> added to the assemblage.  </w:t>
      </w:r>
      <w:r w:rsidR="002C6A7D">
        <w:t xml:space="preserve">Again for ease of meshing the fuel plate </w:t>
      </w:r>
      <w:r w:rsidR="002C6A7D" w:rsidRPr="00AD0103">
        <w:rPr>
          <w:rStyle w:val="NormalBeforeTableChar"/>
        </w:rPr>
        <w:t xml:space="preserve">domain is subdivided into four components which are listed in Table. </w:t>
      </w:r>
      <w:r w:rsidR="002C6A7D" w:rsidRPr="00AD0103">
        <w:rPr>
          <w:rStyle w:val="NormalBeforeTableChar"/>
        </w:rPr>
        <w:fldChar w:fldCharType="begin"/>
      </w:r>
      <w:r w:rsidR="002C6A7D" w:rsidRPr="00AD0103">
        <w:rPr>
          <w:rStyle w:val="NormalBeforeTableChar"/>
        </w:rPr>
        <w:instrText xml:space="preserve"> REF _Ref377385723 \r \h </w:instrText>
      </w:r>
      <w:r w:rsidR="00AD0103">
        <w:rPr>
          <w:rStyle w:val="NormalBeforeTableChar"/>
        </w:rPr>
        <w:instrText xml:space="preserve"> \* MERGEFORMAT </w:instrText>
      </w:r>
      <w:r w:rsidR="002C6A7D" w:rsidRPr="00AD0103">
        <w:rPr>
          <w:rStyle w:val="NormalBeforeTableChar"/>
        </w:rPr>
      </w:r>
      <w:r w:rsidR="002C6A7D" w:rsidRPr="00AD0103">
        <w:rPr>
          <w:rStyle w:val="NormalBeforeTableChar"/>
        </w:rPr>
        <w:fldChar w:fldCharType="separate"/>
      </w:r>
      <w:r w:rsidR="001C5EC1">
        <w:rPr>
          <w:rStyle w:val="NormalBeforeTableChar"/>
        </w:rPr>
        <w:t>5.2</w:t>
      </w:r>
      <w:r w:rsidR="002C6A7D" w:rsidRPr="00AD0103">
        <w:rPr>
          <w:rStyle w:val="NormalBeforeTableChar"/>
        </w:rPr>
        <w:fldChar w:fldCharType="end"/>
      </w:r>
      <w:r w:rsidR="002C6A7D" w:rsidRPr="00AD0103">
        <w:rPr>
          <w:rStyle w:val="NormalBeforeTableChar"/>
        </w:rPr>
        <w:t>.</w:t>
      </w:r>
    </w:p>
    <w:tbl>
      <w:tblPr>
        <w:tblW w:w="4415" w:type="dxa"/>
        <w:jc w:val="center"/>
        <w:tblLook w:val="04A0" w:firstRow="1" w:lastRow="0" w:firstColumn="1" w:lastColumn="0" w:noHBand="0" w:noVBand="1"/>
      </w:tblPr>
      <w:tblGrid>
        <w:gridCol w:w="1243"/>
        <w:gridCol w:w="1803"/>
        <w:gridCol w:w="1369"/>
      </w:tblGrid>
      <w:tr w:rsidR="002C6A7D" w:rsidRPr="002C6A7D" w14:paraId="27036268" w14:textId="77777777" w:rsidTr="002C6A7D">
        <w:trPr>
          <w:trHeight w:val="300"/>
          <w:jc w:val="center"/>
        </w:trPr>
        <w:tc>
          <w:tcPr>
            <w:tcW w:w="441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CA3941" w14:textId="21DC6C75" w:rsidR="002C6A7D" w:rsidRPr="002C6A7D" w:rsidRDefault="002C6A7D" w:rsidP="00F066C7">
            <w:pPr>
              <w:pStyle w:val="NoSpacing"/>
            </w:pPr>
            <w:bookmarkStart w:id="112" w:name="_Toc382920194"/>
            <w:r w:rsidRPr="002C6A7D">
              <w:t xml:space="preserve">Table </w:t>
            </w:r>
            <w:r>
              <w:fldChar w:fldCharType="begin"/>
            </w:r>
            <w:bookmarkStart w:id="113" w:name="_Ref377385723"/>
            <w:bookmarkEnd w:id="113"/>
            <w:r>
              <w:instrText xml:space="preserve"> LISTNUM TAB \l 2</w:instrText>
            </w:r>
            <w:r>
              <w:fldChar w:fldCharType="end"/>
            </w:r>
            <w:r w:rsidRPr="002C6A7D">
              <w:t>:  Fuel Plate Components</w:t>
            </w:r>
            <w:bookmarkEnd w:id="112"/>
          </w:p>
        </w:tc>
      </w:tr>
      <w:tr w:rsidR="002C6A7D" w:rsidRPr="002C6A7D" w14:paraId="0C5EE498" w14:textId="77777777" w:rsidTr="002C6A7D">
        <w:trPr>
          <w:trHeight w:val="300"/>
          <w:jc w:val="center"/>
        </w:trPr>
        <w:tc>
          <w:tcPr>
            <w:tcW w:w="1243" w:type="dxa"/>
            <w:tcBorders>
              <w:top w:val="nil"/>
              <w:left w:val="single" w:sz="4" w:space="0" w:color="auto"/>
              <w:bottom w:val="single" w:sz="4" w:space="0" w:color="auto"/>
              <w:right w:val="single" w:sz="4" w:space="0" w:color="auto"/>
            </w:tcBorders>
            <w:shd w:val="clear" w:color="auto" w:fill="auto"/>
            <w:noWrap/>
            <w:vAlign w:val="bottom"/>
            <w:hideMark/>
          </w:tcPr>
          <w:p w14:paraId="47E309EB" w14:textId="77777777" w:rsidR="002C6A7D" w:rsidRPr="002C6A7D" w:rsidRDefault="002C6A7D" w:rsidP="00CC0DFD">
            <w:pPr>
              <w:keepNext/>
              <w:spacing w:after="0" w:line="240" w:lineRule="auto"/>
              <w:ind w:firstLine="0"/>
              <w:jc w:val="left"/>
              <w:rPr>
                <w:rFonts w:eastAsia="Times New Roman"/>
                <w:color w:val="000000"/>
              </w:rPr>
            </w:pPr>
            <w:r w:rsidRPr="002C6A7D">
              <w:rPr>
                <w:rFonts w:eastAsia="Times New Roman"/>
                <w:color w:val="000000"/>
              </w:rPr>
              <w:t>Component</w:t>
            </w:r>
          </w:p>
        </w:tc>
        <w:tc>
          <w:tcPr>
            <w:tcW w:w="1803" w:type="dxa"/>
            <w:tcBorders>
              <w:top w:val="nil"/>
              <w:left w:val="nil"/>
              <w:bottom w:val="single" w:sz="4" w:space="0" w:color="auto"/>
              <w:right w:val="single" w:sz="4" w:space="0" w:color="auto"/>
            </w:tcBorders>
            <w:shd w:val="clear" w:color="auto" w:fill="auto"/>
            <w:noWrap/>
            <w:vAlign w:val="bottom"/>
            <w:hideMark/>
          </w:tcPr>
          <w:p w14:paraId="6C0069EA" w14:textId="77777777" w:rsidR="002C6A7D" w:rsidRPr="002C6A7D" w:rsidRDefault="002C6A7D" w:rsidP="00CC0DFD">
            <w:pPr>
              <w:keepNext/>
              <w:spacing w:after="0" w:line="240" w:lineRule="auto"/>
              <w:ind w:firstLine="0"/>
              <w:jc w:val="center"/>
              <w:rPr>
                <w:rFonts w:eastAsia="Times New Roman"/>
                <w:color w:val="000000"/>
              </w:rPr>
            </w:pPr>
            <w:r w:rsidRPr="002C6A7D">
              <w:rPr>
                <w:rFonts w:eastAsia="Times New Roman"/>
                <w:color w:val="000000"/>
              </w:rPr>
              <w:t>Axial Region</w:t>
            </w:r>
          </w:p>
        </w:tc>
        <w:tc>
          <w:tcPr>
            <w:tcW w:w="1369" w:type="dxa"/>
            <w:tcBorders>
              <w:top w:val="nil"/>
              <w:left w:val="nil"/>
              <w:bottom w:val="single" w:sz="4" w:space="0" w:color="auto"/>
              <w:right w:val="single" w:sz="4" w:space="0" w:color="auto"/>
            </w:tcBorders>
            <w:shd w:val="clear" w:color="auto" w:fill="auto"/>
            <w:noWrap/>
            <w:vAlign w:val="bottom"/>
            <w:hideMark/>
          </w:tcPr>
          <w:p w14:paraId="66EC2546" w14:textId="77777777" w:rsidR="002C6A7D" w:rsidRPr="002C6A7D" w:rsidRDefault="002C6A7D" w:rsidP="00CC0DFD">
            <w:pPr>
              <w:keepNext/>
              <w:spacing w:after="0" w:line="240" w:lineRule="auto"/>
              <w:ind w:firstLine="0"/>
              <w:jc w:val="center"/>
              <w:rPr>
                <w:rFonts w:eastAsia="Times New Roman"/>
                <w:color w:val="000000"/>
              </w:rPr>
            </w:pPr>
            <w:r w:rsidRPr="002C6A7D">
              <w:rPr>
                <w:rFonts w:eastAsia="Times New Roman"/>
                <w:color w:val="000000"/>
              </w:rPr>
              <w:t>Length (cm)</w:t>
            </w:r>
          </w:p>
        </w:tc>
      </w:tr>
      <w:tr w:rsidR="002C6A7D" w:rsidRPr="002C6A7D" w14:paraId="48E79383" w14:textId="77777777" w:rsidTr="002C6A7D">
        <w:trPr>
          <w:trHeight w:val="300"/>
          <w:jc w:val="center"/>
        </w:trPr>
        <w:tc>
          <w:tcPr>
            <w:tcW w:w="1243" w:type="dxa"/>
            <w:tcBorders>
              <w:top w:val="nil"/>
              <w:left w:val="single" w:sz="4" w:space="0" w:color="auto"/>
              <w:bottom w:val="single" w:sz="4" w:space="0" w:color="auto"/>
              <w:right w:val="single" w:sz="4" w:space="0" w:color="auto"/>
            </w:tcBorders>
            <w:shd w:val="clear" w:color="auto" w:fill="auto"/>
            <w:noWrap/>
            <w:vAlign w:val="bottom"/>
            <w:hideMark/>
          </w:tcPr>
          <w:p w14:paraId="2F745FDB" w14:textId="77777777" w:rsidR="002C6A7D" w:rsidRPr="002C6A7D" w:rsidRDefault="002C6A7D" w:rsidP="00CC0DFD">
            <w:pPr>
              <w:keepNext/>
              <w:spacing w:after="0" w:line="240" w:lineRule="auto"/>
              <w:ind w:firstLine="0"/>
              <w:jc w:val="center"/>
              <w:rPr>
                <w:rFonts w:eastAsia="Times New Roman"/>
                <w:color w:val="000000"/>
              </w:rPr>
            </w:pPr>
            <w:r w:rsidRPr="002C6A7D">
              <w:rPr>
                <w:rFonts w:eastAsia="Times New Roman"/>
                <w:color w:val="000000"/>
              </w:rPr>
              <w:t>1</w:t>
            </w:r>
          </w:p>
        </w:tc>
        <w:tc>
          <w:tcPr>
            <w:tcW w:w="1803" w:type="dxa"/>
            <w:tcBorders>
              <w:top w:val="nil"/>
              <w:left w:val="nil"/>
              <w:bottom w:val="single" w:sz="4" w:space="0" w:color="auto"/>
              <w:right w:val="single" w:sz="4" w:space="0" w:color="auto"/>
            </w:tcBorders>
            <w:shd w:val="clear" w:color="auto" w:fill="auto"/>
            <w:noWrap/>
            <w:vAlign w:val="bottom"/>
            <w:hideMark/>
          </w:tcPr>
          <w:p w14:paraId="1E8E16B9" w14:textId="77777777" w:rsidR="002C6A7D" w:rsidRPr="002C6A7D" w:rsidRDefault="002C6A7D" w:rsidP="00CC0DFD">
            <w:pPr>
              <w:keepNext/>
              <w:spacing w:after="0" w:line="240" w:lineRule="auto"/>
              <w:ind w:firstLine="0"/>
              <w:jc w:val="center"/>
              <w:rPr>
                <w:rFonts w:eastAsia="Times New Roman"/>
                <w:color w:val="000000"/>
              </w:rPr>
            </w:pPr>
            <w:r w:rsidRPr="002C6A7D">
              <w:rPr>
                <w:rFonts w:eastAsia="Times New Roman"/>
                <w:color w:val="000000"/>
              </w:rPr>
              <w:t>Leading Edge</w:t>
            </w:r>
          </w:p>
        </w:tc>
        <w:tc>
          <w:tcPr>
            <w:tcW w:w="1369" w:type="dxa"/>
            <w:tcBorders>
              <w:top w:val="nil"/>
              <w:left w:val="nil"/>
              <w:bottom w:val="single" w:sz="4" w:space="0" w:color="auto"/>
              <w:right w:val="single" w:sz="4" w:space="0" w:color="auto"/>
            </w:tcBorders>
            <w:shd w:val="clear" w:color="auto" w:fill="auto"/>
            <w:noWrap/>
            <w:vAlign w:val="bottom"/>
            <w:hideMark/>
          </w:tcPr>
          <w:p w14:paraId="4C0A7998" w14:textId="46132EB2" w:rsidR="002C6A7D" w:rsidRPr="002C6A7D" w:rsidRDefault="00D13343" w:rsidP="00CC0DFD">
            <w:pPr>
              <w:keepNext/>
              <w:spacing w:after="0" w:line="240" w:lineRule="auto"/>
              <w:ind w:firstLine="0"/>
              <w:jc w:val="center"/>
              <w:rPr>
                <w:rFonts w:eastAsia="Times New Roman"/>
                <w:color w:val="000000"/>
              </w:rPr>
            </w:pPr>
            <w:r>
              <w:rPr>
                <w:rFonts w:eastAsia="Times New Roman"/>
                <w:color w:val="000000"/>
              </w:rPr>
              <w:t>0.089</w:t>
            </w:r>
          </w:p>
        </w:tc>
      </w:tr>
      <w:tr w:rsidR="002C6A7D" w:rsidRPr="002C6A7D" w14:paraId="22CC1F45" w14:textId="77777777" w:rsidTr="002C6A7D">
        <w:trPr>
          <w:trHeight w:val="300"/>
          <w:jc w:val="center"/>
        </w:trPr>
        <w:tc>
          <w:tcPr>
            <w:tcW w:w="1243" w:type="dxa"/>
            <w:tcBorders>
              <w:top w:val="nil"/>
              <w:left w:val="single" w:sz="4" w:space="0" w:color="auto"/>
              <w:bottom w:val="single" w:sz="4" w:space="0" w:color="auto"/>
              <w:right w:val="single" w:sz="4" w:space="0" w:color="auto"/>
            </w:tcBorders>
            <w:shd w:val="clear" w:color="auto" w:fill="auto"/>
            <w:noWrap/>
            <w:vAlign w:val="bottom"/>
            <w:hideMark/>
          </w:tcPr>
          <w:p w14:paraId="7712D384" w14:textId="77777777" w:rsidR="002C6A7D" w:rsidRPr="002C6A7D" w:rsidRDefault="002C6A7D" w:rsidP="00CC0DFD">
            <w:pPr>
              <w:keepNext/>
              <w:spacing w:after="0" w:line="240" w:lineRule="auto"/>
              <w:ind w:firstLine="0"/>
              <w:jc w:val="center"/>
              <w:rPr>
                <w:rFonts w:eastAsia="Times New Roman"/>
                <w:color w:val="000000"/>
              </w:rPr>
            </w:pPr>
            <w:r w:rsidRPr="002C6A7D">
              <w:rPr>
                <w:rFonts w:eastAsia="Times New Roman"/>
                <w:color w:val="000000"/>
              </w:rPr>
              <w:t>2</w:t>
            </w:r>
          </w:p>
        </w:tc>
        <w:tc>
          <w:tcPr>
            <w:tcW w:w="1803" w:type="dxa"/>
            <w:tcBorders>
              <w:top w:val="nil"/>
              <w:left w:val="nil"/>
              <w:bottom w:val="single" w:sz="4" w:space="0" w:color="auto"/>
              <w:right w:val="single" w:sz="4" w:space="0" w:color="auto"/>
            </w:tcBorders>
            <w:shd w:val="clear" w:color="auto" w:fill="auto"/>
            <w:noWrap/>
            <w:vAlign w:val="bottom"/>
            <w:hideMark/>
          </w:tcPr>
          <w:p w14:paraId="2849615F" w14:textId="77777777" w:rsidR="002C6A7D" w:rsidRPr="002C6A7D" w:rsidRDefault="002C6A7D" w:rsidP="00CC0DFD">
            <w:pPr>
              <w:keepNext/>
              <w:spacing w:after="0" w:line="240" w:lineRule="auto"/>
              <w:ind w:firstLine="0"/>
              <w:jc w:val="center"/>
              <w:rPr>
                <w:rFonts w:eastAsia="Times New Roman"/>
                <w:color w:val="000000"/>
              </w:rPr>
            </w:pPr>
            <w:r w:rsidRPr="002C6A7D">
              <w:rPr>
                <w:rFonts w:eastAsia="Times New Roman"/>
                <w:color w:val="000000"/>
              </w:rPr>
              <w:t>Unfueled Top</w:t>
            </w:r>
          </w:p>
        </w:tc>
        <w:tc>
          <w:tcPr>
            <w:tcW w:w="1369" w:type="dxa"/>
            <w:tcBorders>
              <w:top w:val="nil"/>
              <w:left w:val="nil"/>
              <w:bottom w:val="single" w:sz="4" w:space="0" w:color="auto"/>
              <w:right w:val="single" w:sz="4" w:space="0" w:color="auto"/>
            </w:tcBorders>
            <w:shd w:val="clear" w:color="auto" w:fill="auto"/>
            <w:noWrap/>
            <w:vAlign w:val="bottom"/>
            <w:hideMark/>
          </w:tcPr>
          <w:p w14:paraId="22293B13" w14:textId="57A6E40D" w:rsidR="002C6A7D" w:rsidRPr="002C6A7D" w:rsidRDefault="00D13343" w:rsidP="00CC0DFD">
            <w:pPr>
              <w:keepNext/>
              <w:spacing w:after="0" w:line="240" w:lineRule="auto"/>
              <w:ind w:firstLine="0"/>
              <w:jc w:val="center"/>
              <w:rPr>
                <w:rFonts w:eastAsia="Times New Roman"/>
                <w:color w:val="000000"/>
              </w:rPr>
            </w:pPr>
            <w:r>
              <w:rPr>
                <w:rFonts w:eastAsia="Times New Roman"/>
                <w:color w:val="000000"/>
              </w:rPr>
              <w:t>4.991</w:t>
            </w:r>
          </w:p>
        </w:tc>
      </w:tr>
      <w:tr w:rsidR="002C6A7D" w:rsidRPr="002C6A7D" w14:paraId="369389A4" w14:textId="77777777" w:rsidTr="002C6A7D">
        <w:trPr>
          <w:trHeight w:val="300"/>
          <w:jc w:val="center"/>
        </w:trPr>
        <w:tc>
          <w:tcPr>
            <w:tcW w:w="1243" w:type="dxa"/>
            <w:tcBorders>
              <w:top w:val="nil"/>
              <w:left w:val="single" w:sz="4" w:space="0" w:color="auto"/>
              <w:bottom w:val="single" w:sz="4" w:space="0" w:color="auto"/>
              <w:right w:val="single" w:sz="4" w:space="0" w:color="auto"/>
            </w:tcBorders>
            <w:shd w:val="clear" w:color="auto" w:fill="auto"/>
            <w:noWrap/>
            <w:vAlign w:val="bottom"/>
            <w:hideMark/>
          </w:tcPr>
          <w:p w14:paraId="0BD86BF7" w14:textId="77777777" w:rsidR="002C6A7D" w:rsidRPr="002C6A7D" w:rsidRDefault="002C6A7D" w:rsidP="00CC0DFD">
            <w:pPr>
              <w:keepNext/>
              <w:spacing w:after="0" w:line="240" w:lineRule="auto"/>
              <w:ind w:firstLine="0"/>
              <w:jc w:val="center"/>
              <w:rPr>
                <w:rFonts w:eastAsia="Times New Roman"/>
                <w:color w:val="000000"/>
              </w:rPr>
            </w:pPr>
            <w:r w:rsidRPr="002C6A7D">
              <w:rPr>
                <w:rFonts w:eastAsia="Times New Roman"/>
                <w:color w:val="000000"/>
              </w:rPr>
              <w:t>3</w:t>
            </w:r>
          </w:p>
        </w:tc>
        <w:tc>
          <w:tcPr>
            <w:tcW w:w="1803" w:type="dxa"/>
            <w:tcBorders>
              <w:top w:val="nil"/>
              <w:left w:val="nil"/>
              <w:bottom w:val="single" w:sz="4" w:space="0" w:color="auto"/>
              <w:right w:val="single" w:sz="4" w:space="0" w:color="auto"/>
            </w:tcBorders>
            <w:shd w:val="clear" w:color="auto" w:fill="auto"/>
            <w:noWrap/>
            <w:vAlign w:val="bottom"/>
            <w:hideMark/>
          </w:tcPr>
          <w:p w14:paraId="08B2AAAA" w14:textId="77777777" w:rsidR="002C6A7D" w:rsidRPr="002C6A7D" w:rsidRDefault="002C6A7D" w:rsidP="00CC0DFD">
            <w:pPr>
              <w:keepNext/>
              <w:spacing w:after="0" w:line="240" w:lineRule="auto"/>
              <w:ind w:firstLine="0"/>
              <w:jc w:val="center"/>
              <w:rPr>
                <w:rFonts w:eastAsia="Times New Roman"/>
                <w:color w:val="000000"/>
              </w:rPr>
            </w:pPr>
            <w:r w:rsidRPr="002C6A7D">
              <w:rPr>
                <w:rFonts w:eastAsia="Times New Roman"/>
                <w:color w:val="000000"/>
              </w:rPr>
              <w:t>Fueled Section</w:t>
            </w:r>
          </w:p>
        </w:tc>
        <w:tc>
          <w:tcPr>
            <w:tcW w:w="1369" w:type="dxa"/>
            <w:tcBorders>
              <w:top w:val="nil"/>
              <w:left w:val="nil"/>
              <w:bottom w:val="single" w:sz="4" w:space="0" w:color="auto"/>
              <w:right w:val="single" w:sz="4" w:space="0" w:color="auto"/>
            </w:tcBorders>
            <w:shd w:val="clear" w:color="auto" w:fill="auto"/>
            <w:noWrap/>
            <w:vAlign w:val="bottom"/>
            <w:hideMark/>
          </w:tcPr>
          <w:p w14:paraId="4949FD9F" w14:textId="45E848D4" w:rsidR="002C6A7D" w:rsidRPr="002C6A7D" w:rsidRDefault="00D13343" w:rsidP="00CC0DFD">
            <w:pPr>
              <w:keepNext/>
              <w:spacing w:after="0" w:line="240" w:lineRule="auto"/>
              <w:ind w:firstLine="0"/>
              <w:jc w:val="center"/>
              <w:rPr>
                <w:rFonts w:eastAsia="Times New Roman"/>
                <w:color w:val="000000"/>
              </w:rPr>
            </w:pPr>
            <w:r>
              <w:rPr>
                <w:rFonts w:eastAsia="Times New Roman"/>
                <w:color w:val="000000"/>
              </w:rPr>
              <w:t>50.800</w:t>
            </w:r>
          </w:p>
        </w:tc>
      </w:tr>
      <w:tr w:rsidR="002C6A7D" w:rsidRPr="002C6A7D" w14:paraId="25F8ADAA" w14:textId="77777777" w:rsidTr="002C6A7D">
        <w:trPr>
          <w:trHeight w:val="300"/>
          <w:jc w:val="center"/>
        </w:trPr>
        <w:tc>
          <w:tcPr>
            <w:tcW w:w="1243" w:type="dxa"/>
            <w:tcBorders>
              <w:top w:val="nil"/>
              <w:left w:val="single" w:sz="4" w:space="0" w:color="auto"/>
              <w:bottom w:val="single" w:sz="4" w:space="0" w:color="auto"/>
              <w:right w:val="single" w:sz="4" w:space="0" w:color="auto"/>
            </w:tcBorders>
            <w:shd w:val="clear" w:color="auto" w:fill="auto"/>
            <w:noWrap/>
            <w:vAlign w:val="bottom"/>
            <w:hideMark/>
          </w:tcPr>
          <w:p w14:paraId="551419FD" w14:textId="77777777" w:rsidR="002C6A7D" w:rsidRPr="002C6A7D" w:rsidRDefault="002C6A7D" w:rsidP="002C6A7D">
            <w:pPr>
              <w:spacing w:after="0" w:line="240" w:lineRule="auto"/>
              <w:ind w:firstLine="0"/>
              <w:jc w:val="center"/>
              <w:rPr>
                <w:rFonts w:eastAsia="Times New Roman"/>
                <w:color w:val="000000"/>
              </w:rPr>
            </w:pPr>
            <w:r w:rsidRPr="002C6A7D">
              <w:rPr>
                <w:rFonts w:eastAsia="Times New Roman"/>
                <w:color w:val="000000"/>
              </w:rPr>
              <w:t>4</w:t>
            </w:r>
          </w:p>
        </w:tc>
        <w:tc>
          <w:tcPr>
            <w:tcW w:w="1803" w:type="dxa"/>
            <w:tcBorders>
              <w:top w:val="nil"/>
              <w:left w:val="nil"/>
              <w:bottom w:val="single" w:sz="4" w:space="0" w:color="auto"/>
              <w:right w:val="single" w:sz="4" w:space="0" w:color="auto"/>
            </w:tcBorders>
            <w:shd w:val="clear" w:color="auto" w:fill="auto"/>
            <w:noWrap/>
            <w:vAlign w:val="bottom"/>
            <w:hideMark/>
          </w:tcPr>
          <w:p w14:paraId="7F35EEB3" w14:textId="77777777" w:rsidR="002C6A7D" w:rsidRPr="002C6A7D" w:rsidRDefault="002C6A7D" w:rsidP="002C6A7D">
            <w:pPr>
              <w:spacing w:after="0" w:line="240" w:lineRule="auto"/>
              <w:ind w:firstLine="0"/>
              <w:jc w:val="center"/>
              <w:rPr>
                <w:rFonts w:eastAsia="Times New Roman"/>
                <w:color w:val="000000"/>
              </w:rPr>
            </w:pPr>
            <w:r w:rsidRPr="002C6A7D">
              <w:rPr>
                <w:rFonts w:eastAsia="Times New Roman"/>
                <w:color w:val="000000"/>
              </w:rPr>
              <w:t>Unfueled Bottom</w:t>
            </w:r>
          </w:p>
        </w:tc>
        <w:tc>
          <w:tcPr>
            <w:tcW w:w="1369" w:type="dxa"/>
            <w:tcBorders>
              <w:top w:val="nil"/>
              <w:left w:val="nil"/>
              <w:bottom w:val="single" w:sz="4" w:space="0" w:color="auto"/>
              <w:right w:val="single" w:sz="4" w:space="0" w:color="auto"/>
            </w:tcBorders>
            <w:shd w:val="clear" w:color="auto" w:fill="auto"/>
            <w:noWrap/>
            <w:vAlign w:val="bottom"/>
            <w:hideMark/>
          </w:tcPr>
          <w:p w14:paraId="53134987" w14:textId="3464F9F4" w:rsidR="002C6A7D" w:rsidRPr="002C6A7D" w:rsidRDefault="00D13343" w:rsidP="002C6A7D">
            <w:pPr>
              <w:spacing w:after="0" w:line="240" w:lineRule="auto"/>
              <w:ind w:firstLine="0"/>
              <w:jc w:val="center"/>
              <w:rPr>
                <w:rFonts w:eastAsia="Times New Roman"/>
                <w:color w:val="000000"/>
              </w:rPr>
            </w:pPr>
            <w:r>
              <w:rPr>
                <w:rFonts w:eastAsia="Times New Roman"/>
                <w:color w:val="000000"/>
              </w:rPr>
              <w:t>5.080</w:t>
            </w:r>
          </w:p>
        </w:tc>
      </w:tr>
    </w:tbl>
    <w:p w14:paraId="32863AD3" w14:textId="132196D1" w:rsidR="003D43D8" w:rsidRDefault="003E37BB" w:rsidP="00AD0103">
      <w:pPr>
        <w:spacing w:before="720"/>
        <w:ind w:firstLine="274"/>
      </w:pPr>
      <w:r w:rsidRPr="00AD0103">
        <w:rPr>
          <w:rStyle w:val="NormalAfterTableChar"/>
        </w:rPr>
        <w:t>The leading edge is separated from the unfueled top region because it is rounded</w:t>
      </w:r>
      <w:r w:rsidR="0038254F" w:rsidRPr="00AD0103">
        <w:rPr>
          <w:rStyle w:val="NormalAfterTableChar"/>
        </w:rPr>
        <w:t xml:space="preserve"> and is easier to mesh </w:t>
      </w:r>
      <w:r w:rsidR="0038254F">
        <w:t>separately</w:t>
      </w:r>
      <w:r>
        <w:t>.  The fuel plate components are imported into the COMSOL assemblage and a Boolean subtraction performed in order to remove the overlapping coolant domain.  The fuel meat is then imported and subtracted from the fuel plate using the same process.  A generalization of the side profile that this pro</w:t>
      </w:r>
      <w:r w:rsidR="00DA2244">
        <w:t xml:space="preserve">duces is shown in Fig. </w:t>
      </w:r>
      <w:r w:rsidR="00DA2244">
        <w:fldChar w:fldCharType="begin"/>
      </w:r>
      <w:r w:rsidR="00DA2244">
        <w:instrText xml:space="preserve"> REF _Ref377459288 \r \h </w:instrText>
      </w:r>
      <w:r w:rsidR="00DA2244">
        <w:fldChar w:fldCharType="separate"/>
      </w:r>
      <w:r w:rsidR="001C5EC1">
        <w:t>5.2</w:t>
      </w:r>
      <w:r w:rsidR="00DA2244">
        <w:fldChar w:fldCharType="end"/>
      </w:r>
      <w:r>
        <w:t>.</w:t>
      </w:r>
    </w:p>
    <w:p w14:paraId="628B82EC" w14:textId="18A45436" w:rsidR="003D43D8" w:rsidRDefault="006E01EF" w:rsidP="003E0C5E">
      <w:pPr>
        <w:pStyle w:val="PictureSytel"/>
      </w:pPr>
      <w:r>
        <w:rPr>
          <w:noProof/>
        </w:rPr>
        <w:drawing>
          <wp:inline distT="0" distB="0" distL="0" distR="0" wp14:anchorId="733F480C" wp14:editId="36C5436B">
            <wp:extent cx="5017273" cy="1789044"/>
            <wp:effectExtent l="19050" t="19050" r="12065" b="209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ide%20Profile%20Diagram[1].png"/>
                    <pic:cNvPicPr/>
                  </pic:nvPicPr>
                  <pic:blipFill rotWithShape="1">
                    <a:blip r:embed="rId148">
                      <a:extLst>
                        <a:ext uri="{28A0092B-C50C-407E-A947-70E740481C1C}">
                          <a14:useLocalDpi xmlns:a14="http://schemas.microsoft.com/office/drawing/2010/main" val="0"/>
                        </a:ext>
                      </a:extLst>
                    </a:blip>
                    <a:srcRect l="3144" t="10238" r="2396" b="10334"/>
                    <a:stretch/>
                  </pic:blipFill>
                  <pic:spPr bwMode="auto">
                    <a:xfrm>
                      <a:off x="0" y="0"/>
                      <a:ext cx="5017389" cy="178908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66AF632" w14:textId="4DA94BDF" w:rsidR="006E01EF" w:rsidRPr="006E01EF" w:rsidRDefault="006E01EF" w:rsidP="00CC0DFD">
      <w:pPr>
        <w:pStyle w:val="FigTitleStyle"/>
        <w:rPr>
          <w:b w:val="0"/>
        </w:rPr>
      </w:pPr>
      <w:bookmarkStart w:id="114" w:name="_Toc380156106"/>
      <w:bookmarkStart w:id="115" w:name="_Toc380157652"/>
      <w:bookmarkStart w:id="116" w:name="_Toc382920257"/>
      <w:r>
        <w:t xml:space="preserve">Fig. </w:t>
      </w:r>
      <w:r>
        <w:fldChar w:fldCharType="begin"/>
      </w:r>
      <w:bookmarkStart w:id="117" w:name="_Ref377459288"/>
      <w:bookmarkEnd w:id="117"/>
      <w:r>
        <w:instrText xml:space="preserve"> LISTNUM FIG \l 2 </w:instrText>
      </w:r>
      <w:r>
        <w:fldChar w:fldCharType="end"/>
      </w:r>
      <w:r>
        <w:t xml:space="preserve">.  COMSOL Assemblage Side Profile Diagram.  </w:t>
      </w:r>
      <w:r>
        <w:rPr>
          <w:b w:val="0"/>
        </w:rPr>
        <w:t>Note that the diag</w:t>
      </w:r>
      <w:r w:rsidR="00316851">
        <w:rPr>
          <w:b w:val="0"/>
        </w:rPr>
        <w:t>ram is not to scale.  The coolant channel is shown in blue, the fuel plate in grey, and the fuel meat in orange.  While the coolant and fuel plate extend to both side plates, the fuel meat does not.</w:t>
      </w:r>
      <w:bookmarkEnd w:id="114"/>
      <w:bookmarkEnd w:id="115"/>
      <w:bookmarkEnd w:id="116"/>
    </w:p>
    <w:p w14:paraId="34B4FC34" w14:textId="3B22F98A" w:rsidR="00EB0FBA" w:rsidRDefault="001727A2" w:rsidP="00DA2244">
      <w:r>
        <w:t xml:space="preserve">The side plates are imported last.  The inner side plate has an axial length of 64.364 cm and the outer side plate a length of 66.675 cm.  They are aligned equally with their leading edges 2.121 cm upstream of the fuel plate’s leading edge.  This </w:t>
      </w:r>
      <w:r w:rsidR="00AA103B">
        <w:t>is even with</w:t>
      </w:r>
      <w:r>
        <w:t xml:space="preserve"> the entrance boundary on the top of the leading coolant component.</w:t>
      </w:r>
      <w:r w:rsidR="00AA103B">
        <w:t xml:space="preserve">  </w:t>
      </w:r>
      <w:r w:rsidR="00C42F62">
        <w:t xml:space="preserve">This placement leads both side plates to extend downstream of the fuel plate’s trailing edge.  </w:t>
      </w:r>
      <w:r w:rsidR="00C42F62">
        <w:lastRenderedPageBreak/>
        <w:t>Their disparity in length dictates that the outer side plate extends 2.311 cm farther downstr</w:t>
      </w:r>
      <w:r w:rsidR="00EB0FBA">
        <w:t xml:space="preserve">eam than the inner side plate.  The orientation is shown in Fig. </w:t>
      </w:r>
      <w:r w:rsidR="00EB0FBA">
        <w:fldChar w:fldCharType="begin"/>
      </w:r>
      <w:r w:rsidR="00EB0FBA">
        <w:instrText xml:space="preserve"> REF _Ref377473312 \r \h </w:instrText>
      </w:r>
      <w:r w:rsidR="00EB0FBA">
        <w:fldChar w:fldCharType="separate"/>
      </w:r>
      <w:r w:rsidR="001C5EC1">
        <w:t>5.3</w:t>
      </w:r>
      <w:r w:rsidR="00EB0FBA">
        <w:fldChar w:fldCharType="end"/>
      </w:r>
      <w:r w:rsidR="00EB0FBA">
        <w:t>.</w:t>
      </w:r>
    </w:p>
    <w:p w14:paraId="42137ECB" w14:textId="638618B1" w:rsidR="00EB0FBA" w:rsidRDefault="00EE0EEC" w:rsidP="003E0C5E">
      <w:pPr>
        <w:pStyle w:val="PictureSytel"/>
      </w:pPr>
      <w:r>
        <w:rPr>
          <w:noProof/>
        </w:rPr>
        <w:drawing>
          <wp:inline distT="0" distB="0" distL="0" distR="0" wp14:anchorId="2A6E1ECF" wp14:editId="3EE53CFB">
            <wp:extent cx="5047701" cy="1622689"/>
            <wp:effectExtent l="19050" t="19050" r="19685" b="158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id Geometries.png"/>
                    <pic:cNvPicPr/>
                  </pic:nvPicPr>
                  <pic:blipFill>
                    <a:blip r:embed="rId149">
                      <a:extLst>
                        <a:ext uri="{28A0092B-C50C-407E-A947-70E740481C1C}">
                          <a14:useLocalDpi xmlns:a14="http://schemas.microsoft.com/office/drawing/2010/main" val="0"/>
                        </a:ext>
                      </a:extLst>
                    </a:blip>
                    <a:stretch>
                      <a:fillRect/>
                    </a:stretch>
                  </pic:blipFill>
                  <pic:spPr>
                    <a:xfrm>
                      <a:off x="0" y="0"/>
                      <a:ext cx="5047701" cy="1622689"/>
                    </a:xfrm>
                    <a:prstGeom prst="rect">
                      <a:avLst/>
                    </a:prstGeom>
                    <a:ln>
                      <a:solidFill>
                        <a:schemeClr val="tx1"/>
                      </a:solidFill>
                    </a:ln>
                  </pic:spPr>
                </pic:pic>
              </a:graphicData>
            </a:graphic>
          </wp:inline>
        </w:drawing>
      </w:r>
    </w:p>
    <w:p w14:paraId="042C5E5F" w14:textId="582A6643" w:rsidR="00EB0FBA" w:rsidRPr="00EE0EEC" w:rsidRDefault="00EB0FBA" w:rsidP="00EE0EEC">
      <w:pPr>
        <w:pStyle w:val="FigTitleStyle"/>
        <w:rPr>
          <w:b w:val="0"/>
        </w:rPr>
      </w:pPr>
      <w:bookmarkStart w:id="118" w:name="_Toc380156107"/>
      <w:bookmarkStart w:id="119" w:name="_Toc380157653"/>
      <w:bookmarkStart w:id="120" w:name="_Toc382920258"/>
      <w:r>
        <w:t xml:space="preserve">Fig. </w:t>
      </w:r>
      <w:r>
        <w:fldChar w:fldCharType="begin"/>
      </w:r>
      <w:bookmarkStart w:id="121" w:name="_Ref377473312"/>
      <w:bookmarkEnd w:id="121"/>
      <w:r>
        <w:instrText xml:space="preserve"> LISTNUM FIG \l 2 </w:instrText>
      </w:r>
      <w:r>
        <w:fldChar w:fldCharType="end"/>
      </w:r>
      <w:r>
        <w:t>.  Solid Geometry Assemblage.</w:t>
      </w:r>
      <w:r w:rsidR="002722F3">
        <w:rPr>
          <w:b w:val="0"/>
        </w:rPr>
        <w:t xml:space="preserve">  Flow direction is in the +</w:t>
      </w:r>
      <w:r w:rsidR="0057489F">
        <w:rPr>
          <w:b w:val="0"/>
          <w:i/>
        </w:rPr>
        <w:t>z</w:t>
      </w:r>
      <w:r w:rsidR="0057489F">
        <w:rPr>
          <w:b w:val="0"/>
        </w:rPr>
        <w:t>-direction.  The inner side plate is shown on top in this figure.  The geometry in between is the fuel plate</w:t>
      </w:r>
      <w:r w:rsidR="000D0B08">
        <w:rPr>
          <w:b w:val="0"/>
        </w:rPr>
        <w:t>.  C</w:t>
      </w:r>
      <w:r w:rsidR="0057489F">
        <w:rPr>
          <w:b w:val="0"/>
        </w:rPr>
        <w:t>oolant geometry components are not pictured.</w:t>
      </w:r>
      <w:bookmarkEnd w:id="118"/>
      <w:bookmarkEnd w:id="119"/>
      <w:bookmarkEnd w:id="120"/>
    </w:p>
    <w:p w14:paraId="09457270" w14:textId="20356239" w:rsidR="00C42F62" w:rsidRDefault="00C42F62" w:rsidP="00EB0FBA">
      <w:r>
        <w:t xml:space="preserve">This </w:t>
      </w:r>
      <w:r w:rsidR="00EB0FBA">
        <w:t>length disparity is an intentional design feature</w:t>
      </w:r>
      <w:r>
        <w:t>.</w:t>
      </w:r>
      <w:r w:rsidR="00EB0FBA">
        <w:t xml:space="preserve">  </w:t>
      </w:r>
      <w:r>
        <w:t>After a core’s operation cycle has ended it is removed from the reactor and placed in the spent fuel pool.  Ideally, it is placed on top of a rack allowing ample water to enter into the core from below where natural convection due to heat</w:t>
      </w:r>
      <w:r w:rsidR="009F23A0">
        <w:t xml:space="preserve"> generated by the left</w:t>
      </w:r>
      <w:r>
        <w:t>over fuel expels the water upwards.  The side plates are engineered such that if a spent core should somehow fall off of its rack and come to rest upright on the floor of the pool, water is abl</w:t>
      </w:r>
      <w:r w:rsidR="0038254F">
        <w:t>e to flow down the vacant flux trap in the center</w:t>
      </w:r>
      <w:r w:rsidR="004F2B1C">
        <w:t xml:space="preserve"> of the core, beneath</w:t>
      </w:r>
      <w:r>
        <w:t xml:space="preserve"> the suspended inner side plate, and back up the coolant channels.</w:t>
      </w:r>
      <w:r w:rsidR="0045011A">
        <w:t xml:space="preserve">  </w:t>
      </w:r>
      <w:r>
        <w:t>This opening must also be taken into account in the COMSOL model, thus the necessity for coolant components 5 and 6 to exist separately.</w:t>
      </w:r>
    </w:p>
    <w:p w14:paraId="79C2DC55" w14:textId="47135ECE" w:rsidR="0045011A" w:rsidRDefault="0045011A" w:rsidP="0045011A">
      <w:r>
        <w:t xml:space="preserve">With the inclusion of the side plates, the model geometry is completely assembled in COMSOL.  The last step is in stitching the geometry components together.  COMSOL is capable of doing this in two ways via connections that are known as unions and assemblies.  A union is the ideal inter-component connection as it directly links adjacent elements to one another.  In a union, any shared face between connected components is considered a single entity.  The mesh in one component must match the mesh in the other component at the interface between the two.  In an assembly, a shared face between components is considered as two elements, one for each component.  For instance, two blocks stacked on top of one another would share a single surface—the bottom of the upper block and the top </w:t>
      </w:r>
      <w:r w:rsidR="009F23A0">
        <w:t>of the lower block.  In</w:t>
      </w:r>
      <w:r>
        <w:t xml:space="preserve"> an assembly, the top of the lower block and the bottom of the upper block are considered independent of one another.  Meshes do not have to match across this interface and physics, such as heat flow, do not </w:t>
      </w:r>
      <w:r>
        <w:lastRenderedPageBreak/>
        <w:t>inherently</w:t>
      </w:r>
      <w:r w:rsidR="00A665F8">
        <w:t xml:space="preserve"> maintain continuity</w:t>
      </w:r>
      <w:r>
        <w:t xml:space="preserve"> across it.</w:t>
      </w:r>
      <w:r w:rsidR="00B013E9">
        <w:t xml:space="preserve">  This can be remedied, however, by placing a boundary pairing on both sides of a shared surface so that continuity is enforced between them.</w:t>
      </w:r>
    </w:p>
    <w:p w14:paraId="2E994E1C" w14:textId="323E24A7" w:rsidR="00A665F8" w:rsidRDefault="00A665F8" w:rsidP="0045011A">
      <w:r>
        <w:t>The assembly interface, while not ideal, can be necessary for complex geometries in which meshing is difficult.  Such is the case with some of the components in the fully three-dimensiona</w:t>
      </w:r>
      <w:r w:rsidR="00147834">
        <w:t>l model with its extremely high-</w:t>
      </w:r>
      <w:r>
        <w:t>aspect ratio and narrow channels.  The effect on results is miniscule.  The requirement that the model analyze each as</w:t>
      </w:r>
      <w:r w:rsidR="00ED59D0">
        <w:t xml:space="preserve">sembly interface </w:t>
      </w:r>
      <w:r w:rsidR="009F23A0">
        <w:t>every</w:t>
      </w:r>
      <w:r w:rsidR="00ED59D0">
        <w:t xml:space="preserve"> iterate</w:t>
      </w:r>
      <w:r>
        <w:t>, interpolating values and fluxes across its surface from one side to the other and back again, does</w:t>
      </w:r>
      <w:r w:rsidR="009F23A0">
        <w:t>, however,</w:t>
      </w:r>
      <w:r w:rsidR="00377BB4">
        <w:t xml:space="preserve"> </w:t>
      </w:r>
      <w:r w:rsidR="009F23A0">
        <w:t xml:space="preserve">slightly </w:t>
      </w:r>
      <w:r w:rsidR="00377BB4">
        <w:t>increase the time per iterate</w:t>
      </w:r>
      <w:r>
        <w:t>.</w:t>
      </w:r>
    </w:p>
    <w:p w14:paraId="4480D17B" w14:textId="6C12BC0F" w:rsidR="00234480" w:rsidRDefault="000C7004" w:rsidP="009F23A0">
      <w:r>
        <w:t>Components which can be connected via union are done so.  All of the coolant components, for example, can be connected to one another via union as can the fuel meat to the fueled section of the plate.</w:t>
      </w:r>
      <w:r w:rsidR="008E53A1">
        <w:t xml:space="preserve">  The fueled section, however, must be connected to the unfueled top and bottom of the plate</w:t>
      </w:r>
      <w:r w:rsidR="009F23A0">
        <w:t xml:space="preserve"> via assembly</w:t>
      </w:r>
      <w:r w:rsidR="008E53A1">
        <w:t xml:space="preserve">.  This is due </w:t>
      </w:r>
      <w:r w:rsidR="009F23A0">
        <w:t xml:space="preserve">to </w:t>
      </w:r>
      <w:r w:rsidR="008828C4">
        <w:t>a</w:t>
      </w:r>
      <w:r w:rsidR="009F23A0">
        <w:t xml:space="preserve"> disparity in meshes on their shared faces.</w:t>
      </w:r>
    </w:p>
    <w:p w14:paraId="1D2A8282" w14:textId="35503543" w:rsidR="003D43D8" w:rsidRDefault="002B7D44" w:rsidP="00B92FA2">
      <w:r>
        <w:t xml:space="preserve">Given </w:t>
      </w:r>
      <w:r w:rsidR="00172F71">
        <w:t>the need for this assembly, the</w:t>
      </w:r>
      <w:r>
        <w:t xml:space="preserve"> fuel plate can</w:t>
      </w:r>
      <w:r w:rsidR="00172F71">
        <w:t>not be unionized with the</w:t>
      </w:r>
      <w:r>
        <w:t xml:space="preserve"> coolant channel</w:t>
      </w:r>
      <w:r w:rsidR="00172F71">
        <w:t xml:space="preserve"> as one entity</w:t>
      </w:r>
      <w:r>
        <w:t xml:space="preserve">. </w:t>
      </w:r>
      <w:r w:rsidR="00172F71">
        <w:t xml:space="preserve"> The simplest way to divide </w:t>
      </w:r>
      <w:r w:rsidR="00177B94">
        <w:t>them</w:t>
      </w:r>
      <w:r w:rsidR="00172F71">
        <w:t xml:space="preserve"> </w:t>
      </w:r>
      <w:r>
        <w:t xml:space="preserve">is to create an assembly between the external surface of the fuel plate and the adjacent </w:t>
      </w:r>
      <w:r w:rsidR="00177B94">
        <w:t xml:space="preserve">wall </w:t>
      </w:r>
      <w:r>
        <w:t>surfaces of the coola</w:t>
      </w:r>
      <w:r w:rsidR="00172F71">
        <w:t xml:space="preserve">nt channel.  The last required </w:t>
      </w:r>
      <w:r>
        <w:t xml:space="preserve">assemblies exist </w:t>
      </w:r>
      <w:r w:rsidR="00B852D5">
        <w:t>between the side plates and the adjacent coolant channel/fuel plate surfaces.</w:t>
      </w:r>
    </w:p>
    <w:p w14:paraId="36C454B0" w14:textId="7C957877" w:rsidR="007574E9" w:rsidRPr="009358D1" w:rsidRDefault="007574E9" w:rsidP="007574E9">
      <w:pPr>
        <w:pStyle w:val="Heading2"/>
      </w:pPr>
      <w:r>
        <w:fldChar w:fldCharType="begin"/>
      </w:r>
      <w:r>
        <w:instrText xml:space="preserve"> LISTNUM CHAP \l 2 </w:instrText>
      </w:r>
      <w:bookmarkStart w:id="122" w:name="_Toc382921543"/>
      <w:r>
        <w:fldChar w:fldCharType="end"/>
      </w:r>
      <w:r>
        <w:t xml:space="preserve">    Inputs</w:t>
      </w:r>
      <w:bookmarkEnd w:id="122"/>
    </w:p>
    <w:p w14:paraId="4BA86D75" w14:textId="627E9EFD" w:rsidR="0058559A" w:rsidRDefault="00BE2E97" w:rsidP="00AD0103">
      <w:pPr>
        <w:spacing w:after="720"/>
        <w:ind w:firstLine="274"/>
      </w:pPr>
      <w:r>
        <w:t xml:space="preserve"> </w:t>
      </w:r>
      <w:r w:rsidR="002C76FA">
        <w:t xml:space="preserve">The primary </w:t>
      </w:r>
      <w:r w:rsidR="00EF6BFD">
        <w:t>model inputs are composed largely of</w:t>
      </w:r>
      <w:r w:rsidR="00860505">
        <w:t xml:space="preserve"> the reactor </w:t>
      </w:r>
      <w:r w:rsidR="00D21ECF">
        <w:t>design criteria given in Section</w:t>
      </w:r>
      <w:r w:rsidR="00860505">
        <w:t xml:space="preserve"> </w:t>
      </w:r>
      <w:r w:rsidR="00860505">
        <w:fldChar w:fldCharType="begin"/>
      </w:r>
      <w:r w:rsidR="00860505">
        <w:instrText xml:space="preserve"> REF _Ref377567341 \r \h </w:instrText>
      </w:r>
      <w:r w:rsidR="00860505">
        <w:fldChar w:fldCharType="separate"/>
      </w:r>
      <w:r w:rsidR="001C5EC1">
        <w:t>I</w:t>
      </w:r>
      <w:r w:rsidR="00860505">
        <w:fldChar w:fldCharType="end"/>
      </w:r>
      <w:r w:rsidR="00860505">
        <w:t>.</w:t>
      </w:r>
      <w:r w:rsidR="00EF6BFD">
        <w:t xml:space="preserve">  </w:t>
      </w:r>
      <w:r w:rsidR="0058559A">
        <w:t xml:space="preserve">Initial conditions are specified for pressure, temperature, and velocity according to the inlet and outlet </w:t>
      </w:r>
      <w:r w:rsidR="0058559A" w:rsidRPr="00AD0103">
        <w:rPr>
          <w:rStyle w:val="NormalBeforeTableChar"/>
        </w:rPr>
        <w:t xml:space="preserve">conditions in Table </w:t>
      </w:r>
      <w:r w:rsidR="0058559A" w:rsidRPr="00AD0103">
        <w:rPr>
          <w:rStyle w:val="NormalBeforeTableChar"/>
        </w:rPr>
        <w:fldChar w:fldCharType="begin"/>
      </w:r>
      <w:r w:rsidR="0058559A" w:rsidRPr="00AD0103">
        <w:rPr>
          <w:rStyle w:val="NormalBeforeTableChar"/>
        </w:rPr>
        <w:instrText xml:space="preserve"> REF _Ref377569916 \r \h </w:instrText>
      </w:r>
      <w:r w:rsidR="00AD0103">
        <w:rPr>
          <w:rStyle w:val="NormalBeforeTableChar"/>
        </w:rPr>
        <w:instrText xml:space="preserve"> \* MERGEFORMAT </w:instrText>
      </w:r>
      <w:r w:rsidR="0058559A" w:rsidRPr="00AD0103">
        <w:rPr>
          <w:rStyle w:val="NormalBeforeTableChar"/>
        </w:rPr>
      </w:r>
      <w:r w:rsidR="0058559A" w:rsidRPr="00AD0103">
        <w:rPr>
          <w:rStyle w:val="NormalBeforeTableChar"/>
        </w:rPr>
        <w:fldChar w:fldCharType="separate"/>
      </w:r>
      <w:r w:rsidR="001C5EC1">
        <w:rPr>
          <w:rStyle w:val="NormalBeforeTableChar"/>
        </w:rPr>
        <w:t>5.3</w:t>
      </w:r>
      <w:r w:rsidR="0058559A" w:rsidRPr="00AD0103">
        <w:rPr>
          <w:rStyle w:val="NormalBeforeTableChar"/>
        </w:rPr>
        <w:fldChar w:fldCharType="end"/>
      </w:r>
      <w:r w:rsidR="0058559A" w:rsidRPr="00AD0103">
        <w:rPr>
          <w:rStyle w:val="NormalBeforeTableChar"/>
        </w:rPr>
        <w:t>.</w:t>
      </w:r>
    </w:p>
    <w:tbl>
      <w:tblPr>
        <w:tblW w:w="3690" w:type="dxa"/>
        <w:jc w:val="center"/>
        <w:tblLook w:val="04A0" w:firstRow="1" w:lastRow="0" w:firstColumn="1" w:lastColumn="0" w:noHBand="0" w:noVBand="1"/>
      </w:tblPr>
      <w:tblGrid>
        <w:gridCol w:w="1253"/>
        <w:gridCol w:w="1222"/>
        <w:gridCol w:w="1215"/>
      </w:tblGrid>
      <w:tr w:rsidR="0058559A" w:rsidRPr="00E72C16" w14:paraId="1B8C6C3F" w14:textId="77777777" w:rsidTr="004A53EF">
        <w:trPr>
          <w:trHeight w:val="300"/>
          <w:jc w:val="center"/>
        </w:trPr>
        <w:tc>
          <w:tcPr>
            <w:tcW w:w="369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502447" w14:textId="77777777" w:rsidR="0058559A" w:rsidRPr="00E72C16" w:rsidRDefault="0058559A" w:rsidP="00F066C7">
            <w:pPr>
              <w:pStyle w:val="NoSpacing"/>
            </w:pPr>
            <w:bookmarkStart w:id="123" w:name="_Toc382920195"/>
            <w:r w:rsidRPr="00E72C16">
              <w:t xml:space="preserve">Table </w:t>
            </w:r>
            <w:r>
              <w:fldChar w:fldCharType="begin"/>
            </w:r>
            <w:bookmarkStart w:id="124" w:name="_Ref377569916"/>
            <w:bookmarkEnd w:id="124"/>
            <w:r>
              <w:instrText xml:space="preserve"> LISTNUM TAB \l 2</w:instrText>
            </w:r>
            <w:r>
              <w:fldChar w:fldCharType="end"/>
            </w:r>
            <w:r w:rsidRPr="00E72C16">
              <w:t>:  Inlet and Ou</w:t>
            </w:r>
            <w:r>
              <w:t>t</w:t>
            </w:r>
            <w:r w:rsidRPr="00E72C16">
              <w:t>let Conditions</w:t>
            </w:r>
            <w:bookmarkEnd w:id="123"/>
          </w:p>
        </w:tc>
      </w:tr>
      <w:tr w:rsidR="0058559A" w:rsidRPr="00E72C16" w14:paraId="76715491" w14:textId="77777777" w:rsidTr="004A53EF">
        <w:trPr>
          <w:trHeight w:val="300"/>
          <w:jc w:val="center"/>
        </w:trPr>
        <w:tc>
          <w:tcPr>
            <w:tcW w:w="1253" w:type="dxa"/>
            <w:tcBorders>
              <w:top w:val="nil"/>
              <w:left w:val="single" w:sz="4" w:space="0" w:color="auto"/>
              <w:bottom w:val="single" w:sz="4" w:space="0" w:color="auto"/>
              <w:right w:val="single" w:sz="4" w:space="0" w:color="auto"/>
            </w:tcBorders>
            <w:shd w:val="clear" w:color="auto" w:fill="auto"/>
            <w:noWrap/>
            <w:vAlign w:val="bottom"/>
            <w:hideMark/>
          </w:tcPr>
          <w:p w14:paraId="7521660E" w14:textId="77777777" w:rsidR="0058559A" w:rsidRPr="00E72C16" w:rsidRDefault="0058559A" w:rsidP="00CC0DFD">
            <w:pPr>
              <w:keepNext/>
              <w:spacing w:after="0" w:line="240" w:lineRule="auto"/>
              <w:ind w:firstLine="0"/>
              <w:jc w:val="center"/>
              <w:rPr>
                <w:rFonts w:eastAsia="Times New Roman"/>
                <w:color w:val="000000"/>
              </w:rPr>
            </w:pPr>
            <w:r w:rsidRPr="00E72C16">
              <w:rPr>
                <w:rFonts w:eastAsia="Times New Roman"/>
                <w:color w:val="000000"/>
              </w:rPr>
              <w:t>Variable</w:t>
            </w:r>
          </w:p>
        </w:tc>
        <w:tc>
          <w:tcPr>
            <w:tcW w:w="1222" w:type="dxa"/>
            <w:tcBorders>
              <w:top w:val="nil"/>
              <w:left w:val="nil"/>
              <w:bottom w:val="single" w:sz="4" w:space="0" w:color="auto"/>
              <w:right w:val="single" w:sz="4" w:space="0" w:color="auto"/>
            </w:tcBorders>
            <w:shd w:val="clear" w:color="auto" w:fill="auto"/>
            <w:noWrap/>
            <w:vAlign w:val="bottom"/>
            <w:hideMark/>
          </w:tcPr>
          <w:p w14:paraId="1D5517A1" w14:textId="77777777" w:rsidR="0058559A" w:rsidRPr="00E72C16" w:rsidRDefault="0058559A" w:rsidP="00CC0DFD">
            <w:pPr>
              <w:keepNext/>
              <w:spacing w:after="0" w:line="240" w:lineRule="auto"/>
              <w:ind w:firstLine="0"/>
              <w:jc w:val="center"/>
              <w:rPr>
                <w:rFonts w:eastAsia="Times New Roman"/>
                <w:color w:val="000000"/>
              </w:rPr>
            </w:pPr>
            <w:r>
              <w:rPr>
                <w:rFonts w:eastAsia="Times New Roman"/>
                <w:color w:val="000000"/>
              </w:rPr>
              <w:t>I</w:t>
            </w:r>
            <w:r w:rsidRPr="00E72C16">
              <w:rPr>
                <w:rFonts w:eastAsia="Times New Roman"/>
                <w:color w:val="000000"/>
              </w:rPr>
              <w:t>nlet</w:t>
            </w:r>
          </w:p>
        </w:tc>
        <w:tc>
          <w:tcPr>
            <w:tcW w:w="1215" w:type="dxa"/>
            <w:tcBorders>
              <w:top w:val="nil"/>
              <w:left w:val="nil"/>
              <w:bottom w:val="single" w:sz="4" w:space="0" w:color="auto"/>
              <w:right w:val="single" w:sz="4" w:space="0" w:color="auto"/>
            </w:tcBorders>
            <w:shd w:val="clear" w:color="auto" w:fill="auto"/>
            <w:noWrap/>
            <w:vAlign w:val="bottom"/>
            <w:hideMark/>
          </w:tcPr>
          <w:p w14:paraId="64784EBB" w14:textId="77777777" w:rsidR="0058559A" w:rsidRPr="00E72C16" w:rsidRDefault="0058559A" w:rsidP="00CC0DFD">
            <w:pPr>
              <w:keepNext/>
              <w:spacing w:after="0" w:line="240" w:lineRule="auto"/>
              <w:ind w:firstLine="0"/>
              <w:jc w:val="center"/>
              <w:rPr>
                <w:rFonts w:eastAsia="Times New Roman"/>
                <w:color w:val="000000"/>
              </w:rPr>
            </w:pPr>
            <w:r>
              <w:rPr>
                <w:rFonts w:eastAsia="Times New Roman"/>
                <w:color w:val="000000"/>
              </w:rPr>
              <w:t>O</w:t>
            </w:r>
            <w:r w:rsidRPr="00E72C16">
              <w:rPr>
                <w:rFonts w:eastAsia="Times New Roman"/>
                <w:color w:val="000000"/>
              </w:rPr>
              <w:t>utlet</w:t>
            </w:r>
          </w:p>
        </w:tc>
      </w:tr>
      <w:tr w:rsidR="0058559A" w:rsidRPr="00E72C16" w14:paraId="1DA6EDD8" w14:textId="77777777" w:rsidTr="004A53EF">
        <w:trPr>
          <w:trHeight w:val="300"/>
          <w:jc w:val="center"/>
        </w:trPr>
        <w:tc>
          <w:tcPr>
            <w:tcW w:w="1253" w:type="dxa"/>
            <w:tcBorders>
              <w:top w:val="nil"/>
              <w:left w:val="single" w:sz="4" w:space="0" w:color="auto"/>
              <w:bottom w:val="single" w:sz="4" w:space="0" w:color="auto"/>
              <w:right w:val="single" w:sz="4" w:space="0" w:color="auto"/>
            </w:tcBorders>
            <w:shd w:val="clear" w:color="auto" w:fill="auto"/>
            <w:noWrap/>
            <w:vAlign w:val="bottom"/>
            <w:hideMark/>
          </w:tcPr>
          <w:p w14:paraId="74C62972" w14:textId="1C76C655" w:rsidR="0058559A" w:rsidRPr="00E72C16" w:rsidRDefault="00F54AA1" w:rsidP="00CC0DFD">
            <w:pPr>
              <w:keepNext/>
              <w:spacing w:after="0" w:line="240" w:lineRule="auto"/>
              <w:ind w:firstLine="0"/>
              <w:jc w:val="center"/>
              <w:rPr>
                <w:rFonts w:eastAsia="Times New Roman"/>
                <w:color w:val="000000"/>
              </w:rPr>
            </w:pPr>
            <w:r>
              <w:rPr>
                <w:rFonts w:eastAsia="Times New Roman"/>
                <w:i/>
                <w:color w:val="000000"/>
              </w:rPr>
              <w:t>p</w:t>
            </w:r>
            <w:r w:rsidR="00112CA7">
              <w:rPr>
                <w:rFonts w:eastAsia="Times New Roman"/>
                <w:color w:val="000000"/>
              </w:rPr>
              <w:t xml:space="preserve"> (M</w:t>
            </w:r>
            <w:r w:rsidR="0058559A" w:rsidRPr="00E72C16">
              <w:rPr>
                <w:rFonts w:eastAsia="Times New Roman"/>
                <w:color w:val="000000"/>
              </w:rPr>
              <w:t>Pa)</w:t>
            </w:r>
          </w:p>
        </w:tc>
        <w:tc>
          <w:tcPr>
            <w:tcW w:w="1222" w:type="dxa"/>
            <w:tcBorders>
              <w:top w:val="nil"/>
              <w:left w:val="nil"/>
              <w:bottom w:val="single" w:sz="4" w:space="0" w:color="auto"/>
              <w:right w:val="single" w:sz="4" w:space="0" w:color="auto"/>
            </w:tcBorders>
            <w:shd w:val="clear" w:color="auto" w:fill="auto"/>
            <w:noWrap/>
            <w:vAlign w:val="bottom"/>
            <w:hideMark/>
          </w:tcPr>
          <w:p w14:paraId="7130F478" w14:textId="34FC7BCA" w:rsidR="0058559A" w:rsidRPr="00E72C16" w:rsidRDefault="0058559A" w:rsidP="00CC0DFD">
            <w:pPr>
              <w:keepNext/>
              <w:spacing w:after="0" w:line="240" w:lineRule="auto"/>
              <w:ind w:firstLine="0"/>
              <w:jc w:val="center"/>
              <w:rPr>
                <w:rFonts w:eastAsia="Times New Roman"/>
                <w:color w:val="000000"/>
              </w:rPr>
            </w:pPr>
            <w:r w:rsidRPr="00E72C16">
              <w:rPr>
                <w:rFonts w:eastAsia="Times New Roman"/>
                <w:color w:val="000000"/>
              </w:rPr>
              <w:t>3</w:t>
            </w:r>
            <w:r w:rsidR="00112CA7">
              <w:rPr>
                <w:rFonts w:eastAsia="Times New Roman"/>
                <w:color w:val="000000"/>
              </w:rPr>
              <w:t>.33</w:t>
            </w:r>
          </w:p>
        </w:tc>
        <w:tc>
          <w:tcPr>
            <w:tcW w:w="1215" w:type="dxa"/>
            <w:tcBorders>
              <w:top w:val="nil"/>
              <w:left w:val="nil"/>
              <w:bottom w:val="single" w:sz="4" w:space="0" w:color="auto"/>
              <w:right w:val="single" w:sz="4" w:space="0" w:color="auto"/>
            </w:tcBorders>
            <w:shd w:val="clear" w:color="auto" w:fill="auto"/>
            <w:noWrap/>
            <w:vAlign w:val="bottom"/>
            <w:hideMark/>
          </w:tcPr>
          <w:p w14:paraId="7E1F9BBF" w14:textId="20C06B54" w:rsidR="0058559A" w:rsidRPr="00E72C16" w:rsidRDefault="00112CA7" w:rsidP="00CC0DFD">
            <w:pPr>
              <w:keepNext/>
              <w:spacing w:after="0" w:line="240" w:lineRule="auto"/>
              <w:ind w:firstLine="0"/>
              <w:jc w:val="center"/>
              <w:rPr>
                <w:rFonts w:eastAsia="Times New Roman"/>
                <w:color w:val="000000"/>
              </w:rPr>
            </w:pPr>
            <w:r>
              <w:rPr>
                <w:rFonts w:eastAsia="Times New Roman"/>
                <w:color w:val="000000"/>
              </w:rPr>
              <w:t>2.59</w:t>
            </w:r>
          </w:p>
        </w:tc>
      </w:tr>
      <w:tr w:rsidR="0058559A" w:rsidRPr="00E72C16" w14:paraId="06FFBF7E" w14:textId="77777777" w:rsidTr="004A53EF">
        <w:trPr>
          <w:trHeight w:val="300"/>
          <w:jc w:val="center"/>
        </w:trPr>
        <w:tc>
          <w:tcPr>
            <w:tcW w:w="1253" w:type="dxa"/>
            <w:tcBorders>
              <w:top w:val="nil"/>
              <w:left w:val="single" w:sz="4" w:space="0" w:color="auto"/>
              <w:bottom w:val="single" w:sz="4" w:space="0" w:color="auto"/>
              <w:right w:val="single" w:sz="4" w:space="0" w:color="auto"/>
            </w:tcBorders>
            <w:shd w:val="clear" w:color="auto" w:fill="auto"/>
            <w:noWrap/>
            <w:vAlign w:val="bottom"/>
            <w:hideMark/>
          </w:tcPr>
          <w:p w14:paraId="27FF29E6" w14:textId="4094A47B" w:rsidR="0058559A" w:rsidRPr="00E72C16" w:rsidRDefault="00F54AA1" w:rsidP="00CC0DFD">
            <w:pPr>
              <w:keepNext/>
              <w:spacing w:after="0" w:line="240" w:lineRule="auto"/>
              <w:ind w:firstLine="0"/>
              <w:jc w:val="center"/>
              <w:rPr>
                <w:rFonts w:eastAsia="Times New Roman"/>
                <w:color w:val="000000"/>
              </w:rPr>
            </w:pPr>
            <w:r>
              <w:rPr>
                <w:rFonts w:eastAsia="Times New Roman"/>
                <w:i/>
                <w:color w:val="000000"/>
              </w:rPr>
              <w:t>T</w:t>
            </w:r>
            <w:r w:rsidR="0058559A" w:rsidRPr="00E72C16">
              <w:rPr>
                <w:rFonts w:eastAsia="Times New Roman"/>
                <w:color w:val="000000"/>
              </w:rPr>
              <w:t xml:space="preserve"> (K)</w:t>
            </w:r>
          </w:p>
        </w:tc>
        <w:tc>
          <w:tcPr>
            <w:tcW w:w="1222" w:type="dxa"/>
            <w:tcBorders>
              <w:top w:val="nil"/>
              <w:left w:val="nil"/>
              <w:bottom w:val="single" w:sz="4" w:space="0" w:color="auto"/>
              <w:right w:val="single" w:sz="4" w:space="0" w:color="auto"/>
            </w:tcBorders>
            <w:shd w:val="clear" w:color="auto" w:fill="auto"/>
            <w:noWrap/>
            <w:vAlign w:val="bottom"/>
            <w:hideMark/>
          </w:tcPr>
          <w:p w14:paraId="02F71967" w14:textId="77777777" w:rsidR="0058559A" w:rsidRPr="00E72C16" w:rsidRDefault="0058559A" w:rsidP="00CC0DFD">
            <w:pPr>
              <w:keepNext/>
              <w:spacing w:after="0" w:line="240" w:lineRule="auto"/>
              <w:ind w:firstLine="0"/>
              <w:jc w:val="center"/>
              <w:rPr>
                <w:rFonts w:eastAsia="Times New Roman"/>
                <w:color w:val="000000"/>
              </w:rPr>
            </w:pPr>
            <w:r w:rsidRPr="00E72C16">
              <w:rPr>
                <w:rFonts w:eastAsia="Times New Roman"/>
                <w:color w:val="000000"/>
              </w:rPr>
              <w:t>322</w:t>
            </w:r>
          </w:p>
        </w:tc>
        <w:tc>
          <w:tcPr>
            <w:tcW w:w="1215" w:type="dxa"/>
            <w:tcBorders>
              <w:top w:val="nil"/>
              <w:left w:val="nil"/>
              <w:bottom w:val="single" w:sz="4" w:space="0" w:color="auto"/>
              <w:right w:val="single" w:sz="4" w:space="0" w:color="auto"/>
            </w:tcBorders>
            <w:shd w:val="clear" w:color="auto" w:fill="auto"/>
            <w:noWrap/>
            <w:vAlign w:val="bottom"/>
            <w:hideMark/>
          </w:tcPr>
          <w:p w14:paraId="5C962469" w14:textId="77777777" w:rsidR="0058559A" w:rsidRPr="00E72C16" w:rsidRDefault="0058559A" w:rsidP="00CC0DFD">
            <w:pPr>
              <w:keepNext/>
              <w:spacing w:after="0" w:line="240" w:lineRule="auto"/>
              <w:ind w:firstLine="0"/>
              <w:jc w:val="center"/>
              <w:rPr>
                <w:rFonts w:eastAsia="Times New Roman"/>
                <w:color w:val="000000"/>
              </w:rPr>
            </w:pPr>
            <w:r w:rsidRPr="00E72C16">
              <w:rPr>
                <w:rFonts w:eastAsia="Times New Roman"/>
                <w:color w:val="000000"/>
              </w:rPr>
              <w:t>342</w:t>
            </w:r>
          </w:p>
        </w:tc>
      </w:tr>
      <w:tr w:rsidR="0058559A" w:rsidRPr="00E72C16" w14:paraId="74C81ABB" w14:textId="77777777" w:rsidTr="004A53EF">
        <w:trPr>
          <w:trHeight w:val="300"/>
          <w:jc w:val="center"/>
        </w:trPr>
        <w:tc>
          <w:tcPr>
            <w:tcW w:w="1253" w:type="dxa"/>
            <w:tcBorders>
              <w:top w:val="nil"/>
              <w:left w:val="single" w:sz="4" w:space="0" w:color="auto"/>
              <w:bottom w:val="single" w:sz="4" w:space="0" w:color="auto"/>
              <w:right w:val="single" w:sz="4" w:space="0" w:color="auto"/>
            </w:tcBorders>
            <w:shd w:val="clear" w:color="auto" w:fill="auto"/>
            <w:noWrap/>
            <w:vAlign w:val="bottom"/>
            <w:hideMark/>
          </w:tcPr>
          <w:p w14:paraId="1C620C1C" w14:textId="34D0C08D" w:rsidR="0058559A" w:rsidRPr="00E72C16" w:rsidRDefault="00F54AA1" w:rsidP="004A53EF">
            <w:pPr>
              <w:spacing w:after="0" w:line="240" w:lineRule="auto"/>
              <w:ind w:firstLine="0"/>
              <w:jc w:val="center"/>
              <w:rPr>
                <w:rFonts w:eastAsia="Times New Roman"/>
                <w:color w:val="000000"/>
              </w:rPr>
            </w:pPr>
            <w:r>
              <w:rPr>
                <w:rFonts w:eastAsia="Times New Roman"/>
                <w:i/>
                <w:color w:val="000000"/>
              </w:rPr>
              <w:t>u</w:t>
            </w:r>
            <w:r w:rsidR="0058559A" w:rsidRPr="00E72C16">
              <w:rPr>
                <w:rFonts w:eastAsia="Times New Roman"/>
                <w:color w:val="000000"/>
              </w:rPr>
              <w:t xml:space="preserve"> (m/s)</w:t>
            </w:r>
          </w:p>
        </w:tc>
        <w:tc>
          <w:tcPr>
            <w:tcW w:w="1222" w:type="dxa"/>
            <w:tcBorders>
              <w:top w:val="nil"/>
              <w:left w:val="nil"/>
              <w:bottom w:val="single" w:sz="4" w:space="0" w:color="auto"/>
              <w:right w:val="single" w:sz="4" w:space="0" w:color="auto"/>
            </w:tcBorders>
            <w:shd w:val="clear" w:color="auto" w:fill="auto"/>
            <w:noWrap/>
            <w:vAlign w:val="bottom"/>
            <w:hideMark/>
          </w:tcPr>
          <w:p w14:paraId="78773EA6" w14:textId="77777777" w:rsidR="0058559A" w:rsidRPr="00E72C16" w:rsidRDefault="0058559A" w:rsidP="004A53EF">
            <w:pPr>
              <w:spacing w:after="0" w:line="240" w:lineRule="auto"/>
              <w:ind w:firstLine="0"/>
              <w:jc w:val="center"/>
              <w:rPr>
                <w:rFonts w:eastAsia="Times New Roman"/>
                <w:color w:val="000000"/>
              </w:rPr>
            </w:pPr>
            <w:r w:rsidRPr="00E72C16">
              <w:rPr>
                <w:rFonts w:eastAsia="Times New Roman"/>
                <w:color w:val="000000"/>
              </w:rPr>
              <w:t>7.77</w:t>
            </w:r>
          </w:p>
        </w:tc>
        <w:tc>
          <w:tcPr>
            <w:tcW w:w="1215" w:type="dxa"/>
            <w:tcBorders>
              <w:top w:val="nil"/>
              <w:left w:val="nil"/>
              <w:bottom w:val="single" w:sz="4" w:space="0" w:color="auto"/>
              <w:right w:val="single" w:sz="4" w:space="0" w:color="auto"/>
            </w:tcBorders>
            <w:shd w:val="clear" w:color="auto" w:fill="auto"/>
            <w:noWrap/>
            <w:vAlign w:val="bottom"/>
            <w:hideMark/>
          </w:tcPr>
          <w:p w14:paraId="11AB5427" w14:textId="77777777" w:rsidR="0058559A" w:rsidRPr="00E72C16" w:rsidRDefault="0058559A" w:rsidP="004A53EF">
            <w:pPr>
              <w:spacing w:after="0" w:line="240" w:lineRule="auto"/>
              <w:ind w:firstLine="0"/>
              <w:jc w:val="center"/>
              <w:rPr>
                <w:rFonts w:eastAsia="Times New Roman"/>
                <w:color w:val="000000"/>
              </w:rPr>
            </w:pPr>
            <w:r w:rsidRPr="00E72C16">
              <w:rPr>
                <w:rFonts w:eastAsia="Times New Roman"/>
                <w:color w:val="000000"/>
              </w:rPr>
              <w:t>7.77</w:t>
            </w:r>
          </w:p>
        </w:tc>
      </w:tr>
    </w:tbl>
    <w:p w14:paraId="76242DAF" w14:textId="686FE3FC" w:rsidR="00EF6BFD" w:rsidRDefault="0058559A" w:rsidP="00AD0103">
      <w:pPr>
        <w:spacing w:before="720"/>
        <w:ind w:firstLine="274"/>
      </w:pPr>
      <w:r w:rsidRPr="00AD0103">
        <w:rPr>
          <w:rStyle w:val="NormalAfterTableChar"/>
        </w:rPr>
        <w:t>The initial conditions for pressure and temperature are specified as the linear interpolation between</w:t>
      </w:r>
      <w:r>
        <w:t xml:space="preserve"> their respective inlet and outlet values.  The initial condition for velocity was specified using the constant flow rate relation which states that flow through an area of A/2 will have a velocity twice that of the </w:t>
      </w:r>
      <w:r w:rsidR="00D21B18">
        <w:t xml:space="preserve">same </w:t>
      </w:r>
      <w:r w:rsidR="00D21B18">
        <w:lastRenderedPageBreak/>
        <w:t xml:space="preserve">flow through an area of A.  Given the uniformity in thickness between the fuel plates and coolant channels, the flow area through </w:t>
      </w:r>
      <w:r w:rsidR="00177B94">
        <w:t>the fuel</w:t>
      </w:r>
      <w:r w:rsidR="00D21B18">
        <w:t xml:space="preserve"> sectio</w:t>
      </w:r>
      <w:r w:rsidR="00177B94">
        <w:t>n of the reactor core is</w:t>
      </w:r>
      <w:r w:rsidR="00D21B18">
        <w:t xml:space="preserve"> half the area of the unimpeded section immediately upstream.  </w:t>
      </w:r>
      <w:r w:rsidR="00177B94">
        <w:t>I</w:t>
      </w:r>
      <w:r w:rsidR="00EF6BFD">
        <w:t xml:space="preserve">nitial conditions for pressure, temperature, and </w:t>
      </w:r>
      <w:r w:rsidR="00A16EE2">
        <w:t xml:space="preserve">coolant </w:t>
      </w:r>
      <w:r w:rsidR="00EF6BFD">
        <w:t xml:space="preserve">velocity as functions of axial position are given in Figs. </w:t>
      </w:r>
      <w:r w:rsidR="00535542">
        <w:fldChar w:fldCharType="begin"/>
      </w:r>
      <w:r w:rsidR="00535542">
        <w:instrText xml:space="preserve"> REF _Ref377567753 \r \h </w:instrText>
      </w:r>
      <w:r w:rsidR="00535542">
        <w:fldChar w:fldCharType="separate"/>
      </w:r>
      <w:r w:rsidR="001C5EC1">
        <w:t>5.4</w:t>
      </w:r>
      <w:r w:rsidR="00535542">
        <w:fldChar w:fldCharType="end"/>
      </w:r>
      <w:r w:rsidR="00EF6BFD">
        <w:t xml:space="preserve">, </w:t>
      </w:r>
      <w:r w:rsidR="00535542">
        <w:fldChar w:fldCharType="begin"/>
      </w:r>
      <w:r w:rsidR="00535542">
        <w:instrText xml:space="preserve"> REF _Ref377567760 \r \h </w:instrText>
      </w:r>
      <w:r w:rsidR="00535542">
        <w:fldChar w:fldCharType="separate"/>
      </w:r>
      <w:r w:rsidR="001C5EC1">
        <w:t>5.5</w:t>
      </w:r>
      <w:r w:rsidR="00535542">
        <w:fldChar w:fldCharType="end"/>
      </w:r>
      <w:r w:rsidR="00EF6BFD">
        <w:t xml:space="preserve">, and </w:t>
      </w:r>
      <w:r w:rsidR="00535542">
        <w:fldChar w:fldCharType="begin"/>
      </w:r>
      <w:r w:rsidR="00535542">
        <w:instrText xml:space="preserve"> REF _Ref377567766 \r \h </w:instrText>
      </w:r>
      <w:r w:rsidR="00535542">
        <w:fldChar w:fldCharType="separate"/>
      </w:r>
      <w:r w:rsidR="001C5EC1">
        <w:t>5.6</w:t>
      </w:r>
      <w:r w:rsidR="00535542">
        <w:fldChar w:fldCharType="end"/>
      </w:r>
      <w:r w:rsidR="00535542">
        <w:t>, respectively</w:t>
      </w:r>
      <w:r w:rsidR="00EF6BFD">
        <w:t>.</w:t>
      </w:r>
      <w:r w:rsidR="00D21B18">
        <w:t xml:space="preserve">  In all three figures a dotted red lines indicate extrapolated values.  The initial temperature condition was applied to all domains, both solid and liquid.  The initial pressure and velocity conditions were applied only to the coolant domain.</w:t>
      </w:r>
    </w:p>
    <w:p w14:paraId="54ABF79C" w14:textId="4FBD7319" w:rsidR="00EF6BFD" w:rsidRDefault="00112CA7" w:rsidP="003E0C5E">
      <w:pPr>
        <w:pStyle w:val="PictureSytel"/>
      </w:pPr>
      <w:r>
        <w:rPr>
          <w:noProof/>
        </w:rPr>
        <w:drawing>
          <wp:inline distT="0" distB="0" distL="0" distR="0" wp14:anchorId="31F559DA" wp14:editId="484D1037">
            <wp:extent cx="5038588" cy="2579904"/>
            <wp:effectExtent l="19050" t="19050" r="10160" b="1143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_init[1].png"/>
                    <pic:cNvPicPr/>
                  </pic:nvPicPr>
                  <pic:blipFill>
                    <a:blip r:embed="rId150">
                      <a:extLst>
                        <a:ext uri="{28A0092B-C50C-407E-A947-70E740481C1C}">
                          <a14:useLocalDpi xmlns:a14="http://schemas.microsoft.com/office/drawing/2010/main" val="0"/>
                        </a:ext>
                      </a:extLst>
                    </a:blip>
                    <a:stretch>
                      <a:fillRect/>
                    </a:stretch>
                  </pic:blipFill>
                  <pic:spPr>
                    <a:xfrm>
                      <a:off x="0" y="0"/>
                      <a:ext cx="5038588" cy="2579904"/>
                    </a:xfrm>
                    <a:prstGeom prst="rect">
                      <a:avLst/>
                    </a:prstGeom>
                    <a:ln>
                      <a:solidFill>
                        <a:schemeClr val="tx1"/>
                      </a:solidFill>
                    </a:ln>
                  </pic:spPr>
                </pic:pic>
              </a:graphicData>
            </a:graphic>
          </wp:inline>
        </w:drawing>
      </w:r>
    </w:p>
    <w:p w14:paraId="73366120" w14:textId="298BEEBE" w:rsidR="00AD5AC8" w:rsidRPr="0058559A" w:rsidRDefault="00EF6BFD" w:rsidP="00EF6BFD">
      <w:pPr>
        <w:pStyle w:val="FigTitleStyle"/>
        <w:rPr>
          <w:b w:val="0"/>
        </w:rPr>
      </w:pPr>
      <w:bookmarkStart w:id="125" w:name="_Toc380156109"/>
      <w:bookmarkStart w:id="126" w:name="_Toc380157655"/>
      <w:bookmarkStart w:id="127" w:name="_Toc382920259"/>
      <w:r>
        <w:t>Fig.</w:t>
      </w:r>
      <w:r w:rsidR="00860505">
        <w:t xml:space="preserve"> </w:t>
      </w:r>
      <w:r>
        <w:fldChar w:fldCharType="begin"/>
      </w:r>
      <w:bookmarkStart w:id="128" w:name="_Ref377567753"/>
      <w:bookmarkEnd w:id="128"/>
      <w:r>
        <w:instrText xml:space="preserve"> LISTNUM FIG \l 2 </w:instrText>
      </w:r>
      <w:r>
        <w:fldChar w:fldCharType="end"/>
      </w:r>
      <w:r>
        <w:t>.  Initial Pressure Profile.</w:t>
      </w:r>
      <w:bookmarkEnd w:id="125"/>
      <w:bookmarkEnd w:id="126"/>
      <w:bookmarkEnd w:id="127"/>
    </w:p>
    <w:p w14:paraId="258E25A3" w14:textId="442E56E3" w:rsidR="00EF6BFD" w:rsidRDefault="00E53916" w:rsidP="007B6F26">
      <w:pPr>
        <w:pStyle w:val="PictureSytel"/>
        <w:spacing w:before="0"/>
      </w:pPr>
      <w:r>
        <w:rPr>
          <w:noProof/>
        </w:rPr>
        <w:drawing>
          <wp:inline distT="0" distB="0" distL="0" distR="0" wp14:anchorId="40C82991" wp14:editId="3D0C814E">
            <wp:extent cx="5040241" cy="2580750"/>
            <wp:effectExtent l="19050" t="19050" r="27305" b="1016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_init[1].png"/>
                    <pic:cNvPicPr/>
                  </pic:nvPicPr>
                  <pic:blipFill>
                    <a:blip r:embed="rId151">
                      <a:extLst>
                        <a:ext uri="{28A0092B-C50C-407E-A947-70E740481C1C}">
                          <a14:useLocalDpi xmlns:a14="http://schemas.microsoft.com/office/drawing/2010/main" val="0"/>
                        </a:ext>
                      </a:extLst>
                    </a:blip>
                    <a:stretch>
                      <a:fillRect/>
                    </a:stretch>
                  </pic:blipFill>
                  <pic:spPr>
                    <a:xfrm>
                      <a:off x="0" y="0"/>
                      <a:ext cx="5040241" cy="2580750"/>
                    </a:xfrm>
                    <a:prstGeom prst="rect">
                      <a:avLst/>
                    </a:prstGeom>
                    <a:ln>
                      <a:solidFill>
                        <a:schemeClr val="tx1"/>
                      </a:solidFill>
                    </a:ln>
                  </pic:spPr>
                </pic:pic>
              </a:graphicData>
            </a:graphic>
          </wp:inline>
        </w:drawing>
      </w:r>
    </w:p>
    <w:p w14:paraId="5946ADCA" w14:textId="42774C32" w:rsidR="00EF6BFD" w:rsidRDefault="00EF6BFD" w:rsidP="00EF6BFD">
      <w:pPr>
        <w:pStyle w:val="FigTitleStyle"/>
      </w:pPr>
      <w:bookmarkStart w:id="129" w:name="_Toc380156110"/>
      <w:bookmarkStart w:id="130" w:name="_Toc380157656"/>
      <w:bookmarkStart w:id="131" w:name="_Toc382920260"/>
      <w:r>
        <w:t xml:space="preserve">Fig. </w:t>
      </w:r>
      <w:r>
        <w:fldChar w:fldCharType="begin"/>
      </w:r>
      <w:bookmarkStart w:id="132" w:name="_Ref377567760"/>
      <w:bookmarkEnd w:id="132"/>
      <w:r>
        <w:instrText xml:space="preserve"> LISTNUM FIG \l 2 </w:instrText>
      </w:r>
      <w:r>
        <w:fldChar w:fldCharType="end"/>
      </w:r>
      <w:r>
        <w:t>.  Initial Temperature Profile.</w:t>
      </w:r>
      <w:bookmarkEnd w:id="129"/>
      <w:bookmarkEnd w:id="130"/>
      <w:bookmarkEnd w:id="131"/>
    </w:p>
    <w:p w14:paraId="5BC8D3EF" w14:textId="41416B76" w:rsidR="00EF6BFD" w:rsidRDefault="00E53916" w:rsidP="003E0C5E">
      <w:pPr>
        <w:pStyle w:val="PictureSytel"/>
      </w:pPr>
      <w:r>
        <w:rPr>
          <w:noProof/>
        </w:rPr>
        <w:lastRenderedPageBreak/>
        <w:drawing>
          <wp:inline distT="0" distB="0" distL="0" distR="0" wp14:anchorId="05C46A42" wp14:editId="1B058846">
            <wp:extent cx="5038391" cy="2579803"/>
            <wp:effectExtent l="19050" t="19050" r="10160" b="1143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U_init[1].png"/>
                    <pic:cNvPicPr/>
                  </pic:nvPicPr>
                  <pic:blipFill>
                    <a:blip r:embed="rId152">
                      <a:extLst>
                        <a:ext uri="{28A0092B-C50C-407E-A947-70E740481C1C}">
                          <a14:useLocalDpi xmlns:a14="http://schemas.microsoft.com/office/drawing/2010/main" val="0"/>
                        </a:ext>
                      </a:extLst>
                    </a:blip>
                    <a:stretch>
                      <a:fillRect/>
                    </a:stretch>
                  </pic:blipFill>
                  <pic:spPr>
                    <a:xfrm>
                      <a:off x="0" y="0"/>
                      <a:ext cx="5038391" cy="2579803"/>
                    </a:xfrm>
                    <a:prstGeom prst="rect">
                      <a:avLst/>
                    </a:prstGeom>
                    <a:ln>
                      <a:solidFill>
                        <a:schemeClr val="tx1"/>
                      </a:solidFill>
                    </a:ln>
                  </pic:spPr>
                </pic:pic>
              </a:graphicData>
            </a:graphic>
          </wp:inline>
        </w:drawing>
      </w:r>
    </w:p>
    <w:p w14:paraId="75B2E1DE" w14:textId="683B56A5" w:rsidR="00EF6BFD" w:rsidRDefault="00EF6BFD" w:rsidP="00EF6BFD">
      <w:pPr>
        <w:pStyle w:val="FigTitleStyle"/>
      </w:pPr>
      <w:bookmarkStart w:id="133" w:name="_Toc380156111"/>
      <w:bookmarkStart w:id="134" w:name="_Toc380157657"/>
      <w:bookmarkStart w:id="135" w:name="_Toc382920261"/>
      <w:r>
        <w:t xml:space="preserve">Fig. </w:t>
      </w:r>
      <w:r>
        <w:fldChar w:fldCharType="begin"/>
      </w:r>
      <w:bookmarkStart w:id="136" w:name="_Ref377567766"/>
      <w:bookmarkEnd w:id="136"/>
      <w:r>
        <w:instrText xml:space="preserve"> LISTNUM FIG \l 2 </w:instrText>
      </w:r>
      <w:r>
        <w:fldChar w:fldCharType="end"/>
      </w:r>
      <w:r>
        <w:t>.  Initial Velocity Profile.</w:t>
      </w:r>
      <w:bookmarkEnd w:id="133"/>
      <w:bookmarkEnd w:id="134"/>
      <w:bookmarkEnd w:id="135"/>
    </w:p>
    <w:p w14:paraId="22DC67C2" w14:textId="272707FA" w:rsidR="00F35D7C" w:rsidRPr="00F35D7C" w:rsidRDefault="004A53EF" w:rsidP="00AF1D89">
      <w:r>
        <w:t>The second model input is the nuclear power generation</w:t>
      </w:r>
      <w:r w:rsidR="00177B94">
        <w:t xml:space="preserve"> profile</w:t>
      </w:r>
      <w:r>
        <w:t xml:space="preserve"> which is divided into two components:  </w:t>
      </w:r>
      <w:r w:rsidR="00977FEE">
        <w:t>a power distribution and fuel thickness factor.</w:t>
      </w:r>
      <w:r w:rsidR="00820CF7">
        <w:t xml:space="preserve">  The power distribution is a two-dimensional map of LEU beginning-of-cycle</w:t>
      </w:r>
      <w:r w:rsidR="00F41A69">
        <w:t xml:space="preserve"> (BOC) power density (W/m</w:t>
      </w:r>
      <w:r w:rsidR="00F41A69">
        <w:rPr>
          <w:vertAlign w:val="superscript"/>
        </w:rPr>
        <w:t>3</w:t>
      </w:r>
      <w:r w:rsidR="00F41A69">
        <w:t>)</w:t>
      </w:r>
      <w:r w:rsidR="00177B94">
        <w:t xml:space="preserve"> as a function of radial and axial</w:t>
      </w:r>
      <w:r w:rsidR="00820CF7">
        <w:t xml:space="preserve"> position</w:t>
      </w:r>
      <w:r w:rsidR="00177B94">
        <w:t>, (</w:t>
      </w:r>
      <w:r w:rsidR="00177B94">
        <w:rPr>
          <w:i/>
        </w:rPr>
        <w:t>r</w:t>
      </w:r>
      <w:r w:rsidR="00177B94">
        <w:t>,</w:t>
      </w:r>
      <w:r w:rsidR="00177B94">
        <w:rPr>
          <w:i/>
        </w:rPr>
        <w:t>z</w:t>
      </w:r>
      <w:r w:rsidR="00177B94">
        <w:t>)</w:t>
      </w:r>
      <w:r w:rsidR="00820CF7">
        <w:t>.</w:t>
      </w:r>
      <w:r w:rsidR="00F41A69">
        <w:t xml:space="preserve">  The powe</w:t>
      </w:r>
      <w:r w:rsidR="00AF1D89">
        <w:t>r distribution is generated by the Monte Carlo N-Particle (MCNP) transport code.</w:t>
      </w:r>
      <w:r w:rsidR="00AF1D89">
        <w:rPr>
          <w:rStyle w:val="EndnoteReference"/>
        </w:rPr>
        <w:endnoteReference w:id="58"/>
      </w:r>
      <w:r w:rsidR="00AF1D89">
        <w:t xml:space="preserve">  MCNP is a neutronics code which models the release of nuclear energy throughout the core.  It outputs neutron fluxes (neutrons/cm</w:t>
      </w:r>
      <w:r w:rsidR="00AF1D89">
        <w:rPr>
          <w:vertAlign w:val="superscript"/>
        </w:rPr>
        <w:t>2</w:t>
      </w:r>
      <w:r w:rsidR="00AF1D89">
        <w:t xml:space="preserve">-s) as a function of </w:t>
      </w:r>
      <w:r w:rsidR="00177B94">
        <w:t>(</w:t>
      </w:r>
      <w:r w:rsidR="00177B94">
        <w:rPr>
          <w:i/>
        </w:rPr>
        <w:t>r</w:t>
      </w:r>
      <w:r w:rsidR="00177B94">
        <w:t>,</w:t>
      </w:r>
      <w:r w:rsidR="00177B94">
        <w:rPr>
          <w:i/>
        </w:rPr>
        <w:t>z</w:t>
      </w:r>
      <w:r w:rsidR="00177B94">
        <w:t>)</w:t>
      </w:r>
      <w:r w:rsidR="00AF1D89">
        <w:t>.</w:t>
      </w:r>
      <w:r w:rsidR="0005268E">
        <w:t xml:space="preserve">  These can then be converted into fission rate densities (fissions/cm</w:t>
      </w:r>
      <w:r w:rsidR="0005268E">
        <w:rPr>
          <w:vertAlign w:val="superscript"/>
        </w:rPr>
        <w:t>3</w:t>
      </w:r>
      <w:r w:rsidR="0005268E">
        <w:t xml:space="preserve">-s) by multiplying by </w:t>
      </w:r>
      <w:r w:rsidR="00F35D7C">
        <w:t>the macroscopic fission cross-section (atoms/cm).  Finally, these can be converted into power densities (W/cm</w:t>
      </w:r>
      <w:r w:rsidR="00F35D7C">
        <w:rPr>
          <w:vertAlign w:val="superscript"/>
        </w:rPr>
        <w:t>3</w:t>
      </w:r>
      <w:r w:rsidR="00F35D7C">
        <w:t>) by multiplying by the amount of energy released per fission reaction (J/</w:t>
      </w:r>
      <w:r w:rsidR="0086378C">
        <w:t>fission), which is a constant.</w:t>
      </w:r>
      <w:r w:rsidR="00F57086" w:rsidRPr="00F57086">
        <w:rPr>
          <w:vertAlign w:val="superscript"/>
        </w:rPr>
        <w:fldChar w:fldCharType="begin"/>
      </w:r>
      <w:r w:rsidR="00F57086" w:rsidRPr="00F57086">
        <w:rPr>
          <w:vertAlign w:val="superscript"/>
        </w:rPr>
        <w:instrText xml:space="preserve"> NOTEREF _Ref382821344 \h </w:instrText>
      </w:r>
      <w:r w:rsidR="00F57086">
        <w:rPr>
          <w:vertAlign w:val="superscript"/>
        </w:rPr>
        <w:instrText xml:space="preserve"> \* MERGEFORMAT </w:instrText>
      </w:r>
      <w:r w:rsidR="00F57086" w:rsidRPr="00F57086">
        <w:rPr>
          <w:vertAlign w:val="superscript"/>
        </w:rPr>
      </w:r>
      <w:r w:rsidR="00F57086" w:rsidRPr="00F57086">
        <w:rPr>
          <w:vertAlign w:val="superscript"/>
        </w:rPr>
        <w:fldChar w:fldCharType="separate"/>
      </w:r>
      <w:r w:rsidR="001C5EC1">
        <w:rPr>
          <w:vertAlign w:val="superscript"/>
        </w:rPr>
        <w:t>7</w:t>
      </w:r>
      <w:r w:rsidR="00F57086" w:rsidRPr="00F57086">
        <w:rPr>
          <w:vertAlign w:val="superscript"/>
        </w:rPr>
        <w:fldChar w:fldCharType="end"/>
      </w:r>
    </w:p>
    <w:p w14:paraId="0431C8BF" w14:textId="2DA1BC18" w:rsidR="00AF1D89" w:rsidRPr="00AF1D89" w:rsidRDefault="0005268E" w:rsidP="00AF1D89">
      <w:r>
        <w:t xml:space="preserve">MCNP performs this simulation by homogenizing the reactor core internals (fuel meat, aluminum clad, coolant water, etc.) into a single entity and then dividing the core into axisymmetric </w:t>
      </w:r>
      <w:r w:rsidR="00F778B9">
        <w:t xml:space="preserve">cells along an </w:t>
      </w:r>
      <w:r w:rsidR="00F778B9">
        <w:rPr>
          <w:i/>
        </w:rPr>
        <w:t>r</w:t>
      </w:r>
      <w:r w:rsidR="00F778B9">
        <w:t>-</w:t>
      </w:r>
      <w:r w:rsidR="00F778B9">
        <w:rPr>
          <w:i/>
        </w:rPr>
        <w:t>z</w:t>
      </w:r>
      <w:r w:rsidR="00F35D7C">
        <w:t xml:space="preserve"> grid as shown in Fig. </w:t>
      </w:r>
      <w:r w:rsidR="00F35D7C">
        <w:fldChar w:fldCharType="begin"/>
      </w:r>
      <w:r w:rsidR="00F35D7C">
        <w:instrText xml:space="preserve"> REF _Ref378167986 \r \h </w:instrText>
      </w:r>
      <w:r w:rsidR="00F35D7C">
        <w:fldChar w:fldCharType="separate"/>
      </w:r>
      <w:r w:rsidR="001C5EC1">
        <w:t>5.7</w:t>
      </w:r>
      <w:r w:rsidR="00F35D7C">
        <w:fldChar w:fldCharType="end"/>
      </w:r>
      <w:r w:rsidR="00F35D7C">
        <w:t>.</w:t>
      </w:r>
    </w:p>
    <w:p w14:paraId="617386ED" w14:textId="5C42B34A" w:rsidR="00AF1D89" w:rsidRDefault="00902224" w:rsidP="003E0C5E">
      <w:pPr>
        <w:pStyle w:val="PictureSytel"/>
      </w:pPr>
      <w:r>
        <w:rPr>
          <w:noProof/>
        </w:rPr>
        <w:lastRenderedPageBreak/>
        <w:drawing>
          <wp:inline distT="0" distB="0" distL="0" distR="0" wp14:anchorId="05E50FB4" wp14:editId="4F0BD006">
            <wp:extent cx="5067300" cy="5113020"/>
            <wp:effectExtent l="19050" t="19050" r="19050" b="1143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MCNP%20Cells[1].png"/>
                    <pic:cNvPicPr/>
                  </pic:nvPicPr>
                  <pic:blipFill rotWithShape="1">
                    <a:blip r:embed="rId153">
                      <a:extLst>
                        <a:ext uri="{28A0092B-C50C-407E-A947-70E740481C1C}">
                          <a14:useLocalDpi xmlns:a14="http://schemas.microsoft.com/office/drawing/2010/main" val="0"/>
                        </a:ext>
                      </a:extLst>
                    </a:blip>
                    <a:srcRect l="-52403" r="-60471"/>
                    <a:stretch/>
                  </pic:blipFill>
                  <pic:spPr bwMode="auto">
                    <a:xfrm>
                      <a:off x="0" y="0"/>
                      <a:ext cx="5069896" cy="5115639"/>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F3013AF" w14:textId="2A54F6CF" w:rsidR="00902224" w:rsidRPr="00902224" w:rsidRDefault="00F35D7C" w:rsidP="00902224">
      <w:pPr>
        <w:pStyle w:val="FigTitleStyle"/>
        <w:rPr>
          <w:b w:val="0"/>
        </w:rPr>
      </w:pPr>
      <w:bookmarkStart w:id="137" w:name="_Toc380156112"/>
      <w:bookmarkStart w:id="138" w:name="_Toc380157658"/>
      <w:bookmarkStart w:id="139" w:name="_Toc382920262"/>
      <w:r>
        <w:t xml:space="preserve">Fig. </w:t>
      </w:r>
      <w:r>
        <w:fldChar w:fldCharType="begin"/>
      </w:r>
      <w:bookmarkStart w:id="140" w:name="_Ref378167986"/>
      <w:bookmarkEnd w:id="140"/>
      <w:r>
        <w:instrText xml:space="preserve"> LISTNUM FIG \l 2 </w:instrText>
      </w:r>
      <w:r>
        <w:fldChar w:fldCharType="end"/>
      </w:r>
      <w:r w:rsidR="00902224">
        <w:t>.  MCNP Cells.</w:t>
      </w:r>
      <w:r w:rsidR="00902224">
        <w:rPr>
          <w:b w:val="0"/>
        </w:rPr>
        <w:t xml:space="preserve">  The Inner Fuel Element cells are boxed in red.</w:t>
      </w:r>
      <w:bookmarkEnd w:id="137"/>
      <w:bookmarkEnd w:id="138"/>
      <w:bookmarkEnd w:id="139"/>
    </w:p>
    <w:p w14:paraId="54DD9DFD" w14:textId="5F869911" w:rsidR="00325447" w:rsidRDefault="00F35D7C" w:rsidP="0086378C">
      <w:r>
        <w:t>As a result of this homogenized grid structure, power density</w:t>
      </w:r>
      <w:r w:rsidR="00E22976">
        <w:t xml:space="preserve"> profiles are output</w:t>
      </w:r>
      <w:r w:rsidR="00F778B9">
        <w:t xml:space="preserve"> in the form of power-per-cell-</w:t>
      </w:r>
      <w:r>
        <w:t>volume</w:t>
      </w:r>
      <w:r w:rsidR="00325447">
        <w:t xml:space="preserve">, </w:t>
      </w:r>
      <w:r w:rsidR="004E648B" w:rsidRPr="004E648B">
        <w:rPr>
          <w:i/>
        </w:rPr>
        <w:t>ẇ</w:t>
      </w:r>
      <w:r w:rsidR="00325447">
        <w:rPr>
          <w:i/>
          <w:vertAlign w:val="subscript"/>
        </w:rPr>
        <w:t>cell</w:t>
      </w:r>
      <w:r>
        <w:t>.</w:t>
      </w:r>
      <w:r w:rsidR="00325447">
        <w:t xml:space="preserve">  The </w:t>
      </w:r>
      <w:r w:rsidR="00E22976">
        <w:t>profile</w:t>
      </w:r>
      <w:r w:rsidR="00325447">
        <w:t xml:space="preserve"> is shown in Fig. </w:t>
      </w:r>
      <w:r w:rsidR="00325447">
        <w:fldChar w:fldCharType="begin"/>
      </w:r>
      <w:r w:rsidR="00325447">
        <w:instrText xml:space="preserve"> REF _Ref378248372 \r \h </w:instrText>
      </w:r>
      <w:r w:rsidR="00325447">
        <w:fldChar w:fldCharType="separate"/>
      </w:r>
      <w:r w:rsidR="001C5EC1">
        <w:t>5.8</w:t>
      </w:r>
      <w:r w:rsidR="00325447">
        <w:fldChar w:fldCharType="end"/>
      </w:r>
      <w:r w:rsidR="00325447">
        <w:t>.</w:t>
      </w:r>
    </w:p>
    <w:p w14:paraId="68250B88" w14:textId="1B9043FC" w:rsidR="00325447" w:rsidRDefault="00325447" w:rsidP="003E0C5E">
      <w:pPr>
        <w:pStyle w:val="PictureSytel"/>
      </w:pPr>
      <w:r>
        <w:rPr>
          <w:noProof/>
        </w:rPr>
        <w:lastRenderedPageBreak/>
        <w:drawing>
          <wp:inline distT="0" distB="0" distL="0" distR="0" wp14:anchorId="088CDCDD" wp14:editId="46B7FA8E">
            <wp:extent cx="4988890" cy="3684048"/>
            <wp:effectExtent l="19050" t="19050" r="21590" b="1206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wr_Distr[1].png"/>
                    <pic:cNvPicPr/>
                  </pic:nvPicPr>
                  <pic:blipFill>
                    <a:blip r:embed="rId154">
                      <a:extLst>
                        <a:ext uri="{28A0092B-C50C-407E-A947-70E740481C1C}">
                          <a14:useLocalDpi xmlns:a14="http://schemas.microsoft.com/office/drawing/2010/main" val="0"/>
                        </a:ext>
                      </a:extLst>
                    </a:blip>
                    <a:stretch>
                      <a:fillRect/>
                    </a:stretch>
                  </pic:blipFill>
                  <pic:spPr>
                    <a:xfrm>
                      <a:off x="0" y="0"/>
                      <a:ext cx="4996073" cy="3689352"/>
                    </a:xfrm>
                    <a:prstGeom prst="rect">
                      <a:avLst/>
                    </a:prstGeom>
                    <a:ln>
                      <a:solidFill>
                        <a:schemeClr val="tx1"/>
                      </a:solidFill>
                    </a:ln>
                  </pic:spPr>
                </pic:pic>
              </a:graphicData>
            </a:graphic>
          </wp:inline>
        </w:drawing>
      </w:r>
    </w:p>
    <w:p w14:paraId="34520908" w14:textId="472C4795" w:rsidR="00325447" w:rsidRPr="00325447" w:rsidRDefault="00325447" w:rsidP="00325447">
      <w:pPr>
        <w:pStyle w:val="FigTitleStyle"/>
        <w:rPr>
          <w:b w:val="0"/>
        </w:rPr>
      </w:pPr>
      <w:bookmarkStart w:id="141" w:name="_Toc380156113"/>
      <w:bookmarkStart w:id="142" w:name="_Toc380157659"/>
      <w:bookmarkStart w:id="143" w:name="_Toc382920263"/>
      <w:r>
        <w:t xml:space="preserve">Fig. </w:t>
      </w:r>
      <w:r>
        <w:fldChar w:fldCharType="begin"/>
      </w:r>
      <w:bookmarkStart w:id="144" w:name="_Ref378248372"/>
      <w:bookmarkEnd w:id="144"/>
      <w:r>
        <w:instrText xml:space="preserve"> LISTNUM FIG \l 2 </w:instrText>
      </w:r>
      <w:r>
        <w:fldChar w:fldCharType="end"/>
      </w:r>
      <w:r>
        <w:t>.  MCNP Power Density</w:t>
      </w:r>
      <w:r w:rsidR="00E22976">
        <w:t xml:space="preserve"> Profile</w:t>
      </w:r>
      <w:r>
        <w:t>.</w:t>
      </w:r>
      <w:r>
        <w:rPr>
          <w:b w:val="0"/>
        </w:rPr>
        <w:t xml:space="preserve">  T</w:t>
      </w:r>
      <w:r w:rsidR="00C04B97">
        <w:rPr>
          <w:b w:val="0"/>
        </w:rPr>
        <w:t>he direction of flow is in the +</w:t>
      </w:r>
      <w:r>
        <w:rPr>
          <w:b w:val="0"/>
          <w:i/>
        </w:rPr>
        <w:t>z</w:t>
      </w:r>
      <w:r>
        <w:rPr>
          <w:b w:val="0"/>
        </w:rPr>
        <w:t>-direction.</w:t>
      </w:r>
      <w:bookmarkEnd w:id="141"/>
      <w:bookmarkEnd w:id="142"/>
      <w:bookmarkEnd w:id="143"/>
    </w:p>
    <w:p w14:paraId="01A6AB98" w14:textId="7EF454F0" w:rsidR="0086378C" w:rsidRDefault="00270B2C" w:rsidP="0086378C">
      <w:r>
        <w:t>For this</w:t>
      </w:r>
      <w:r w:rsidR="00F35D7C">
        <w:t xml:space="preserve"> thermal-hydraulic study, however, it is more convenient to restrict the nuclear power generation to the fuel meat.  While not strictly physical it does produce a conservative temperature estimate as an equal power output is being produced in a smaller volume, thus raising the local power densities in the fuel.  To make </w:t>
      </w:r>
      <w:r w:rsidR="00233CD8">
        <w:t>the</w:t>
      </w:r>
      <w:r w:rsidR="0086378C">
        <w:t xml:space="preserve"> conversion from power-per-cell-</w:t>
      </w:r>
      <w:r w:rsidR="00F35D7C">
        <w:t>volume to power-per-</w:t>
      </w:r>
      <w:r w:rsidR="00911F55">
        <w:t xml:space="preserve">fuel </w:t>
      </w:r>
      <w:r w:rsidR="0086378C">
        <w:t>meat-</w:t>
      </w:r>
      <w:r w:rsidR="00911F55">
        <w:t>volume</w:t>
      </w:r>
      <w:r w:rsidR="00325447">
        <w:t xml:space="preserve">, </w:t>
      </w:r>
      <w:r w:rsidR="004E648B" w:rsidRPr="004E648B">
        <w:rPr>
          <w:i/>
        </w:rPr>
        <w:t>ẇ</w:t>
      </w:r>
      <w:r w:rsidR="00325447">
        <w:rPr>
          <w:i/>
          <w:vertAlign w:val="subscript"/>
        </w:rPr>
        <w:t>fuel</w:t>
      </w:r>
      <w:r w:rsidR="00911F55">
        <w:t>, the MCNP power density output can be divided by the ratio of a cell’s fuel meat</w:t>
      </w:r>
      <w:r w:rsidR="00233CD8">
        <w:t xml:space="preserve"> volume</w:t>
      </w:r>
      <w:r w:rsidR="00911F55">
        <w:t>-to-</w:t>
      </w:r>
      <w:r w:rsidR="00233CD8">
        <w:t>total volume</w:t>
      </w:r>
      <w:r w:rsidR="00F54AA1">
        <w:t xml:space="preserve">, </w:t>
      </w:r>
      <w:r w:rsidR="00F54AA1">
        <w:rPr>
          <w:i/>
        </w:rPr>
        <w:t>V</w:t>
      </w:r>
      <w:r w:rsidR="00F54AA1">
        <w:rPr>
          <w:i/>
          <w:vertAlign w:val="subscript"/>
        </w:rPr>
        <w:t>ratio</w:t>
      </w:r>
      <w:r w:rsidR="00911F55">
        <w:t>.</w:t>
      </w:r>
      <w:r w:rsidR="00FF1301">
        <w:t xml:space="preserve">  Given that width and height </w:t>
      </w:r>
      <w:r>
        <w:t>are</w:t>
      </w:r>
      <w:r w:rsidR="00FF1301">
        <w:t xml:space="preserve"> equal for both fuel meat and total cell volume, it is essentially a ratio of the average fuel meat thickness in each cell normalized against the cell’s thickness.  The result is thus the fuel meat’s thickness profile as a function of rad</w:t>
      </w:r>
      <w:r w:rsidR="00F516EF">
        <w:t>ius.</w:t>
      </w:r>
    </w:p>
    <w:p w14:paraId="3DD3D2A6" w14:textId="4905DF7B" w:rsidR="00AF1D89" w:rsidRDefault="00F516EF" w:rsidP="00BE2E97">
      <w:r>
        <w:t>The thickness</w:t>
      </w:r>
      <w:r w:rsidR="0086378C">
        <w:t xml:space="preserve"> data is imported directly into COMSOL alongside the power-per-cell-volume nuclear power generation density.</w:t>
      </w:r>
      <w:r w:rsidR="00F778B9">
        <w:t xml:space="preserve">  The final power-per-fuel meat-</w:t>
      </w:r>
      <w:r w:rsidR="0086378C">
        <w:t>volume</w:t>
      </w:r>
      <w:r w:rsidR="00F778B9">
        <w:t xml:space="preserve"> is calculated by dividing the MCNP power density output by the volume ratio </w:t>
      </w:r>
      <w:r w:rsidR="00325447">
        <w:t xml:space="preserve">of each cell </w:t>
      </w:r>
      <w:r w:rsidR="00F778B9">
        <w:t>as given i</w:t>
      </w:r>
      <w:r w:rsidR="00B676C5">
        <w:t>n</w:t>
      </w:r>
      <w:r w:rsidR="00F778B9">
        <w:t xml:space="preserve"> Eqn. </w:t>
      </w:r>
      <w:r w:rsidR="00F778B9">
        <w:fldChar w:fldCharType="begin"/>
      </w:r>
      <w:r w:rsidR="00F778B9">
        <w:instrText xml:space="preserve"> REF _Ref378170587 \r \h </w:instrText>
      </w:r>
      <w:r w:rsidR="00F778B9">
        <w:fldChar w:fldCharType="separate"/>
      </w:r>
      <w:r w:rsidR="001C5EC1">
        <w:t>(5.1</w:t>
      </w:r>
      <w:r w:rsidR="00F778B9">
        <w:fldChar w:fldCharType="end"/>
      </w:r>
      <w:r w:rsidR="00F778B9">
        <w:t>)</w:t>
      </w:r>
      <w:r w:rsidR="00BA5AA9">
        <w:t>.</w:t>
      </w:r>
    </w:p>
    <w:p w14:paraId="279DBFE2" w14:textId="77777777" w:rsidR="00F778B9" w:rsidRDefault="00F778B9" w:rsidP="00F778B9">
      <w:pPr>
        <w:pStyle w:val="numberedeqnstyle"/>
      </w:pPr>
      <w:r w:rsidRPr="00A025AE">
        <w:tab/>
      </w:r>
      <w:r w:rsidR="00B676C5" w:rsidRPr="00B676C5">
        <w:rPr>
          <w:position w:val="-36"/>
        </w:rPr>
        <w:object w:dxaOrig="1680" w:dyaOrig="780" w14:anchorId="2B4F9898">
          <v:shape id="_x0000_i1085" type="#_x0000_t75" style="width:86.5pt;height:35.45pt" o:ole="">
            <v:imagedata r:id="rId155" o:title=""/>
          </v:shape>
          <o:OLEObject Type="Embed" ProgID="Equation.3" ShapeID="_x0000_i1085" DrawAspect="Content" ObjectID="_1457171737" r:id="rId156"/>
        </w:object>
      </w:r>
      <w:r>
        <w:tab/>
      </w:r>
      <w:r>
        <w:fldChar w:fldCharType="begin"/>
      </w:r>
      <w:bookmarkStart w:id="145" w:name="_Ref378170587"/>
      <w:bookmarkEnd w:id="145"/>
      <w:r>
        <w:instrText xml:space="preserve"> LISTNUM EQN \l 2 </w:instrText>
      </w:r>
      <w:r>
        <w:fldChar w:fldCharType="end"/>
      </w:r>
      <w:r>
        <w:t>)</w:t>
      </w:r>
    </w:p>
    <w:p w14:paraId="02D89591" w14:textId="56686946" w:rsidR="00481BA7" w:rsidRDefault="00BA5AA9" w:rsidP="00BA5AA9">
      <w:pPr>
        <w:ind w:firstLine="0"/>
      </w:pPr>
      <w:r>
        <w:lastRenderedPageBreak/>
        <w:t xml:space="preserve">where </w:t>
      </w:r>
      <w:r w:rsidR="00481BA7">
        <w:rPr>
          <w:i/>
        </w:rPr>
        <w:t xml:space="preserve">i </w:t>
      </w:r>
      <w:r w:rsidR="00481BA7">
        <w:t xml:space="preserve">is an index denoting cell-specific values and </w:t>
      </w:r>
      <w:r>
        <w:t xml:space="preserve">the </w:t>
      </w:r>
      <w:r w:rsidR="00D51B3F">
        <w:t>coefficient</w:t>
      </w:r>
      <w:r>
        <w:t xml:space="preserve"> </w:t>
      </w:r>
      <w:r>
        <w:rPr>
          <w:i/>
        </w:rPr>
        <w:t>c</w:t>
      </w:r>
      <w:r>
        <w:rPr>
          <w:i/>
          <w:vertAlign w:val="subscript"/>
        </w:rPr>
        <w:t>1</w:t>
      </w:r>
      <w:r>
        <w:t xml:space="preserve"> is a correction factor that can be used to manually set the magnitude of the</w:t>
      </w:r>
      <w:r w:rsidR="00481BA7">
        <w:t xml:space="preserve"> distribution in order to maintain the relation</w:t>
      </w:r>
    </w:p>
    <w:p w14:paraId="61F645D2" w14:textId="2C2E3525" w:rsidR="00481BA7" w:rsidRDefault="00481BA7" w:rsidP="00481BA7">
      <w:pPr>
        <w:pStyle w:val="numberedeqnstyle"/>
      </w:pPr>
      <w:r w:rsidRPr="00A025AE">
        <w:tab/>
      </w:r>
      <w:r w:rsidR="00B676C5" w:rsidRPr="001149F2">
        <w:rPr>
          <w:position w:val="-28"/>
        </w:rPr>
        <w:object w:dxaOrig="2120" w:dyaOrig="680" w14:anchorId="7F77D3B4">
          <v:shape id="_x0000_i1086" type="#_x0000_t75" style="width:107.45pt;height:31.15pt" o:ole="">
            <v:imagedata r:id="rId157" o:title=""/>
          </v:shape>
          <o:OLEObject Type="Embed" ProgID="Equation.3" ShapeID="_x0000_i1086" DrawAspect="Content" ObjectID="_1457171738" r:id="rId158"/>
        </w:object>
      </w:r>
      <w:r>
        <w:tab/>
      </w:r>
      <w:r>
        <w:fldChar w:fldCharType="begin"/>
      </w:r>
      <w:r>
        <w:instrText xml:space="preserve"> LISTNUM EQN \l 2 </w:instrText>
      </w:r>
      <w:r>
        <w:fldChar w:fldCharType="end"/>
      </w:r>
      <w:r>
        <w:t>)</w:t>
      </w:r>
    </w:p>
    <w:p w14:paraId="0C07B9D9" w14:textId="7C3BEC77" w:rsidR="000C65B8" w:rsidRDefault="00BA5AA9" w:rsidP="00BA5AA9">
      <w:pPr>
        <w:ind w:firstLine="0"/>
      </w:pPr>
      <w:r>
        <w:t xml:space="preserve"> </w:t>
      </w:r>
      <w:r w:rsidR="00481BA7">
        <w:t xml:space="preserve">where </w:t>
      </w:r>
      <w:r w:rsidR="00481BA7">
        <w:rPr>
          <w:i/>
        </w:rPr>
        <w:t xml:space="preserve">I </w:t>
      </w:r>
      <w:r w:rsidR="00481BA7">
        <w:t xml:space="preserve">is the total number of MCNP cells in a single plate and the </w:t>
      </w:r>
      <w:r>
        <w:t>total power output</w:t>
      </w:r>
      <w:r w:rsidR="004F1D29">
        <w:t xml:space="preserve">, </w:t>
      </w:r>
      <w:r w:rsidR="00B676C5" w:rsidRPr="004E648B">
        <w:rPr>
          <w:i/>
        </w:rPr>
        <w:t>Ẇ</w:t>
      </w:r>
      <w:r w:rsidR="004F1D29">
        <w:rPr>
          <w:i/>
          <w:vertAlign w:val="subscript"/>
        </w:rPr>
        <w:t>plate</w:t>
      </w:r>
      <w:r w:rsidR="004F1D29">
        <w:t>,</w:t>
      </w:r>
      <w:r w:rsidR="00483F12">
        <w:t xml:space="preserve"> is known to be 217.72 kW.  The total power output</w:t>
      </w:r>
      <w:r>
        <w:t xml:space="preserve"> can be determined </w:t>
      </w:r>
      <w:r w:rsidR="00481BA7">
        <w:t xml:space="preserve">independently </w:t>
      </w:r>
      <w:r w:rsidR="00483F12">
        <w:t>according to</w:t>
      </w:r>
    </w:p>
    <w:p w14:paraId="03AB5C9C" w14:textId="6D20320A" w:rsidR="00BA5AA9" w:rsidRDefault="00BA5AA9" w:rsidP="00BA5AA9">
      <w:pPr>
        <w:pStyle w:val="numberedeqnstyle"/>
      </w:pPr>
      <w:r w:rsidRPr="00A025AE">
        <w:tab/>
      </w:r>
      <w:r w:rsidR="00B676C5" w:rsidRPr="00BA5AA9">
        <w:rPr>
          <w:position w:val="-14"/>
        </w:rPr>
        <w:object w:dxaOrig="2340" w:dyaOrig="400" w14:anchorId="0F7E846F">
          <v:shape id="_x0000_i1087" type="#_x0000_t75" style="width:118.2pt;height:18.25pt" o:ole="">
            <v:imagedata r:id="rId159" o:title=""/>
          </v:shape>
          <o:OLEObject Type="Embed" ProgID="Equation.3" ShapeID="_x0000_i1087" DrawAspect="Content" ObjectID="_1457171739" r:id="rId160"/>
        </w:object>
      </w:r>
      <w:r>
        <w:tab/>
      </w:r>
      <w:r>
        <w:fldChar w:fldCharType="begin"/>
      </w:r>
      <w:bookmarkStart w:id="146" w:name="_Ref378170831"/>
      <w:bookmarkEnd w:id="146"/>
      <w:r>
        <w:instrText xml:space="preserve"> LISTNUM EQN \l 2 </w:instrText>
      </w:r>
      <w:r>
        <w:fldChar w:fldCharType="end"/>
      </w:r>
      <w:r>
        <w:t>)</w:t>
      </w:r>
    </w:p>
    <w:p w14:paraId="43080602" w14:textId="7F5206EE" w:rsidR="00BA5AA9" w:rsidRDefault="00BA5AA9" w:rsidP="00BA5AA9">
      <w:pPr>
        <w:ind w:firstLine="0"/>
      </w:pPr>
      <w:r>
        <w:t xml:space="preserve">where </w:t>
      </w:r>
      <w:r w:rsidR="004E648B" w:rsidRPr="004E648B">
        <w:rPr>
          <w:i/>
        </w:rPr>
        <w:t>Ẇ</w:t>
      </w:r>
      <w:r>
        <w:rPr>
          <w:i/>
          <w:vertAlign w:val="subscript"/>
        </w:rPr>
        <w:t>core</w:t>
      </w:r>
      <w:r>
        <w:t xml:space="preserve"> is the total power output of the core, 100 MW,  </w:t>
      </w:r>
      <w:r>
        <w:rPr>
          <w:i/>
        </w:rPr>
        <w:t>f</w:t>
      </w:r>
      <w:r>
        <w:rPr>
          <w:i/>
          <w:vertAlign w:val="subscript"/>
        </w:rPr>
        <w:t>IFE</w:t>
      </w:r>
      <w:r>
        <w:t xml:space="preserve"> is the fraction of the total power output produced in the inner fuel element, 37.23%, and </w:t>
      </w:r>
      <w:r>
        <w:rPr>
          <w:i/>
        </w:rPr>
        <w:t>n</w:t>
      </w:r>
      <w:r>
        <w:rPr>
          <w:i/>
          <w:vertAlign w:val="subscript"/>
        </w:rPr>
        <w:t>IFE</w:t>
      </w:r>
      <w:r>
        <w:rPr>
          <w:i/>
        </w:rPr>
        <w:t xml:space="preserve"> </w:t>
      </w:r>
      <w:r>
        <w:t>is the total number of inner fuel element plates, 171.</w:t>
      </w:r>
      <w:r w:rsidR="003A153E">
        <w:t xml:space="preserve">  The </w:t>
      </w:r>
      <w:r w:rsidR="00CC21DA">
        <w:t xml:space="preserve">final </w:t>
      </w:r>
      <w:r w:rsidR="003A153E">
        <w:t xml:space="preserve">power density </w:t>
      </w:r>
      <w:r w:rsidR="00CC21DA">
        <w:t>profile</w:t>
      </w:r>
      <w:r w:rsidR="001A0F79">
        <w:t xml:space="preserve"> that is input into COMSOL</w:t>
      </w:r>
      <w:r w:rsidR="003A153E">
        <w:t xml:space="preserve"> is shown in Fig. </w:t>
      </w:r>
      <w:r w:rsidR="003A153E">
        <w:fldChar w:fldCharType="begin"/>
      </w:r>
      <w:r w:rsidR="003A153E">
        <w:instrText xml:space="preserve"> REF _Ref378242934 \r \h </w:instrText>
      </w:r>
      <w:r w:rsidR="003A153E">
        <w:fldChar w:fldCharType="separate"/>
      </w:r>
      <w:r w:rsidR="001C5EC1">
        <w:t>5.9</w:t>
      </w:r>
      <w:r w:rsidR="003A153E">
        <w:fldChar w:fldCharType="end"/>
      </w:r>
      <w:r w:rsidR="003A153E">
        <w:t>.</w:t>
      </w:r>
    </w:p>
    <w:p w14:paraId="4D8AA441" w14:textId="57D3ECA6" w:rsidR="003A153E" w:rsidRDefault="00325447" w:rsidP="003E0C5E">
      <w:pPr>
        <w:pStyle w:val="PictureSytel"/>
      </w:pPr>
      <w:r>
        <w:rPr>
          <w:noProof/>
        </w:rPr>
        <w:drawing>
          <wp:inline distT="0" distB="0" distL="0" distR="0" wp14:anchorId="782A89C6" wp14:editId="326CC4C3">
            <wp:extent cx="5047842" cy="3834035"/>
            <wp:effectExtent l="19050" t="19050" r="19685" b="146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nal_Pwr_Density[1].png"/>
                    <pic:cNvPicPr/>
                  </pic:nvPicPr>
                  <pic:blipFill>
                    <a:blip r:embed="rId161">
                      <a:extLst>
                        <a:ext uri="{28A0092B-C50C-407E-A947-70E740481C1C}">
                          <a14:useLocalDpi xmlns:a14="http://schemas.microsoft.com/office/drawing/2010/main" val="0"/>
                        </a:ext>
                      </a:extLst>
                    </a:blip>
                    <a:stretch>
                      <a:fillRect/>
                    </a:stretch>
                  </pic:blipFill>
                  <pic:spPr>
                    <a:xfrm>
                      <a:off x="0" y="0"/>
                      <a:ext cx="5047842" cy="3834035"/>
                    </a:xfrm>
                    <a:prstGeom prst="rect">
                      <a:avLst/>
                    </a:prstGeom>
                    <a:ln>
                      <a:solidFill>
                        <a:schemeClr val="tx1"/>
                      </a:solidFill>
                    </a:ln>
                  </pic:spPr>
                </pic:pic>
              </a:graphicData>
            </a:graphic>
          </wp:inline>
        </w:drawing>
      </w:r>
    </w:p>
    <w:p w14:paraId="1CC270D0" w14:textId="79633E39" w:rsidR="003A153E" w:rsidRPr="00325447" w:rsidRDefault="006C113E" w:rsidP="003A153E">
      <w:pPr>
        <w:pStyle w:val="FigTitleStyle"/>
        <w:rPr>
          <w:b w:val="0"/>
        </w:rPr>
      </w:pPr>
      <w:bookmarkStart w:id="147" w:name="_Toc380156114"/>
      <w:bookmarkStart w:id="148" w:name="_Toc380157660"/>
      <w:bookmarkStart w:id="149" w:name="_Toc382920264"/>
      <w:r>
        <w:t xml:space="preserve">Fig. </w:t>
      </w:r>
      <w:r w:rsidR="003A153E">
        <w:fldChar w:fldCharType="begin"/>
      </w:r>
      <w:bookmarkStart w:id="150" w:name="_Ref378242934"/>
      <w:bookmarkEnd w:id="150"/>
      <w:r w:rsidR="003A153E">
        <w:instrText xml:space="preserve"> LISTNUM FIG \l 2 </w:instrText>
      </w:r>
      <w:r w:rsidR="003A153E">
        <w:fldChar w:fldCharType="end"/>
      </w:r>
      <w:r w:rsidR="003A153E">
        <w:t>.  COMSOL Power Density</w:t>
      </w:r>
      <w:r w:rsidR="00CC21DA">
        <w:t xml:space="preserve"> Profile</w:t>
      </w:r>
      <w:r w:rsidR="003A153E">
        <w:t>.</w:t>
      </w:r>
      <w:r w:rsidR="00325447">
        <w:t xml:space="preserve">  </w:t>
      </w:r>
      <w:r w:rsidR="00325447">
        <w:rPr>
          <w:b w:val="0"/>
        </w:rPr>
        <w:t>T</w:t>
      </w:r>
      <w:r w:rsidR="00C04B97">
        <w:rPr>
          <w:b w:val="0"/>
        </w:rPr>
        <w:t>he direction of flow is in the +</w:t>
      </w:r>
      <w:r w:rsidR="00325447">
        <w:rPr>
          <w:b w:val="0"/>
          <w:i/>
        </w:rPr>
        <w:t>z</w:t>
      </w:r>
      <w:r w:rsidR="00325447">
        <w:rPr>
          <w:b w:val="0"/>
        </w:rPr>
        <w:t>-direction.</w:t>
      </w:r>
      <w:bookmarkEnd w:id="147"/>
      <w:bookmarkEnd w:id="148"/>
      <w:bookmarkEnd w:id="149"/>
    </w:p>
    <w:p w14:paraId="2D299800" w14:textId="71A1C35B" w:rsidR="00DD77F1" w:rsidRDefault="005578C4" w:rsidP="009B2B50">
      <w:pPr>
        <w:pStyle w:val="Heading2"/>
      </w:pPr>
      <w:r>
        <w:t xml:space="preserve"> </w:t>
      </w:r>
      <w:r w:rsidR="000364CC">
        <w:fldChar w:fldCharType="begin"/>
      </w:r>
      <w:r w:rsidR="000364CC">
        <w:instrText xml:space="preserve"> LISTNUM CHAP \l 2 </w:instrText>
      </w:r>
      <w:bookmarkStart w:id="151" w:name="_Toc382921544"/>
      <w:r w:rsidR="000364CC">
        <w:fldChar w:fldCharType="end"/>
      </w:r>
      <w:r w:rsidR="000364CC">
        <w:t xml:space="preserve">    </w:t>
      </w:r>
      <w:r w:rsidR="00213ECB">
        <w:t>Physics</w:t>
      </w:r>
      <w:bookmarkEnd w:id="151"/>
    </w:p>
    <w:p w14:paraId="22EE64E9" w14:textId="79D8F511" w:rsidR="000364CC" w:rsidRDefault="00436E37" w:rsidP="00213ECB">
      <w:r>
        <w:lastRenderedPageBreak/>
        <w:t xml:space="preserve">Energy transport occurs through three methods in the 3D model:  heat transfer in the solid domains, heat transfer in the coolant domain, and </w:t>
      </w:r>
      <w:r w:rsidR="001149F2">
        <w:t xml:space="preserve">turbulent </w:t>
      </w:r>
      <w:r>
        <w:t>mass transport in the coolant domain.  Heat transfer in the solid domains is governed by the steady-state heat equation</w:t>
      </w:r>
    </w:p>
    <w:p w14:paraId="5D1F76E5" w14:textId="77777777" w:rsidR="00436E37" w:rsidRDefault="00436E37" w:rsidP="00436E37">
      <w:pPr>
        <w:pStyle w:val="numberedeqnstyle"/>
      </w:pPr>
      <w:r w:rsidRPr="00A025AE">
        <w:tab/>
      </w:r>
      <w:r w:rsidR="00EA415D" w:rsidRPr="00436E37">
        <w:rPr>
          <w:position w:val="-10"/>
        </w:rPr>
        <w:object w:dxaOrig="1620" w:dyaOrig="320" w14:anchorId="226A2523">
          <v:shape id="_x0000_i1088" type="#_x0000_t75" style="width:82.75pt;height:15.05pt" o:ole="">
            <v:imagedata r:id="rId162" o:title=""/>
          </v:shape>
          <o:OLEObject Type="Embed" ProgID="Equation.3" ShapeID="_x0000_i1088" DrawAspect="Content" ObjectID="_1457171740" r:id="rId163"/>
        </w:object>
      </w:r>
      <w:r>
        <w:tab/>
      </w:r>
      <w:r>
        <w:fldChar w:fldCharType="begin"/>
      </w:r>
      <w:bookmarkStart w:id="152" w:name="_Ref378845816"/>
      <w:bookmarkEnd w:id="152"/>
      <w:r>
        <w:instrText xml:space="preserve"> LISTNUM EQN \l 2 </w:instrText>
      </w:r>
      <w:r>
        <w:fldChar w:fldCharType="end"/>
      </w:r>
      <w:r>
        <w:t>)</w:t>
      </w:r>
    </w:p>
    <w:p w14:paraId="20F17386" w14:textId="4D511DCB" w:rsidR="00AD779B" w:rsidRDefault="00436E37" w:rsidP="00436E37">
      <w:pPr>
        <w:ind w:firstLine="0"/>
      </w:pPr>
      <w:r>
        <w:t xml:space="preserve">where thermal conductivity, </w:t>
      </w:r>
      <w:r w:rsidR="00EA415D">
        <w:rPr>
          <w:i/>
        </w:rPr>
        <w:t>λ</w:t>
      </w:r>
      <w:r w:rsidR="0010026F">
        <w:t>, is a</w:t>
      </w:r>
      <w:r w:rsidR="00E9047E">
        <w:t xml:space="preserve"> </w:t>
      </w:r>
      <w:r w:rsidR="006F59B8">
        <w:t xml:space="preserve">function of </w:t>
      </w:r>
      <w:r w:rsidR="006F59B8">
        <w:rPr>
          <w:i/>
        </w:rPr>
        <w:t>T</w:t>
      </w:r>
      <w:r w:rsidR="006F59B8">
        <w:t xml:space="preserve"> </w:t>
      </w:r>
      <w:r w:rsidR="00E9047E">
        <w:t>and thus</w:t>
      </w:r>
      <w:r w:rsidR="0010026F">
        <w:t xml:space="preserve"> indirectly dependent on</w:t>
      </w:r>
      <w:r w:rsidR="00E9047E">
        <w:t xml:space="preserve"> position.</w:t>
      </w:r>
      <w:r w:rsidR="0010026F">
        <w:t xml:space="preserve">  </w:t>
      </w:r>
      <w:r w:rsidR="00AD779B">
        <w:t>It is important to note that the involute coordinate system (</w:t>
      </w:r>
      <w:r w:rsidR="00AD779B">
        <w:rPr>
          <w:i/>
        </w:rPr>
        <w:t>s</w:t>
      </w:r>
      <w:r w:rsidR="00AD779B">
        <w:t xml:space="preserve">, </w:t>
      </w:r>
      <w:r w:rsidR="00AD779B">
        <w:rPr>
          <w:i/>
        </w:rPr>
        <w:t>t</w:t>
      </w:r>
      <w:r w:rsidR="00AD779B">
        <w:t xml:space="preserve">, </w:t>
      </w:r>
      <w:r w:rsidR="00AD779B">
        <w:rPr>
          <w:i/>
        </w:rPr>
        <w:t>z</w:t>
      </w:r>
      <w:r w:rsidR="00AD779B">
        <w:t>) was developed only to aid with the specificati</w:t>
      </w:r>
      <w:r w:rsidR="0010026F">
        <w:t>on of model inputs and the analysis of</w:t>
      </w:r>
      <w:r w:rsidR="00AD779B">
        <w:t xml:space="preserve"> results.  The computational scheme still operates in a Cartesian coordinate system (</w:t>
      </w:r>
      <w:r w:rsidR="00AD779B">
        <w:rPr>
          <w:i/>
        </w:rPr>
        <w:t>x</w:t>
      </w:r>
      <w:r w:rsidR="00AD779B">
        <w:t xml:space="preserve">, </w:t>
      </w:r>
      <w:r w:rsidR="00AD779B">
        <w:rPr>
          <w:i/>
        </w:rPr>
        <w:t>y</w:t>
      </w:r>
      <w:r w:rsidR="00AD779B">
        <w:t xml:space="preserve">, </w:t>
      </w:r>
      <w:r w:rsidR="00AD779B">
        <w:rPr>
          <w:i/>
        </w:rPr>
        <w:t>z</w:t>
      </w:r>
      <w:r w:rsidR="00AD779B">
        <w:t>).</w:t>
      </w:r>
      <w:r w:rsidR="006F59B8">
        <w:t xml:space="preserve">  The gradient</w:t>
      </w:r>
      <w:r w:rsidR="00AD779B">
        <w:t xml:space="preserve"> thus has the familiar form</w:t>
      </w:r>
    </w:p>
    <w:p w14:paraId="59A0F1C0" w14:textId="2F8B425E" w:rsidR="00AD779B" w:rsidRDefault="00AD779B" w:rsidP="00AD779B">
      <w:pPr>
        <w:pStyle w:val="numberedeqnstyle"/>
      </w:pPr>
      <w:r>
        <w:t xml:space="preserve">    </w:t>
      </w:r>
      <w:r w:rsidRPr="00A025AE">
        <w:tab/>
      </w:r>
      <w:r w:rsidR="001149F2" w:rsidRPr="001149F2">
        <w:rPr>
          <w:position w:val="-26"/>
        </w:rPr>
        <w:object w:dxaOrig="1960" w:dyaOrig="620" w14:anchorId="62906C8B">
          <v:shape id="_x0000_i1089" type="#_x0000_t75" style="width:99.4pt;height:29pt" o:ole="">
            <v:imagedata r:id="rId164" o:title=""/>
          </v:shape>
          <o:OLEObject Type="Embed" ProgID="Equation.3" ShapeID="_x0000_i1089" DrawAspect="Content" ObjectID="_1457171741" r:id="rId165"/>
        </w:object>
      </w:r>
      <w:r w:rsidR="004E648B">
        <w:t>.</w:t>
      </w:r>
      <w:r>
        <w:tab/>
      </w:r>
      <w:r>
        <w:fldChar w:fldCharType="begin"/>
      </w:r>
      <w:r>
        <w:instrText xml:space="preserve"> LISTNUM EQN \l 2 </w:instrText>
      </w:r>
      <w:r>
        <w:fldChar w:fldCharType="end"/>
      </w:r>
      <w:r>
        <w:t>)</w:t>
      </w:r>
    </w:p>
    <w:p w14:paraId="2BA277AD" w14:textId="2D4D93C3" w:rsidR="00436E37" w:rsidRDefault="0010026F" w:rsidP="0010026F">
      <w:r>
        <w:t xml:space="preserve">The volumetric heat generation term, </w:t>
      </w:r>
      <w:r>
        <w:rPr>
          <w:i/>
        </w:rPr>
        <w:t>Q</w:t>
      </w:r>
      <w:r>
        <w:t xml:space="preserve">, in Eqn. </w:t>
      </w:r>
      <w:r>
        <w:fldChar w:fldCharType="begin"/>
      </w:r>
      <w:r>
        <w:instrText xml:space="preserve"> REF _Ref378845816 \r \h </w:instrText>
      </w:r>
      <w:r>
        <w:fldChar w:fldCharType="separate"/>
      </w:r>
      <w:r w:rsidR="001C5EC1">
        <w:t>(5.4</w:t>
      </w:r>
      <w:r>
        <w:fldChar w:fldCharType="end"/>
      </w:r>
      <w:r>
        <w:t xml:space="preserve">) is present only in </w:t>
      </w:r>
      <w:r w:rsidR="00980A93">
        <w:t>the fuel meat.</w:t>
      </w:r>
      <w:r w:rsidR="001E4E6D">
        <w:t xml:space="preserve">  In the surrounding aluminum fuel plate and side plates </w:t>
      </w:r>
      <w:r w:rsidR="001E4E6D">
        <w:rPr>
          <w:i/>
        </w:rPr>
        <w:t>Q</w:t>
      </w:r>
      <w:r w:rsidR="001E4E6D">
        <w:t xml:space="preserve"> </w:t>
      </w:r>
      <w:r w:rsidR="0052090E">
        <w:t>equals zero</w:t>
      </w:r>
      <w:r w:rsidR="001E4E6D">
        <w:t xml:space="preserve"> causing Eqn. </w:t>
      </w:r>
      <w:r w:rsidR="001E4E6D">
        <w:fldChar w:fldCharType="begin"/>
      </w:r>
      <w:r w:rsidR="001E4E6D">
        <w:instrText xml:space="preserve"> REF _Ref378845816 \r \h </w:instrText>
      </w:r>
      <w:r w:rsidR="001E4E6D">
        <w:fldChar w:fldCharType="separate"/>
      </w:r>
      <w:r w:rsidR="001C5EC1">
        <w:t>(5.4</w:t>
      </w:r>
      <w:r w:rsidR="001E4E6D">
        <w:fldChar w:fldCharType="end"/>
      </w:r>
      <w:r w:rsidR="001E4E6D">
        <w:t>) to reduce to Fourier’s law</w:t>
      </w:r>
      <w:r w:rsidR="006B7072">
        <w:t>, giving rise to linear heat flow according to</w:t>
      </w:r>
    </w:p>
    <w:p w14:paraId="40853434" w14:textId="77777777" w:rsidR="001E4E6D" w:rsidRDefault="001E4E6D" w:rsidP="001E4E6D">
      <w:pPr>
        <w:pStyle w:val="numberedeqnstyle"/>
      </w:pPr>
      <w:r w:rsidRPr="00A025AE">
        <w:tab/>
      </w:r>
      <w:r w:rsidR="00E768E2" w:rsidRPr="001149F2">
        <w:rPr>
          <w:position w:val="-10"/>
        </w:rPr>
        <w:object w:dxaOrig="1080" w:dyaOrig="320" w14:anchorId="746E24C3">
          <v:shape id="_x0000_i1090" type="#_x0000_t75" style="width:54.25pt;height:15.6pt" o:ole="">
            <v:imagedata r:id="rId166" o:title=""/>
          </v:shape>
          <o:OLEObject Type="Embed" ProgID="Equation.3" ShapeID="_x0000_i1090" DrawAspect="Content" ObjectID="_1457171742" r:id="rId167"/>
        </w:object>
      </w:r>
      <w:r>
        <w:tab/>
      </w:r>
      <w:r>
        <w:fldChar w:fldCharType="begin"/>
      </w:r>
      <w:r>
        <w:instrText xml:space="preserve"> LISTNUM EQN \l 2 </w:instrText>
      </w:r>
      <w:r>
        <w:fldChar w:fldCharType="end"/>
      </w:r>
      <w:r>
        <w:t>)</w:t>
      </w:r>
    </w:p>
    <w:p w14:paraId="54FBCC92" w14:textId="72C74602" w:rsidR="001E4E6D" w:rsidRDefault="001E4E6D" w:rsidP="001E4E6D">
      <w:pPr>
        <w:ind w:firstLine="0"/>
      </w:pPr>
      <w:r>
        <w:t xml:space="preserve">where </w:t>
      </w:r>
      <w:r w:rsidR="00E768E2" w:rsidRPr="00B8322D">
        <w:rPr>
          <w:position w:val="-10"/>
        </w:rPr>
        <w:object w:dxaOrig="260" w:dyaOrig="320" w14:anchorId="4C8DB0DF">
          <v:shape id="_x0000_i1091" type="#_x0000_t75" style="width:13.45pt;height:15.6pt" o:ole="">
            <v:imagedata r:id="rId168" o:title=""/>
          </v:shape>
          <o:OLEObject Type="Embed" ProgID="Equation.3" ShapeID="_x0000_i1091" DrawAspect="Content" ObjectID="_1457171743" r:id="rId169"/>
        </w:object>
      </w:r>
      <w:r>
        <w:t xml:space="preserve"> represents </w:t>
      </w:r>
      <w:r w:rsidR="001149F2">
        <w:t xml:space="preserve">the </w:t>
      </w:r>
      <w:r>
        <w:t xml:space="preserve">heat flux </w:t>
      </w:r>
      <w:r w:rsidR="00803341">
        <w:t xml:space="preserve">vector with components </w:t>
      </w:r>
      <w:r w:rsidR="00803341">
        <w:rPr>
          <w:i/>
        </w:rPr>
        <w:t>q</w:t>
      </w:r>
      <w:r w:rsidR="00803341">
        <w:rPr>
          <w:i/>
          <w:vertAlign w:val="subscript"/>
        </w:rPr>
        <w:t>x</w:t>
      </w:r>
      <w:r w:rsidR="00803341">
        <w:t xml:space="preserve">, </w:t>
      </w:r>
      <w:r w:rsidR="00803341">
        <w:rPr>
          <w:i/>
        </w:rPr>
        <w:t>q</w:t>
      </w:r>
      <w:r w:rsidR="00803341">
        <w:rPr>
          <w:i/>
          <w:vertAlign w:val="subscript"/>
        </w:rPr>
        <w:t>y</w:t>
      </w:r>
      <w:r w:rsidR="00803341">
        <w:t xml:space="preserve">, and </w:t>
      </w:r>
      <w:r w:rsidR="00803341">
        <w:rPr>
          <w:i/>
        </w:rPr>
        <w:t>q</w:t>
      </w:r>
      <w:r w:rsidR="00803341">
        <w:rPr>
          <w:i/>
          <w:vertAlign w:val="subscript"/>
        </w:rPr>
        <w:t>z</w:t>
      </w:r>
      <w:r>
        <w:t>.</w:t>
      </w:r>
      <w:r w:rsidR="00E228F6">
        <w:t xml:space="preserve">  The solid domains experie</w:t>
      </w:r>
      <w:r w:rsidR="00284C74">
        <w:t>nce</w:t>
      </w:r>
      <w:r w:rsidR="00301603">
        <w:t xml:space="preserve"> </w:t>
      </w:r>
      <w:r w:rsidR="00284C74">
        <w:t>three types of boundaries</w:t>
      </w:r>
      <w:r w:rsidR="00E228F6">
        <w:t xml:space="preserve">:  </w:t>
      </w:r>
      <w:r w:rsidR="00284C74">
        <w:t>thermally insulated,</w:t>
      </w:r>
      <w:r w:rsidR="00301603">
        <w:t xml:space="preserve"> convective</w:t>
      </w:r>
      <w:r w:rsidR="00284C74">
        <w:t>, and periodic</w:t>
      </w:r>
      <w:r w:rsidR="00301603">
        <w:t xml:space="preserve">.  Thermally insulated boundaries are applied to the inner surface of the inner side plate and the outer surface of the outer side plate—the inner and outer circumferences of the model, respectively.  </w:t>
      </w:r>
      <w:r w:rsidR="00AE3AA7">
        <w:t>The thermally insulated boundaries satisfy the Neumann-type constraint that the temperature gradient be zero such that</w:t>
      </w:r>
    </w:p>
    <w:p w14:paraId="2F75CD43" w14:textId="77777777" w:rsidR="00AE3AA7" w:rsidRDefault="00AE3AA7" w:rsidP="00AE3AA7">
      <w:pPr>
        <w:pStyle w:val="numberedeqnstyle"/>
      </w:pPr>
      <w:r w:rsidRPr="00A025AE">
        <w:tab/>
      </w:r>
      <w:r w:rsidR="00E768E2" w:rsidRPr="00436E37">
        <w:rPr>
          <w:position w:val="-10"/>
        </w:rPr>
        <w:object w:dxaOrig="1800" w:dyaOrig="320" w14:anchorId="3CEEC7DA">
          <v:shape id="_x0000_i1092" type="#_x0000_t75" style="width:90.8pt;height:15.05pt" o:ole="">
            <v:imagedata r:id="rId170" o:title=""/>
          </v:shape>
          <o:OLEObject Type="Embed" ProgID="Equation.3" ShapeID="_x0000_i1092" DrawAspect="Content" ObjectID="_1457171744" r:id="rId171"/>
        </w:object>
      </w:r>
      <w:r>
        <w:tab/>
      </w:r>
      <w:r>
        <w:fldChar w:fldCharType="begin"/>
      </w:r>
      <w:bookmarkStart w:id="153" w:name="_Ref379381147"/>
      <w:bookmarkEnd w:id="153"/>
      <w:r>
        <w:instrText xml:space="preserve"> LISTNUM EQN \l 2 </w:instrText>
      </w:r>
      <w:r>
        <w:fldChar w:fldCharType="end"/>
      </w:r>
      <w:r>
        <w:t>)</w:t>
      </w:r>
    </w:p>
    <w:p w14:paraId="3A4BA4B7" w14:textId="0A063DBC" w:rsidR="00B16187" w:rsidRDefault="003163E8" w:rsidP="003163E8">
      <w:pPr>
        <w:ind w:firstLine="0"/>
      </w:pPr>
      <w:r>
        <w:t xml:space="preserve">where </w:t>
      </w:r>
      <w:r w:rsidR="005517AD" w:rsidRPr="00E83568">
        <w:rPr>
          <w:position w:val="-6"/>
        </w:rPr>
        <w:object w:dxaOrig="200" w:dyaOrig="279" w14:anchorId="568EA3A1">
          <v:shape id="_x0000_i1093" type="#_x0000_t75" style="width:10.2pt;height:12.35pt" o:ole="">
            <v:imagedata r:id="rId172" o:title=""/>
          </v:shape>
          <o:OLEObject Type="Embed" ProgID="Equation.3" ShapeID="_x0000_i1093" DrawAspect="Content" ObjectID="_1457171745" r:id="rId173"/>
        </w:object>
      </w:r>
      <w:r w:rsidR="00E83568">
        <w:t>represents the local boundary normal vector.</w:t>
      </w:r>
      <w:r w:rsidR="00E13533">
        <w:t xml:space="preserve">  The convective boundaries ensure continuity of temperature and heat flux across the solid-liquid interface.</w:t>
      </w:r>
      <w:r w:rsidR="00284C74">
        <w:t xml:space="preserve">  The periodic boundaries, applied to the concave and convex faces of the side plates, enforce the same conditions.</w:t>
      </w:r>
    </w:p>
    <w:p w14:paraId="3DD43345" w14:textId="78E6CF97" w:rsidR="002F7D77" w:rsidRDefault="00B16187" w:rsidP="00D04A6C">
      <w:r>
        <w:t>Mass transport in the</w:t>
      </w:r>
      <w:r w:rsidR="00C512B8">
        <w:t xml:space="preserve"> coolant domain is governed by</w:t>
      </w:r>
      <w:r w:rsidR="001149F2">
        <w:t xml:space="preserve"> the Reynolds-Averaged Navier-Stokes (RANS) equations </w:t>
      </w:r>
      <w:r w:rsidR="0099654F">
        <w:t xml:space="preserve">with the </w:t>
      </w:r>
      <w:r w:rsidR="0099654F">
        <w:rPr>
          <w:i/>
        </w:rPr>
        <w:t>k-ε</w:t>
      </w:r>
      <w:r w:rsidR="0099654F">
        <w:t xml:space="preserve"> turbulence model chosen to provide closure.  In </w:t>
      </w:r>
      <w:r w:rsidR="004E28CD">
        <w:t xml:space="preserve">the </w:t>
      </w:r>
      <w:r w:rsidR="0099654F">
        <w:t xml:space="preserve">most recent COMSOL release at the onset of this project, version 4.3.A, the only available turbulence models were </w:t>
      </w:r>
      <w:r w:rsidR="0099654F">
        <w:rPr>
          <w:i/>
        </w:rPr>
        <w:t>k-ε</w:t>
      </w:r>
      <w:r w:rsidR="0099654F">
        <w:t xml:space="preserve">, </w:t>
      </w:r>
      <w:r w:rsidR="0099654F">
        <w:rPr>
          <w:i/>
        </w:rPr>
        <w:t>k-ω</w:t>
      </w:r>
      <w:r w:rsidR="0099654F">
        <w:t>,</w:t>
      </w:r>
      <w:r w:rsidR="002F7D77">
        <w:t xml:space="preserve"> and</w:t>
      </w:r>
      <w:r w:rsidR="0099654F">
        <w:t xml:space="preserve"> Low-Reynolds Number (LRN) </w:t>
      </w:r>
      <w:r w:rsidR="0099654F">
        <w:rPr>
          <w:i/>
        </w:rPr>
        <w:t>k-ε</w:t>
      </w:r>
      <w:r w:rsidR="0099654F">
        <w:t xml:space="preserve">.  The </w:t>
      </w:r>
      <w:r w:rsidR="0099654F">
        <w:rPr>
          <w:i/>
        </w:rPr>
        <w:t>k-ε</w:t>
      </w:r>
      <w:r w:rsidR="0099654F">
        <w:t xml:space="preserve"> model was selected through th</w:t>
      </w:r>
      <w:r w:rsidR="004E28CD">
        <w:t xml:space="preserve">e process of reduction.  The models were considered on a </w:t>
      </w:r>
      <w:r w:rsidR="002F7D77">
        <w:t xml:space="preserve">two-tiered scheme with </w:t>
      </w:r>
      <w:r w:rsidR="004E28CD">
        <w:t xml:space="preserve">the two-equation </w:t>
      </w:r>
      <w:r w:rsidR="004E28CD">
        <w:rPr>
          <w:i/>
        </w:rPr>
        <w:t>k-ε</w:t>
      </w:r>
      <w:r w:rsidR="004E28CD">
        <w:t xml:space="preserve"> and </w:t>
      </w:r>
      <w:r w:rsidR="004E28CD">
        <w:rPr>
          <w:i/>
        </w:rPr>
        <w:t>k-ω</w:t>
      </w:r>
      <w:r w:rsidR="002F7D77">
        <w:t xml:space="preserve"> models </w:t>
      </w:r>
      <w:r w:rsidR="00A418F6">
        <w:t>being</w:t>
      </w:r>
      <w:r w:rsidR="002F7D77">
        <w:t xml:space="preserve"> on a similar level of complexity</w:t>
      </w:r>
      <w:r w:rsidR="004E28CD">
        <w:t xml:space="preserve"> and the LRN </w:t>
      </w:r>
      <w:r w:rsidR="004E28CD">
        <w:rPr>
          <w:i/>
        </w:rPr>
        <w:t>k-ε</w:t>
      </w:r>
      <w:r w:rsidR="004E28CD">
        <w:t xml:space="preserve"> mode</w:t>
      </w:r>
      <w:r w:rsidR="002F7D77">
        <w:t>l adding an additional level</w:t>
      </w:r>
      <w:r w:rsidR="004E28CD">
        <w:t xml:space="preserve">.  </w:t>
      </w:r>
    </w:p>
    <w:p w14:paraId="077CCF6E" w14:textId="7CCDC4B8" w:rsidR="002F7D77" w:rsidRDefault="004E28CD" w:rsidP="00D04A6C">
      <w:r>
        <w:lastRenderedPageBreak/>
        <w:t xml:space="preserve">The LRN </w:t>
      </w:r>
      <w:r>
        <w:rPr>
          <w:i/>
        </w:rPr>
        <w:t>k-ε</w:t>
      </w:r>
      <w:r>
        <w:t xml:space="preserve"> model’s </w:t>
      </w:r>
      <w:r w:rsidR="002F7D77">
        <w:t xml:space="preserve">added </w:t>
      </w:r>
      <w:r>
        <w:t xml:space="preserve">complexity comes from the fact that it </w:t>
      </w:r>
      <w:r w:rsidR="002F7D77">
        <w:t xml:space="preserve">explicitly </w:t>
      </w:r>
      <w:r>
        <w:t xml:space="preserve">models the fluid domain in its entirety, </w:t>
      </w:r>
      <w:r w:rsidR="002F7D77">
        <w:t xml:space="preserve">including </w:t>
      </w:r>
      <w:r>
        <w:t xml:space="preserve">all the way </w:t>
      </w:r>
      <w:r w:rsidR="00A418F6">
        <w:t xml:space="preserve">up to wall </w:t>
      </w:r>
      <w:r w:rsidR="002F7D77">
        <w:t>boundaries.  T</w:t>
      </w:r>
      <w:r w:rsidR="0003289D">
        <w:t>he two other</w:t>
      </w:r>
      <w:r>
        <w:t xml:space="preserve"> models</w:t>
      </w:r>
      <w:r w:rsidR="002F7D77">
        <w:t>, by contrast,</w:t>
      </w:r>
      <w:r>
        <w:t xml:space="preserve"> utilize wall functions to simplify the already complex boundary layer region.  Use of the LRN </w:t>
      </w:r>
      <w:r>
        <w:rPr>
          <w:i/>
        </w:rPr>
        <w:t>k-ε</w:t>
      </w:r>
      <w:r>
        <w:t xml:space="preserve"> model requires considerably more boundary layer mesh </w:t>
      </w:r>
      <w:r w:rsidR="0003289D">
        <w:t>elements which</w:t>
      </w:r>
      <w:r>
        <w:t xml:space="preserve"> in turn give</w:t>
      </w:r>
      <w:r w:rsidR="002F7D77">
        <w:t>s</w:t>
      </w:r>
      <w:r>
        <w:t xml:space="preserve"> rise to </w:t>
      </w:r>
      <w:r w:rsidR="002F7D77">
        <w:t xml:space="preserve">added computational cost, stability issues, and meshing difficulties.  Given the desire to produce as efficient a model as possible with the coupled model, the LRN </w:t>
      </w:r>
      <w:r w:rsidR="002F7D77">
        <w:rPr>
          <w:i/>
        </w:rPr>
        <w:t>k-ε</w:t>
      </w:r>
      <w:r w:rsidR="002F7D77">
        <w:t xml:space="preserve"> turbulence model was considered too expensive for use.</w:t>
      </w:r>
    </w:p>
    <w:p w14:paraId="5D709933" w14:textId="2E2C0C2A" w:rsidR="002370C1" w:rsidRPr="002370C1" w:rsidRDefault="002370C1" w:rsidP="00D04A6C">
      <w:r>
        <w:t xml:space="preserve">The two remaining </w:t>
      </w:r>
      <w:r w:rsidR="00BB0AF3">
        <w:t xml:space="preserve">turbulence </w:t>
      </w:r>
      <w:r>
        <w:t xml:space="preserve">models were both tested on simplified proof-of-concept models and the completed 3D model.  In the simplified models the </w:t>
      </w:r>
      <w:r>
        <w:rPr>
          <w:i/>
        </w:rPr>
        <w:t>k-ω</w:t>
      </w:r>
      <w:r>
        <w:t xml:space="preserve"> model displayed a marginally faster convergence rate than the </w:t>
      </w:r>
      <w:r>
        <w:rPr>
          <w:i/>
        </w:rPr>
        <w:t>k-ε</w:t>
      </w:r>
      <w:r>
        <w:t xml:space="preserve"> model.  In the 3D model, however, the </w:t>
      </w:r>
      <w:r>
        <w:rPr>
          <w:i/>
        </w:rPr>
        <w:t>k-ω</w:t>
      </w:r>
      <w:r>
        <w:t xml:space="preserve"> suffered from stability issues resultant of the high-aspect ratio mesh elements in the narrow coolant channel.  These effects were especially pronounced in corners between the fuel plate and side plates where inter-element mesh structure</w:t>
      </w:r>
      <w:r w:rsidR="00A418F6">
        <w:t>s</w:t>
      </w:r>
      <w:r>
        <w:t xml:space="preserve"> often became mangled.  The </w:t>
      </w:r>
      <w:r>
        <w:rPr>
          <w:i/>
        </w:rPr>
        <w:t>k-ε</w:t>
      </w:r>
      <w:r>
        <w:t xml:space="preserve"> model thus proved the most stable and robust of the available turbulence models.</w:t>
      </w:r>
    </w:p>
    <w:p w14:paraId="69CDAE72" w14:textId="5B9E7C8F" w:rsidR="00185CAC" w:rsidRDefault="0099654F" w:rsidP="00D04A6C">
      <w:r>
        <w:t xml:space="preserve">  </w:t>
      </w:r>
      <w:r w:rsidR="00F4593D">
        <w:t>Both models consider variable-property flow in which coolant properties are given as functions of temperature.  In order to model such a flow,</w:t>
      </w:r>
      <w:r w:rsidR="00185CAC">
        <w:t xml:space="preserve"> </w:t>
      </w:r>
      <w:r w:rsidR="00145095">
        <w:t>the</w:t>
      </w:r>
      <w:r w:rsidR="00F4593D">
        <w:t xml:space="preserve"> use of the compressible N-S equations is required</w:t>
      </w:r>
      <w:r w:rsidR="00145095">
        <w:t xml:space="preserve">.  </w:t>
      </w:r>
      <w:r w:rsidR="00185CAC">
        <w:t xml:space="preserve">Favre mass-averaging is used to </w:t>
      </w:r>
      <w:r w:rsidR="00F4593D">
        <w:t>decompose flow variables in lieu of</w:t>
      </w:r>
      <w:r w:rsidR="00185CAC">
        <w:t xml:space="preserve"> the traditional Reynolds time</w:t>
      </w:r>
      <w:r w:rsidR="00D4731C">
        <w:t>-</w:t>
      </w:r>
      <w:r w:rsidR="00F4593D">
        <w:t>averaging which is insufficient for compressible flow</w:t>
      </w:r>
      <w:r w:rsidR="00185CAC">
        <w:t xml:space="preserve">.  </w:t>
      </w:r>
      <w:r w:rsidR="00F4593D">
        <w:t xml:space="preserve">Reynolds time-averaging is still used, not only to define the Favre averages, but also in the manipulation of the N-S equations.  </w:t>
      </w:r>
      <w:r w:rsidR="00185CAC">
        <w:t>The final set of equations</w:t>
      </w:r>
      <w:r w:rsidR="00F4593D">
        <w:t>, therefore,</w:t>
      </w:r>
      <w:r w:rsidR="00185CAC">
        <w:t xml:space="preserve"> will still be </w:t>
      </w:r>
      <w:r w:rsidR="00145095">
        <w:t>referred to as</w:t>
      </w:r>
      <w:r w:rsidR="00F4593D">
        <w:t xml:space="preserve"> the RANS equations.</w:t>
      </w:r>
    </w:p>
    <w:p w14:paraId="4B549043" w14:textId="484E5219" w:rsidR="0011318B" w:rsidRDefault="00185CAC" w:rsidP="00D04A6C">
      <w:r>
        <w:t>In Favre</w:t>
      </w:r>
      <w:r w:rsidR="005737CF">
        <w:t xml:space="preserve"> </w:t>
      </w:r>
      <w:r>
        <w:t>averaging</w:t>
      </w:r>
      <w:r w:rsidR="005737CF">
        <w:t xml:space="preserve"> </w:t>
      </w:r>
      <w:r w:rsidR="002C253B">
        <w:t>flow variables</w:t>
      </w:r>
      <w:r w:rsidR="00256E20">
        <w:t xml:space="preserve">, </w:t>
      </w:r>
      <w:r w:rsidR="00256E20">
        <w:rPr>
          <w:i/>
        </w:rPr>
        <w:t>ϕ</w:t>
      </w:r>
      <w:r w:rsidR="00256E20">
        <w:t>,</w:t>
      </w:r>
      <w:r w:rsidR="002C253B">
        <w:t xml:space="preserve"> are</w:t>
      </w:r>
      <w:r w:rsidR="005737CF">
        <w:t xml:space="preserve"> broken down</w:t>
      </w:r>
      <w:r w:rsidR="0011318B">
        <w:t xml:space="preserve"> into mass-averaged</w:t>
      </w:r>
      <w:r w:rsidR="005737CF">
        <w:t xml:space="preserve">, </w:t>
      </w:r>
      <w:r w:rsidR="00256E20" w:rsidRPr="00E4172B">
        <w:rPr>
          <w:position w:val="-10"/>
        </w:rPr>
        <w:object w:dxaOrig="220" w:dyaOrig="360" w14:anchorId="25E12732">
          <v:shape id="_x0000_i1094" type="#_x0000_t75" style="width:11.3pt;height:18.25pt" o:ole="">
            <v:imagedata r:id="rId174" o:title=""/>
          </v:shape>
          <o:OLEObject Type="Embed" ProgID="Equation.3" ShapeID="_x0000_i1094" DrawAspect="Content" ObjectID="_1457171746" r:id="rId175"/>
        </w:object>
      </w:r>
      <w:r w:rsidR="00256E20">
        <w:t>,</w:t>
      </w:r>
      <w:r w:rsidR="0011318B">
        <w:t xml:space="preserve"> and fluctuating components</w:t>
      </w:r>
      <w:r w:rsidR="00256E20">
        <w:t xml:space="preserve">, </w:t>
      </w:r>
      <w:r w:rsidR="00256E20" w:rsidRPr="00E4172B">
        <w:rPr>
          <w:position w:val="-10"/>
        </w:rPr>
        <w:object w:dxaOrig="279" w:dyaOrig="320" w14:anchorId="4421CDEC">
          <v:shape id="_x0000_i1095" type="#_x0000_t75" style="width:13.45pt;height:16.1pt" o:ole="">
            <v:imagedata r:id="rId43" o:title=""/>
          </v:shape>
          <o:OLEObject Type="Embed" ProgID="Equation.3" ShapeID="_x0000_i1095" DrawAspect="Content" ObjectID="_1457171747" r:id="rId176"/>
        </w:object>
      </w:r>
      <w:r w:rsidR="00256E20">
        <w:t>, such that</w:t>
      </w:r>
    </w:p>
    <w:p w14:paraId="15745C90" w14:textId="77777777" w:rsidR="00256E20" w:rsidRDefault="00256E20" w:rsidP="00256E20">
      <w:pPr>
        <w:pStyle w:val="numberedeqnstyle"/>
      </w:pPr>
      <w:r w:rsidRPr="00A025AE">
        <w:tab/>
      </w:r>
      <w:r w:rsidRPr="00C74352">
        <w:rPr>
          <w:position w:val="-10"/>
        </w:rPr>
        <w:object w:dxaOrig="960" w:dyaOrig="360" w14:anchorId="5CB7E260">
          <v:shape id="_x0000_i1096" type="#_x0000_t75" style="width:48.9pt;height:16.1pt" o:ole="">
            <v:imagedata r:id="rId177" o:title=""/>
          </v:shape>
          <o:OLEObject Type="Embed" ProgID="Equation.3" ShapeID="_x0000_i1096" DrawAspect="Content" ObjectID="_1457171748" r:id="rId178"/>
        </w:object>
      </w:r>
      <w:r>
        <w:tab/>
      </w:r>
      <w:r>
        <w:fldChar w:fldCharType="begin"/>
      </w:r>
      <w:bookmarkStart w:id="154" w:name="_Ref381273278"/>
      <w:bookmarkEnd w:id="154"/>
      <w:r>
        <w:instrText xml:space="preserve"> LISTNUM EQN \l 2 </w:instrText>
      </w:r>
      <w:r>
        <w:fldChar w:fldCharType="end"/>
      </w:r>
      <w:r>
        <w:t>)</w:t>
      </w:r>
    </w:p>
    <w:p w14:paraId="735AA74D" w14:textId="2C89684F" w:rsidR="00480324" w:rsidRDefault="00256E20" w:rsidP="00480324">
      <w:pPr>
        <w:ind w:firstLine="0"/>
      </w:pPr>
      <w:r>
        <w:t>where the mass-averaged term is given by</w:t>
      </w:r>
    </w:p>
    <w:p w14:paraId="6932800B" w14:textId="77777777" w:rsidR="00256E20" w:rsidRDefault="00256E20" w:rsidP="00256E20">
      <w:pPr>
        <w:pStyle w:val="numberedeqnstyle"/>
      </w:pPr>
      <w:r w:rsidRPr="00A025AE">
        <w:tab/>
      </w:r>
      <w:r w:rsidR="00480324" w:rsidRPr="00256E20">
        <w:rPr>
          <w:position w:val="-26"/>
        </w:rPr>
        <w:object w:dxaOrig="740" w:dyaOrig="660" w14:anchorId="656B874D">
          <v:shape id="_x0000_i1097" type="#_x0000_t75" style="width:37.05pt;height:29pt" o:ole="">
            <v:imagedata r:id="rId179" o:title=""/>
          </v:shape>
          <o:OLEObject Type="Embed" ProgID="Equation.3" ShapeID="_x0000_i1097" DrawAspect="Content" ObjectID="_1457171749" r:id="rId180"/>
        </w:object>
      </w:r>
      <w:r>
        <w:tab/>
      </w:r>
      <w:r>
        <w:fldChar w:fldCharType="begin"/>
      </w:r>
      <w:bookmarkStart w:id="155" w:name="_Ref381272507"/>
      <w:bookmarkEnd w:id="155"/>
      <w:r>
        <w:instrText xml:space="preserve"> LISTNUM EQN \l 2 </w:instrText>
      </w:r>
      <w:r>
        <w:fldChar w:fldCharType="end"/>
      </w:r>
      <w:r>
        <w:t>)</w:t>
      </w:r>
    </w:p>
    <w:p w14:paraId="641CFBF1" w14:textId="46C40FD0" w:rsidR="00256E20" w:rsidRPr="00480324" w:rsidRDefault="00256E20" w:rsidP="00256E20">
      <w:pPr>
        <w:ind w:firstLine="0"/>
      </w:pPr>
      <w:r>
        <w:t>where overbars indicate time-averaged quantities.</w:t>
      </w:r>
      <w:r w:rsidR="00D4731C">
        <w:t xml:space="preserve">  </w:t>
      </w:r>
      <w:r w:rsidR="00480324">
        <w:t xml:space="preserve">Multiplying Eqn. </w:t>
      </w:r>
      <w:r w:rsidR="00480324">
        <w:fldChar w:fldCharType="begin"/>
      </w:r>
      <w:r w:rsidR="00480324">
        <w:instrText xml:space="preserve"> REF _Ref381273278 \r \h </w:instrText>
      </w:r>
      <w:r w:rsidR="00480324">
        <w:fldChar w:fldCharType="separate"/>
      </w:r>
      <w:r w:rsidR="001C5EC1">
        <w:t>(5.8</w:t>
      </w:r>
      <w:r w:rsidR="00480324">
        <w:fldChar w:fldCharType="end"/>
      </w:r>
      <w:r w:rsidR="00480324">
        <w:t xml:space="preserve">) through by </w:t>
      </w:r>
      <w:r w:rsidR="00480324">
        <w:rPr>
          <w:i/>
        </w:rPr>
        <w:t>ρ</w:t>
      </w:r>
      <w:r w:rsidR="00480324">
        <w:t xml:space="preserve"> and time-averaging each term yields</w:t>
      </w:r>
    </w:p>
    <w:p w14:paraId="2D94D8E6" w14:textId="1C3AFDBD" w:rsidR="00A969D3" w:rsidRDefault="00A969D3" w:rsidP="00E33FF2">
      <w:pPr>
        <w:pStyle w:val="numberedeqnstyle"/>
      </w:pPr>
      <w:r w:rsidRPr="00A025AE">
        <w:tab/>
      </w:r>
      <w:r w:rsidR="00480324" w:rsidRPr="00C74352">
        <w:rPr>
          <w:position w:val="-10"/>
        </w:rPr>
        <w:object w:dxaOrig="1380" w:dyaOrig="360" w14:anchorId="2661FD78">
          <v:shape id="_x0000_i1098" type="#_x0000_t75" style="width:69.3pt;height:16.1pt" o:ole="">
            <v:imagedata r:id="rId181" o:title=""/>
          </v:shape>
          <o:OLEObject Type="Embed" ProgID="Equation.3" ShapeID="_x0000_i1098" DrawAspect="Content" ObjectID="_1457171750" r:id="rId182"/>
        </w:object>
      </w:r>
      <w:r w:rsidR="00E33FF2">
        <w:t>.</w:t>
      </w:r>
      <w:r>
        <w:tab/>
      </w:r>
      <w:r>
        <w:fldChar w:fldCharType="begin"/>
      </w:r>
      <w:bookmarkStart w:id="156" w:name="_Ref381359295"/>
      <w:bookmarkEnd w:id="156"/>
      <w:r>
        <w:instrText xml:space="preserve"> LISTNUM EQN \l 2 </w:instrText>
      </w:r>
      <w:r>
        <w:fldChar w:fldCharType="end"/>
      </w:r>
      <w:r>
        <w:t>)</w:t>
      </w:r>
    </w:p>
    <w:p w14:paraId="4953561A" w14:textId="598931AD" w:rsidR="00E33FF2" w:rsidRDefault="00E33FF2" w:rsidP="00E33FF2">
      <w:pPr>
        <w:pStyle w:val="numberedeqnstyle"/>
      </w:pPr>
      <w:r>
        <w:lastRenderedPageBreak/>
        <w:t>The mass-averaged flow variable is unchanged since it is already composed entirely of time-averaged components and the time</w:t>
      </w:r>
      <w:r w:rsidR="00412216">
        <w:t xml:space="preserve"> average of a time-</w:t>
      </w:r>
      <w:r>
        <w:t>average</w:t>
      </w:r>
      <w:r w:rsidR="00412216">
        <w:t>d term</w:t>
      </w:r>
      <w:r>
        <w:t xml:space="preserve"> does not change.  Applying the relation in Eqn. </w:t>
      </w:r>
      <w:r>
        <w:fldChar w:fldCharType="begin"/>
      </w:r>
      <w:r>
        <w:instrText xml:space="preserve"> REF _Ref381272507 \r \h </w:instrText>
      </w:r>
      <w:r>
        <w:fldChar w:fldCharType="separate"/>
      </w:r>
      <w:r w:rsidR="001C5EC1">
        <w:t>(5.9</w:t>
      </w:r>
      <w:r>
        <w:fldChar w:fldCharType="end"/>
      </w:r>
      <w:r>
        <w:t xml:space="preserve">) </w:t>
      </w:r>
      <w:r w:rsidR="00F4593D">
        <w:t xml:space="preserve">to Eqn. </w:t>
      </w:r>
      <w:r w:rsidR="00F4593D">
        <w:fldChar w:fldCharType="begin"/>
      </w:r>
      <w:r w:rsidR="00F4593D">
        <w:instrText xml:space="preserve"> REF _Ref381359295 \r \h </w:instrText>
      </w:r>
      <w:r w:rsidR="00F4593D">
        <w:fldChar w:fldCharType="separate"/>
      </w:r>
      <w:r w:rsidR="001C5EC1">
        <w:t>(5.10</w:t>
      </w:r>
      <w:r w:rsidR="00F4593D">
        <w:fldChar w:fldCharType="end"/>
      </w:r>
      <w:r w:rsidR="00F4593D">
        <w:t xml:space="preserve">) </w:t>
      </w:r>
      <w:r>
        <w:t>dictates that</w:t>
      </w:r>
      <w:r w:rsidR="00F4593D">
        <w:t xml:space="preserve"> the left-hand side equals the first term on the right-hand side such that</w:t>
      </w:r>
    </w:p>
    <w:p w14:paraId="18189D35" w14:textId="2E90802D" w:rsidR="00AB6BA7" w:rsidRDefault="00A969D3" w:rsidP="00145095">
      <w:pPr>
        <w:pStyle w:val="numberedeqnstyle"/>
      </w:pPr>
      <w:r w:rsidRPr="00A025AE">
        <w:tab/>
      </w:r>
      <w:r w:rsidRPr="00C74352">
        <w:rPr>
          <w:position w:val="-10"/>
        </w:rPr>
        <w:object w:dxaOrig="740" w:dyaOrig="360" w14:anchorId="33388E0F">
          <v:shape id="_x0000_i1099" type="#_x0000_t75" style="width:37.05pt;height:16.1pt" o:ole="">
            <v:imagedata r:id="rId183" o:title=""/>
          </v:shape>
          <o:OLEObject Type="Embed" ProgID="Equation.3" ShapeID="_x0000_i1099" DrawAspect="Content" ObjectID="_1457171751" r:id="rId184"/>
        </w:object>
      </w:r>
      <w:r>
        <w:tab/>
      </w:r>
      <w:r>
        <w:fldChar w:fldCharType="begin"/>
      </w:r>
      <w:r>
        <w:instrText xml:space="preserve"> LISTNUM EQN \l 2 </w:instrText>
      </w:r>
      <w:r>
        <w:fldChar w:fldCharType="end"/>
      </w:r>
      <w:r w:rsidR="00E33FF2">
        <w:t>)</w:t>
      </w:r>
    </w:p>
    <w:p w14:paraId="7173A2F0" w14:textId="57AFA15C" w:rsidR="00094E13" w:rsidRDefault="004E648B" w:rsidP="004E648B">
      <w:r>
        <w:t>The RANS equations can be derived by beginning with the</w:t>
      </w:r>
      <w:r w:rsidR="00094E13">
        <w:t xml:space="preserve"> steady-state,</w:t>
      </w:r>
      <w:r>
        <w:t xml:space="preserve"> </w:t>
      </w:r>
      <w:r w:rsidR="00E4389C">
        <w:t>compressible</w:t>
      </w:r>
      <w:r w:rsidR="00094E13">
        <w:t xml:space="preserve"> N-S equations</w:t>
      </w:r>
      <w:r w:rsidR="00E12770">
        <w:t xml:space="preserve"> for divergence-free flow</w:t>
      </w:r>
      <w:r w:rsidR="00094E13">
        <w:t>:</w:t>
      </w:r>
    </w:p>
    <w:p w14:paraId="184FEADB" w14:textId="643F72EA" w:rsidR="00094E13" w:rsidRDefault="004E648B" w:rsidP="00094E13">
      <w:pPr>
        <w:pStyle w:val="numberedeqnstyle"/>
      </w:pPr>
      <w:r>
        <w:t xml:space="preserve"> </w:t>
      </w:r>
      <w:r w:rsidR="00094E13" w:rsidRPr="00A025AE">
        <w:tab/>
      </w:r>
      <w:r w:rsidR="00A969D3" w:rsidRPr="0085341F">
        <w:rPr>
          <w:position w:val="-10"/>
        </w:rPr>
        <w:object w:dxaOrig="1040" w:dyaOrig="320" w14:anchorId="38D68242">
          <v:shape id="_x0000_i1100" type="#_x0000_t75" style="width:53.75pt;height:14.5pt" o:ole="">
            <v:imagedata r:id="rId185" o:title=""/>
          </v:shape>
          <o:OLEObject Type="Embed" ProgID="Equation.3" ShapeID="_x0000_i1100" DrawAspect="Content" ObjectID="_1457171752" r:id="rId186"/>
        </w:object>
      </w:r>
      <w:r w:rsidR="00094E13">
        <w:tab/>
      </w:r>
      <w:r w:rsidR="00094E13">
        <w:fldChar w:fldCharType="begin"/>
      </w:r>
      <w:bookmarkStart w:id="157" w:name="_Ref378943734"/>
      <w:bookmarkEnd w:id="157"/>
      <w:r w:rsidR="00094E13">
        <w:instrText xml:space="preserve"> LISTNUM EQN \l 2 </w:instrText>
      </w:r>
      <w:r w:rsidR="00094E13">
        <w:fldChar w:fldCharType="end"/>
      </w:r>
      <w:r w:rsidR="00094E13">
        <w:t>a)</w:t>
      </w:r>
    </w:p>
    <w:p w14:paraId="7AC47FD1" w14:textId="44108AE3" w:rsidR="00094E13" w:rsidRDefault="00094E13" w:rsidP="00094E13">
      <w:pPr>
        <w:pStyle w:val="numberedeqnstyle"/>
      </w:pPr>
      <w:r w:rsidRPr="00A025AE">
        <w:tab/>
      </w:r>
      <w:r w:rsidR="00F4593D" w:rsidRPr="0085341F">
        <w:rPr>
          <w:position w:val="-26"/>
        </w:rPr>
        <w:object w:dxaOrig="4380" w:dyaOrig="639" w14:anchorId="1EB4022F">
          <v:shape id="_x0000_i1101" type="#_x0000_t75" style="width:221.9pt;height:29pt" o:ole="">
            <v:imagedata r:id="rId187" o:title=""/>
          </v:shape>
          <o:OLEObject Type="Embed" ProgID="Equation.3" ShapeID="_x0000_i1101" DrawAspect="Content" ObjectID="_1457171753" r:id="rId188"/>
        </w:object>
      </w:r>
      <w:r>
        <w:tab/>
      </w:r>
      <w:r>
        <w:fldChar w:fldCharType="begin"/>
      </w:r>
      <w:r>
        <w:instrText xml:space="preserve"> REF _Ref378943734 \r \h </w:instrText>
      </w:r>
      <w:r>
        <w:fldChar w:fldCharType="separate"/>
      </w:r>
      <w:r w:rsidR="001C5EC1">
        <w:t>(5.12</w:t>
      </w:r>
      <w:r>
        <w:fldChar w:fldCharType="end"/>
      </w:r>
      <w:r>
        <w:t>b)</w:t>
      </w:r>
      <w:r w:rsidR="00145095">
        <w:t xml:space="preserve"> </w:t>
      </w:r>
    </w:p>
    <w:p w14:paraId="71285C99" w14:textId="36AA9B5C" w:rsidR="00094E13" w:rsidRDefault="00094E13" w:rsidP="00094E13">
      <w:pPr>
        <w:ind w:firstLine="0"/>
      </w:pPr>
      <w:r>
        <w:t xml:space="preserve">where </w:t>
      </w:r>
      <w:r>
        <w:rPr>
          <w:b/>
          <w:i/>
        </w:rPr>
        <w:t>u</w:t>
      </w:r>
      <w:r>
        <w:t xml:space="preserve"> is the velocity vector, the </w:t>
      </w:r>
      <w:r w:rsidR="00C8273B">
        <w:t xml:space="preserve">first </w:t>
      </w:r>
      <w:r>
        <w:t>bracketed term</w:t>
      </w:r>
      <w:r w:rsidR="00F4593D">
        <w:t xml:space="preserve"> in the momentum equation</w:t>
      </w:r>
      <w:r>
        <w:t xml:space="preserve">, is the </w:t>
      </w:r>
      <w:r w:rsidR="00DB31B1">
        <w:t>viscous</w:t>
      </w:r>
      <w:r w:rsidR="00580811">
        <w:t xml:space="preserve"> stress tensor,</w:t>
      </w:r>
      <w:r w:rsidR="00C576C4">
        <w:t xml:space="preserve"> a superscript </w:t>
      </w:r>
      <w:r w:rsidR="00C576C4">
        <w:rPr>
          <w:i/>
        </w:rPr>
        <w:t>T</w:t>
      </w:r>
      <w:r w:rsidR="00C576C4">
        <w:t xml:space="preserve"> de</w:t>
      </w:r>
      <w:r w:rsidR="00DB31B1">
        <w:t>notes the transpose of a matrix</w:t>
      </w:r>
      <w:r w:rsidR="00580811">
        <w:t xml:space="preserve">, </w:t>
      </w:r>
      <w:r w:rsidR="00580811" w:rsidRPr="0085341F">
        <w:t xml:space="preserve">and the </w:t>
      </w:r>
      <w:r w:rsidR="00C8273B">
        <w:t>second bracketed</w:t>
      </w:r>
      <w:r w:rsidR="00580811" w:rsidRPr="0085341F">
        <w:t xml:space="preserve"> term </w:t>
      </w:r>
      <w:r w:rsidR="0085341F">
        <w:t>of the momentum equation</w:t>
      </w:r>
      <w:r w:rsidR="00580811" w:rsidRPr="0085341F">
        <w:t xml:space="preserve"> accounts for </w:t>
      </w:r>
      <w:r w:rsidR="00F4593D">
        <w:t>compressibility effects</w:t>
      </w:r>
      <w:r w:rsidR="004A0C9F">
        <w:t>.</w:t>
      </w:r>
      <w:r w:rsidR="0011318B">
        <w:t xml:space="preserve">  Inspection of the </w:t>
      </w:r>
      <w:r w:rsidR="00A969D3">
        <w:t>compressible momentum equation shows that it is</w:t>
      </w:r>
      <w:r w:rsidR="0011318B">
        <w:t xml:space="preserve"> identical to </w:t>
      </w:r>
      <w:r w:rsidR="00A969D3">
        <w:t>the incompressible momentum equation</w:t>
      </w:r>
      <w:r w:rsidR="0011318B">
        <w:t xml:space="preserve"> except for the addition of the final term on the right-hand side of Eqn. </w:t>
      </w:r>
      <w:r w:rsidR="0011318B">
        <w:fldChar w:fldCharType="begin"/>
      </w:r>
      <w:r w:rsidR="0011318B">
        <w:instrText xml:space="preserve"> REF _Ref378943734 \r \h </w:instrText>
      </w:r>
      <w:r w:rsidR="0011318B">
        <w:fldChar w:fldCharType="separate"/>
      </w:r>
      <w:r w:rsidR="001C5EC1">
        <w:t>(5.12</w:t>
      </w:r>
      <w:r w:rsidR="0011318B">
        <w:fldChar w:fldCharType="end"/>
      </w:r>
      <w:r w:rsidR="0011318B">
        <w:t>b).</w:t>
      </w:r>
      <w:r w:rsidR="0062312F">
        <w:t xml:space="preserve">  The left-hand side of Eqn. </w:t>
      </w:r>
      <w:r w:rsidR="0062312F">
        <w:fldChar w:fldCharType="begin"/>
      </w:r>
      <w:r w:rsidR="0062312F">
        <w:instrText xml:space="preserve"> REF _Ref378943734 \r \h </w:instrText>
      </w:r>
      <w:r w:rsidR="0062312F">
        <w:fldChar w:fldCharType="separate"/>
      </w:r>
      <w:r w:rsidR="001C5EC1">
        <w:t>(5.12</w:t>
      </w:r>
      <w:r w:rsidR="0062312F">
        <w:fldChar w:fldCharType="end"/>
      </w:r>
      <w:r w:rsidR="0062312F">
        <w:t>b) can be rewritten in conservation form to produce</w:t>
      </w:r>
    </w:p>
    <w:p w14:paraId="3BD13BA6" w14:textId="0A108F57" w:rsidR="0062312F" w:rsidRDefault="0062312F" w:rsidP="0062312F">
      <w:pPr>
        <w:pStyle w:val="numberedeqnstyle"/>
      </w:pPr>
      <w:r w:rsidRPr="00A025AE">
        <w:tab/>
      </w:r>
      <w:r w:rsidR="00EF464B" w:rsidRPr="00094E13">
        <w:rPr>
          <w:position w:val="-10"/>
        </w:rPr>
        <w:object w:dxaOrig="3019" w:dyaOrig="360" w14:anchorId="1B4B88F1">
          <v:shape id="_x0000_i1102" type="#_x0000_t75" style="width:154.75pt;height:15.6pt" o:ole="">
            <v:imagedata r:id="rId189" o:title=""/>
          </v:shape>
          <o:OLEObject Type="Embed" ProgID="Equation.3" ShapeID="_x0000_i1102" DrawAspect="Content" ObjectID="_1457171754" r:id="rId190"/>
        </w:object>
      </w:r>
      <w:r>
        <w:tab/>
      </w:r>
      <w:r>
        <w:fldChar w:fldCharType="begin"/>
      </w:r>
      <w:bookmarkStart w:id="158" w:name="_Ref379021711"/>
      <w:bookmarkEnd w:id="158"/>
      <w:r>
        <w:instrText xml:space="preserve"> LISTNUM EQN \l 2 </w:instrText>
      </w:r>
      <w:r>
        <w:fldChar w:fldCharType="end"/>
      </w:r>
      <w:r>
        <w:t>)</w:t>
      </w:r>
    </w:p>
    <w:p w14:paraId="22F9D6DA" w14:textId="1609E0B3" w:rsidR="0062312F" w:rsidRPr="00C576C4" w:rsidRDefault="00CE6EAB" w:rsidP="00CE6EAB">
      <w:pPr>
        <w:ind w:firstLine="0"/>
      </w:pPr>
      <w:r>
        <w:t xml:space="preserve">where the final term in Eqn. </w:t>
      </w:r>
      <w:r>
        <w:fldChar w:fldCharType="begin"/>
      </w:r>
      <w:r>
        <w:instrText xml:space="preserve"> REF _Ref379021711 \r \h </w:instrText>
      </w:r>
      <w:r>
        <w:fldChar w:fldCharType="separate"/>
      </w:r>
      <w:r w:rsidR="001C5EC1">
        <w:t>(5.13</w:t>
      </w:r>
      <w:r>
        <w:fldChar w:fldCharType="end"/>
      </w:r>
      <w:r w:rsidR="0011318B">
        <w:t>)</w:t>
      </w:r>
      <w:r>
        <w:t xml:space="preserve"> is zero given the continuity condition in Eqn. </w:t>
      </w:r>
      <w:r>
        <w:fldChar w:fldCharType="begin"/>
      </w:r>
      <w:r>
        <w:instrText xml:space="preserve"> REF _Ref378943734 \r \h </w:instrText>
      </w:r>
      <w:r>
        <w:fldChar w:fldCharType="separate"/>
      </w:r>
      <w:r w:rsidR="001C5EC1">
        <w:t>(5.12</w:t>
      </w:r>
      <w:r>
        <w:fldChar w:fldCharType="end"/>
      </w:r>
      <w:r>
        <w:t>a).</w:t>
      </w:r>
      <w:r w:rsidR="00E12770">
        <w:t xml:space="preserve">  The momentum equation then becomes</w:t>
      </w:r>
    </w:p>
    <w:p w14:paraId="0EC76258" w14:textId="1F3AC081" w:rsidR="000F4CE3" w:rsidRDefault="000F4CE3" w:rsidP="000F4CE3">
      <w:pPr>
        <w:pStyle w:val="numberedeqnstyle"/>
      </w:pPr>
      <w:r w:rsidRPr="00A025AE">
        <w:tab/>
      </w:r>
      <w:r w:rsidR="00B67306" w:rsidRPr="0085341F">
        <w:rPr>
          <w:position w:val="-26"/>
        </w:rPr>
        <w:object w:dxaOrig="4620" w:dyaOrig="639" w14:anchorId="66F7BB65">
          <v:shape id="_x0000_i1103" type="#_x0000_t75" style="width:235.9pt;height:27.95pt" o:ole="">
            <v:imagedata r:id="rId191" o:title=""/>
          </v:shape>
          <o:OLEObject Type="Embed" ProgID="Equation.3" ShapeID="_x0000_i1103" DrawAspect="Content" ObjectID="_1457171755" r:id="rId192"/>
        </w:object>
      </w:r>
      <w:r w:rsidR="00241BA4">
        <w:t>.</w:t>
      </w:r>
      <w:r>
        <w:tab/>
      </w:r>
      <w:r>
        <w:fldChar w:fldCharType="begin"/>
      </w:r>
      <w:bookmarkStart w:id="159" w:name="_Ref379027253"/>
      <w:bookmarkEnd w:id="159"/>
      <w:r>
        <w:instrText xml:space="preserve"> LISTNUM EQN \l 2 </w:instrText>
      </w:r>
      <w:r>
        <w:fldChar w:fldCharType="end"/>
      </w:r>
      <w:r>
        <w:t>)</w:t>
      </w:r>
    </w:p>
    <w:p w14:paraId="4049A3C8" w14:textId="184E9EB9" w:rsidR="00AB6BA7" w:rsidRPr="00FF7952" w:rsidRDefault="00F81CD9" w:rsidP="004E648B">
      <w:r>
        <w:t xml:space="preserve">The velocity vector can be rewritten </w:t>
      </w:r>
      <w:r w:rsidR="00F4593D">
        <w:t>via Favre averaging in decomposed form:</w:t>
      </w:r>
    </w:p>
    <w:p w14:paraId="037A4122" w14:textId="17DBC75C" w:rsidR="00E84891" w:rsidRDefault="00E84891" w:rsidP="00E84891">
      <w:pPr>
        <w:pStyle w:val="numberedeqnstyle"/>
      </w:pPr>
      <w:r w:rsidRPr="00A025AE">
        <w:tab/>
      </w:r>
      <w:r w:rsidR="002C2391" w:rsidRPr="00E84891">
        <w:rPr>
          <w:position w:val="-6"/>
        </w:rPr>
        <w:object w:dxaOrig="960" w:dyaOrig="279" w14:anchorId="33EF6ECB">
          <v:shape id="_x0000_i1104" type="#_x0000_t75" style="width:48.9pt;height:12.35pt" o:ole="">
            <v:imagedata r:id="rId193" o:title=""/>
          </v:shape>
          <o:OLEObject Type="Embed" ProgID="Equation.3" ShapeID="_x0000_i1104" DrawAspect="Content" ObjectID="_1457171756" r:id="rId194"/>
        </w:object>
      </w:r>
      <w:r w:rsidR="00126E2E">
        <w:t>.</w:t>
      </w:r>
      <w:r>
        <w:tab/>
      </w:r>
      <w:r>
        <w:fldChar w:fldCharType="begin"/>
      </w:r>
      <w:r>
        <w:instrText xml:space="preserve"> LISTNUM EQN \l 2 </w:instrText>
      </w:r>
      <w:r>
        <w:fldChar w:fldCharType="end"/>
      </w:r>
      <w:r>
        <w:t>)</w:t>
      </w:r>
    </w:p>
    <w:p w14:paraId="29166122" w14:textId="6A42C405" w:rsidR="001149F2" w:rsidRDefault="005A0698" w:rsidP="00126E2E">
      <w:r>
        <w:t>The pressure can be similarly decomposed.  Substituting these</w:t>
      </w:r>
      <w:r w:rsidR="00A91414">
        <w:t xml:space="preserve"> decomposition</w:t>
      </w:r>
      <w:r>
        <w:t>s</w:t>
      </w:r>
      <w:r w:rsidR="00A91414">
        <w:t xml:space="preserve"> into Eqn. </w:t>
      </w:r>
      <w:r w:rsidR="00A91414">
        <w:fldChar w:fldCharType="begin"/>
      </w:r>
      <w:r w:rsidR="00A91414">
        <w:instrText xml:space="preserve"> REF _Ref379027253 \r \h </w:instrText>
      </w:r>
      <w:r w:rsidR="00A91414">
        <w:fldChar w:fldCharType="separate"/>
      </w:r>
      <w:r w:rsidR="001C5EC1">
        <w:t>(5.14</w:t>
      </w:r>
      <w:r w:rsidR="00A91414">
        <w:fldChar w:fldCharType="end"/>
      </w:r>
      <w:r w:rsidR="00A91414">
        <w:t>) produces</w:t>
      </w:r>
    </w:p>
    <w:p w14:paraId="1A572A9E" w14:textId="628BEA8B" w:rsidR="00A91414" w:rsidRDefault="00A91414" w:rsidP="005D089E">
      <w:pPr>
        <w:pStyle w:val="numberedeqnstyle"/>
      </w:pPr>
      <w:r w:rsidRPr="00A025AE">
        <w:tab/>
      </w:r>
      <w:r w:rsidR="00B67306" w:rsidRPr="003422AE">
        <w:rPr>
          <w:position w:val="-30"/>
        </w:rPr>
        <w:object w:dxaOrig="8360" w:dyaOrig="700" w14:anchorId="4EEE175B">
          <v:shape id="_x0000_i1105" type="#_x0000_t75" style="width:425pt;height:31.7pt" o:ole="">
            <v:imagedata r:id="rId195" o:title=""/>
          </v:shape>
          <o:OLEObject Type="Embed" ProgID="Equation.3" ShapeID="_x0000_i1105" DrawAspect="Content" ObjectID="_1457171757" r:id="rId196"/>
        </w:object>
      </w:r>
      <w:r>
        <w:tab/>
      </w:r>
      <w:r>
        <w:fldChar w:fldCharType="begin"/>
      </w:r>
      <w:r>
        <w:instrText xml:space="preserve"> LISTNUM EQN \l 2 </w:instrText>
      </w:r>
      <w:r>
        <w:fldChar w:fldCharType="end"/>
      </w:r>
      <w:r w:rsidR="005D089E">
        <w:t>)</w:t>
      </w:r>
    </w:p>
    <w:p w14:paraId="3245953F" w14:textId="4E85180E" w:rsidR="005D089E" w:rsidRPr="00231D53" w:rsidRDefault="005D089E" w:rsidP="005D089E">
      <w:pPr>
        <w:pStyle w:val="numberedeqnstyle"/>
        <w:ind w:firstLine="0"/>
      </w:pPr>
      <w:r>
        <w:t>where the term on the left-hand side when multiplied out becomes</w:t>
      </w:r>
    </w:p>
    <w:p w14:paraId="03FC3233" w14:textId="77777777" w:rsidR="005D089E" w:rsidRDefault="005D089E" w:rsidP="005D089E">
      <w:pPr>
        <w:pStyle w:val="numberedeqnstyle"/>
      </w:pPr>
      <w:r w:rsidRPr="00A025AE">
        <w:lastRenderedPageBreak/>
        <w:tab/>
      </w:r>
      <w:r w:rsidR="00412216" w:rsidRPr="00412216">
        <w:rPr>
          <w:position w:val="-28"/>
        </w:rPr>
        <w:object w:dxaOrig="3840" w:dyaOrig="660" w14:anchorId="0E162E55">
          <v:shape id="_x0000_i1106" type="#_x0000_t75" style="width:195.05pt;height:30.65pt" o:ole="">
            <v:imagedata r:id="rId197" o:title=""/>
          </v:shape>
          <o:OLEObject Type="Embed" ProgID="Equation.3" ShapeID="_x0000_i1106" DrawAspect="Content" ObjectID="_1457171758" r:id="rId198"/>
        </w:object>
      </w:r>
      <w:r>
        <w:t>.</w:t>
      </w:r>
      <w:r>
        <w:tab/>
      </w:r>
      <w:r>
        <w:fldChar w:fldCharType="begin"/>
      </w:r>
      <w:r>
        <w:instrText xml:space="preserve"> LISTNUM EQN \l 2 </w:instrText>
      </w:r>
      <w:r>
        <w:fldChar w:fldCharType="end"/>
      </w:r>
      <w:r>
        <w:t>)</w:t>
      </w:r>
    </w:p>
    <w:p w14:paraId="30018DEF" w14:textId="2EB5065B" w:rsidR="001E4E6D" w:rsidRDefault="003B43A8" w:rsidP="0010026F">
      <w:r>
        <w:t>The N-S equations are</w:t>
      </w:r>
      <w:r w:rsidR="00D04A6C">
        <w:t xml:space="preserve"> then time-averaged</w:t>
      </w:r>
      <w:r>
        <w:t xml:space="preserve">.  As stated before, the </w:t>
      </w:r>
      <w:r w:rsidR="00412216">
        <w:t xml:space="preserve">time </w:t>
      </w:r>
      <w:r>
        <w:t>average of a</w:t>
      </w:r>
      <w:r w:rsidR="00DF75FE">
        <w:t xml:space="preserve"> </w:t>
      </w:r>
      <w:r w:rsidR="00412216">
        <w:t>mass</w:t>
      </w:r>
      <w:r w:rsidR="00DF75FE">
        <w:t>-averaged component is itself</w:t>
      </w:r>
      <w:r w:rsidR="00412216">
        <w:t xml:space="preserve"> and the time average of a</w:t>
      </w:r>
      <w:r w:rsidR="00DF75FE">
        <w:t xml:space="preserve"> fluctuating component</w:t>
      </w:r>
      <w:r w:rsidR="00412216">
        <w:t xml:space="preserve"> </w:t>
      </w:r>
      <w:r w:rsidR="002B1521">
        <w:t xml:space="preserve">times the time-averaged density </w:t>
      </w:r>
      <w:r w:rsidR="00412216">
        <w:t>is zero</w:t>
      </w:r>
      <w:r w:rsidR="00DF75FE">
        <w:t>.</w:t>
      </w:r>
      <w:r w:rsidR="002A5BD3">
        <w:t xml:space="preserve">  This extends to terms on the right-hand side of the momentum equation multiplied by </w:t>
      </w:r>
      <w:r w:rsidR="002A5BD3">
        <w:rPr>
          <w:i/>
        </w:rPr>
        <w:t>μ</w:t>
      </w:r>
      <w:r w:rsidR="002A5BD3">
        <w:t xml:space="preserve"> which is dependent on density.</w:t>
      </w:r>
      <w:r w:rsidR="00DF75FE">
        <w:t xml:space="preserve">  The RANS momentum equation then reduces to</w:t>
      </w:r>
    </w:p>
    <w:p w14:paraId="15C9121F" w14:textId="0B6F11AD" w:rsidR="00065C85" w:rsidRDefault="00065C85" w:rsidP="00065C85">
      <w:pPr>
        <w:pStyle w:val="numberedeqnstyle"/>
      </w:pPr>
      <w:r w:rsidRPr="00A025AE">
        <w:tab/>
      </w:r>
      <w:r w:rsidR="00F5279E" w:rsidRPr="00412216">
        <w:rPr>
          <w:position w:val="-30"/>
        </w:rPr>
        <w:object w:dxaOrig="5700" w:dyaOrig="700" w14:anchorId="0FA70720">
          <v:shape id="_x0000_i1107" type="#_x0000_t75" style="width:289.05pt;height:31.7pt" o:ole="">
            <v:imagedata r:id="rId199" o:title=""/>
          </v:shape>
          <o:OLEObject Type="Embed" ProgID="Equation.3" ShapeID="_x0000_i1107" DrawAspect="Content" ObjectID="_1457171759" r:id="rId200"/>
        </w:object>
      </w:r>
      <w:r>
        <w:tab/>
      </w:r>
      <w:r>
        <w:fldChar w:fldCharType="begin"/>
      </w:r>
      <w:bookmarkStart w:id="160" w:name="_Ref379189519"/>
      <w:bookmarkEnd w:id="160"/>
      <w:r>
        <w:instrText xml:space="preserve"> LISTNUM EQN \l 2 </w:instrText>
      </w:r>
      <w:r>
        <w:fldChar w:fldCharType="end"/>
      </w:r>
      <w:r>
        <w:t>)</w:t>
      </w:r>
    </w:p>
    <w:p w14:paraId="21878CC4" w14:textId="75A605DE" w:rsidR="002B1521" w:rsidRDefault="00412216" w:rsidP="003E3DBB">
      <w:pPr>
        <w:ind w:firstLine="0"/>
      </w:pPr>
      <w:r>
        <w:t xml:space="preserve">where the time </w:t>
      </w:r>
      <w:r w:rsidR="003E3DBB">
        <w:t>average of the product of</w:t>
      </w:r>
      <w:r w:rsidR="002B1521">
        <w:t xml:space="preserve"> density,</w:t>
      </w:r>
      <w:r w:rsidR="003E3DBB">
        <w:t xml:space="preserve"> the fluctuating velocity component</w:t>
      </w:r>
      <w:r w:rsidR="002B1521">
        <w:t>,</w:t>
      </w:r>
      <w:r w:rsidR="003E3DBB">
        <w:t xml:space="preserve"> and its transpose is not necessarily zero. </w:t>
      </w:r>
      <w:r w:rsidR="002B1521">
        <w:t xml:space="preserve">The viscous stress tensor and the specific Favre-averaged Reynolds stress tensor can be </w:t>
      </w:r>
      <w:r w:rsidR="00F5279E">
        <w:t>written</w:t>
      </w:r>
      <w:r w:rsidR="00AC3CB8">
        <w:t>, respectively,</w:t>
      </w:r>
      <w:r w:rsidR="002B1521">
        <w:t xml:space="preserve"> as</w:t>
      </w:r>
    </w:p>
    <w:p w14:paraId="3E94C03A" w14:textId="58F35E22" w:rsidR="00AC048B" w:rsidRDefault="00AC048B" w:rsidP="00AC048B">
      <w:pPr>
        <w:pStyle w:val="numberedeqnstyle"/>
      </w:pPr>
      <w:r w:rsidRPr="00A025AE">
        <w:tab/>
      </w:r>
      <w:r w:rsidR="00F5279E" w:rsidRPr="009D726E">
        <w:rPr>
          <w:position w:val="-26"/>
        </w:rPr>
        <w:object w:dxaOrig="2659" w:dyaOrig="639" w14:anchorId="50D2B5C9">
          <v:shape id="_x0000_i1108" type="#_x0000_t75" style="width:135.4pt;height:29pt" o:ole="">
            <v:imagedata r:id="rId201" o:title=""/>
          </v:shape>
          <o:OLEObject Type="Embed" ProgID="Equation.3" ShapeID="_x0000_i1108" DrawAspect="Content" ObjectID="_1457171760" r:id="rId202"/>
        </w:object>
      </w:r>
      <w:r>
        <w:tab/>
      </w:r>
      <w:r>
        <w:fldChar w:fldCharType="begin"/>
      </w:r>
      <w:r>
        <w:instrText xml:space="preserve"> LISTNUM EQN \l 2 </w:instrText>
      </w:r>
      <w:r>
        <w:fldChar w:fldCharType="end"/>
      </w:r>
      <w:r>
        <w:t>)</w:t>
      </w:r>
    </w:p>
    <w:p w14:paraId="1203F977" w14:textId="73A10942" w:rsidR="002B1521" w:rsidRDefault="009D726E" w:rsidP="003E3DBB">
      <w:pPr>
        <w:ind w:firstLine="0"/>
      </w:pPr>
      <w:r>
        <w:t>and</w:t>
      </w:r>
    </w:p>
    <w:p w14:paraId="43FED1FC" w14:textId="35911E5A" w:rsidR="009D726E" w:rsidRDefault="009D726E" w:rsidP="009D726E">
      <w:pPr>
        <w:pStyle w:val="numberedeqnstyle"/>
      </w:pPr>
      <w:r w:rsidRPr="00A025AE">
        <w:tab/>
      </w:r>
      <w:r w:rsidRPr="009D726E">
        <w:rPr>
          <w:position w:val="-10"/>
        </w:rPr>
        <w:object w:dxaOrig="1480" w:dyaOrig="480" w14:anchorId="3DBE2E31">
          <v:shape id="_x0000_i1109" type="#_x0000_t75" style="width:76.3pt;height:21.5pt" o:ole="">
            <v:imagedata r:id="rId203" o:title=""/>
          </v:shape>
          <o:OLEObject Type="Embed" ProgID="Equation.3" ShapeID="_x0000_i1109" DrawAspect="Content" ObjectID="_1457171761" r:id="rId204"/>
        </w:object>
      </w:r>
      <w:r>
        <w:t>.</w:t>
      </w:r>
      <w:r>
        <w:tab/>
      </w:r>
      <w:r>
        <w:fldChar w:fldCharType="begin"/>
      </w:r>
      <w:r>
        <w:instrText xml:space="preserve"> LISTNUM EQN \l 2 </w:instrText>
      </w:r>
      <w:r>
        <w:fldChar w:fldCharType="end"/>
      </w:r>
      <w:r>
        <w:t>)</w:t>
      </w:r>
    </w:p>
    <w:p w14:paraId="12A2C6DC" w14:textId="1DDA6A10" w:rsidR="00EF75BF" w:rsidRDefault="00EF75BF" w:rsidP="00213ECB">
      <w:r>
        <w:t xml:space="preserve">The </w:t>
      </w:r>
      <w:r w:rsidR="003029E8">
        <w:t xml:space="preserve">final </w:t>
      </w:r>
      <w:r w:rsidR="00F5279E">
        <w:t xml:space="preserve">compressible </w:t>
      </w:r>
      <w:r w:rsidR="00145095">
        <w:t>RANS</w:t>
      </w:r>
      <w:r w:rsidR="00F5279E">
        <w:t xml:space="preserve"> equations become</w:t>
      </w:r>
    </w:p>
    <w:p w14:paraId="3DF1D264" w14:textId="163F232C" w:rsidR="00EF75BF" w:rsidRDefault="00EF75BF" w:rsidP="00EF75BF">
      <w:pPr>
        <w:pStyle w:val="numberedeqnstyle"/>
      </w:pPr>
      <w:r w:rsidRPr="00A025AE">
        <w:tab/>
      </w:r>
      <w:r w:rsidR="00F5279E" w:rsidRPr="00F5279E">
        <w:rPr>
          <w:position w:val="-10"/>
        </w:rPr>
        <w:object w:dxaOrig="1060" w:dyaOrig="320" w14:anchorId="00C5C3B6">
          <v:shape id="_x0000_i1110" type="#_x0000_t75" style="width:53.2pt;height:14.5pt" o:ole="">
            <v:imagedata r:id="rId205" o:title=""/>
          </v:shape>
          <o:OLEObject Type="Embed" ProgID="Equation.3" ShapeID="_x0000_i1110" DrawAspect="Content" ObjectID="_1457171762" r:id="rId206"/>
        </w:object>
      </w:r>
      <w:r>
        <w:t>.</w:t>
      </w:r>
      <w:r>
        <w:tab/>
      </w:r>
      <w:r>
        <w:fldChar w:fldCharType="begin"/>
      </w:r>
      <w:bookmarkStart w:id="161" w:name="_Ref379189524"/>
      <w:bookmarkEnd w:id="161"/>
      <w:r>
        <w:instrText xml:space="preserve"> LISTNUM EQN \l 2 </w:instrText>
      </w:r>
      <w:r>
        <w:fldChar w:fldCharType="end"/>
      </w:r>
      <w:r w:rsidR="00145095">
        <w:t>a</w:t>
      </w:r>
      <w:r>
        <w:t>)</w:t>
      </w:r>
    </w:p>
    <w:p w14:paraId="487C484B" w14:textId="577C8ACD" w:rsidR="00F5279E" w:rsidRDefault="00F5279E" w:rsidP="00973EDF">
      <w:pPr>
        <w:pStyle w:val="numberedeqnstyle"/>
      </w:pPr>
      <w:r w:rsidRPr="00A025AE">
        <w:tab/>
      </w:r>
      <w:r w:rsidR="00973EDF" w:rsidRPr="00F5279E">
        <w:rPr>
          <w:position w:val="-10"/>
        </w:rPr>
        <w:object w:dxaOrig="2760" w:dyaOrig="320" w14:anchorId="086D993A">
          <v:shape id="_x0000_i1111" type="#_x0000_t75" style="width:139.7pt;height:15.05pt" o:ole="">
            <v:imagedata r:id="rId207" o:title=""/>
          </v:shape>
          <o:OLEObject Type="Embed" ProgID="Equation.3" ShapeID="_x0000_i1111" DrawAspect="Content" ObjectID="_1457171763" r:id="rId208"/>
        </w:object>
      </w:r>
      <w:r>
        <w:tab/>
      </w:r>
      <w:r w:rsidR="00145095">
        <w:fldChar w:fldCharType="begin"/>
      </w:r>
      <w:r w:rsidR="00145095">
        <w:instrText xml:space="preserve"> REF _Ref379189524 \r \h </w:instrText>
      </w:r>
      <w:r w:rsidR="00145095">
        <w:fldChar w:fldCharType="separate"/>
      </w:r>
      <w:r w:rsidR="001C5EC1">
        <w:t>(5.21</w:t>
      </w:r>
      <w:r w:rsidR="00145095">
        <w:fldChar w:fldCharType="end"/>
      </w:r>
      <w:r w:rsidR="00145095">
        <w:t>b</w:t>
      </w:r>
      <w:r w:rsidR="00973EDF">
        <w:t>)</w:t>
      </w:r>
    </w:p>
    <w:p w14:paraId="59B4BC50" w14:textId="679146DE" w:rsidR="009C021B" w:rsidRDefault="00EF75BF" w:rsidP="00133576">
      <w:r>
        <w:t xml:space="preserve">For three-dimensional Cartesian flow there are ten unknowns in all—four flow variables (pressure and the three components of the velocity vector) and six terms from the specific Reynolds stress </w:t>
      </w:r>
      <w:r w:rsidR="00133576">
        <w:t xml:space="preserve">tensor.  There are only six unknowns in the specific Reynolds stress tensor, versus the possible nine, due to its inherent symmetry given that the magnitude of </w:t>
      </w:r>
      <w:r w:rsidR="009C021B">
        <w:t xml:space="preserve"> </w:t>
      </w:r>
      <w:r w:rsidR="009C021B" w:rsidRPr="009C021B">
        <w:rPr>
          <w:i/>
        </w:rPr>
        <w:t>u</w:t>
      </w:r>
      <w:r w:rsidR="009C021B">
        <w:rPr>
          <w:i/>
          <w:vertAlign w:val="subscript"/>
        </w:rPr>
        <w:t>i</w:t>
      </w:r>
      <w:r w:rsidR="009C021B" w:rsidRPr="009C021B">
        <w:rPr>
          <w:i/>
        </w:rPr>
        <w:t>u</w:t>
      </w:r>
      <w:r w:rsidR="009C021B" w:rsidRPr="009C021B">
        <w:rPr>
          <w:i/>
          <w:vertAlign w:val="subscript"/>
        </w:rPr>
        <w:t>j</w:t>
      </w:r>
      <w:r w:rsidR="009C021B">
        <w:t xml:space="preserve"> equals </w:t>
      </w:r>
      <w:r w:rsidR="009C021B" w:rsidRPr="009C021B">
        <w:rPr>
          <w:i/>
        </w:rPr>
        <w:t>u</w:t>
      </w:r>
      <w:r w:rsidR="009C021B">
        <w:rPr>
          <w:i/>
          <w:vertAlign w:val="subscript"/>
        </w:rPr>
        <w:t>j</w:t>
      </w:r>
      <w:r w:rsidR="009C021B" w:rsidRPr="009C021B">
        <w:rPr>
          <w:i/>
        </w:rPr>
        <w:t>u</w:t>
      </w:r>
      <w:r w:rsidR="009C021B">
        <w:rPr>
          <w:i/>
          <w:vertAlign w:val="subscript"/>
        </w:rPr>
        <w:t>i</w:t>
      </w:r>
      <w:r w:rsidR="009C021B">
        <w:rPr>
          <w:vertAlign w:val="subscript"/>
        </w:rPr>
        <w:t xml:space="preserve"> </w:t>
      </w:r>
      <w:r w:rsidR="009C021B">
        <w:t xml:space="preserve">for all </w:t>
      </w:r>
      <w:r w:rsidR="009C021B">
        <w:rPr>
          <w:i/>
        </w:rPr>
        <w:t xml:space="preserve">i </w:t>
      </w:r>
      <w:r w:rsidR="009C021B">
        <w:t xml:space="preserve">and </w:t>
      </w:r>
      <w:r w:rsidR="009C021B">
        <w:rPr>
          <w:i/>
        </w:rPr>
        <w:t>j</w:t>
      </w:r>
      <w:r w:rsidR="00ED712A">
        <w:t>.</w:t>
      </w:r>
    </w:p>
    <w:p w14:paraId="25D6C6E7" w14:textId="082F8B7A" w:rsidR="00133576" w:rsidRDefault="002E7C18" w:rsidP="00133576">
      <w:r>
        <w:t>The Reynolds-stress equation can be derived through f</w:t>
      </w:r>
      <w:r w:rsidR="00630D8B">
        <w:t xml:space="preserve">urther manipulation of the RANS momentum equation </w:t>
      </w:r>
      <w:r w:rsidR="00BD65D4">
        <w:t xml:space="preserve">via </w:t>
      </w:r>
      <w:r w:rsidR="00C914E5">
        <w:t>averaging of the form</w:t>
      </w:r>
    </w:p>
    <w:p w14:paraId="4C6C2754" w14:textId="6EA31F35" w:rsidR="00C914E5" w:rsidRDefault="00C914E5" w:rsidP="00C914E5">
      <w:pPr>
        <w:pStyle w:val="numberedeqnstyle"/>
      </w:pPr>
      <w:r w:rsidRPr="00A025AE">
        <w:tab/>
      </w:r>
      <w:r w:rsidR="007457E2" w:rsidRPr="003B48AF">
        <w:rPr>
          <w:position w:val="-10"/>
        </w:rPr>
        <w:object w:dxaOrig="2120" w:dyaOrig="420" w14:anchorId="36113006">
          <v:shape id="_x0000_i1112" type="#_x0000_t75" style="width:108pt;height:18.8pt" o:ole="">
            <v:imagedata r:id="rId209" o:title=""/>
          </v:shape>
          <o:OLEObject Type="Embed" ProgID="Equation.3" ShapeID="_x0000_i1112" DrawAspect="Content" ObjectID="_1457171764" r:id="rId210"/>
        </w:object>
      </w:r>
      <w:r>
        <w:tab/>
      </w:r>
      <w:r>
        <w:fldChar w:fldCharType="begin"/>
      </w:r>
      <w:r>
        <w:instrText xml:space="preserve"> LISTNUM EQN \l 2 </w:instrText>
      </w:r>
      <w:r>
        <w:fldChar w:fldCharType="end"/>
      </w:r>
      <w:r>
        <w:t>)</w:t>
      </w:r>
    </w:p>
    <w:p w14:paraId="0250CF4B" w14:textId="22B75776" w:rsidR="002B5903" w:rsidRDefault="00C914E5" w:rsidP="00C914E5">
      <w:pPr>
        <w:pStyle w:val="numberedeqnstyle"/>
        <w:ind w:firstLine="0"/>
      </w:pPr>
      <w:r>
        <w:lastRenderedPageBreak/>
        <w:t>where N is the Navier-Stokes operator combining every element of Eqn.</w:t>
      </w:r>
      <w:r w:rsidR="007457E2">
        <w:fldChar w:fldCharType="begin"/>
      </w:r>
      <w:r w:rsidR="007457E2">
        <w:instrText xml:space="preserve"> REF _Ref379189524 \r \h </w:instrText>
      </w:r>
      <w:r w:rsidR="007457E2">
        <w:fldChar w:fldCharType="separate"/>
      </w:r>
      <w:r w:rsidR="001C5EC1">
        <w:t>(5.21</w:t>
      </w:r>
      <w:r w:rsidR="007457E2">
        <w:fldChar w:fldCharType="end"/>
      </w:r>
      <w:r w:rsidR="007457E2">
        <w:t>b) on the left-hand side.</w:t>
      </w:r>
      <w:r w:rsidR="009076E9">
        <w:t xml:space="preserve">  </w:t>
      </w:r>
      <w:r w:rsidR="000F12C4">
        <w:t xml:space="preserve">From here the two-equation </w:t>
      </w:r>
      <w:r w:rsidR="000F12C4">
        <w:rPr>
          <w:i/>
        </w:rPr>
        <w:t>k</w:t>
      </w:r>
      <w:r w:rsidR="000F12C4">
        <w:t>-</w:t>
      </w:r>
      <w:r w:rsidR="000F12C4">
        <w:rPr>
          <w:i/>
        </w:rPr>
        <w:t>ε</w:t>
      </w:r>
      <w:r w:rsidR="004B19A8">
        <w:t xml:space="preserve"> model is chosen to provide closure for the RANS equations.  Specific turbulent kinetic energy, </w:t>
      </w:r>
      <w:r w:rsidR="004B19A8">
        <w:rPr>
          <w:i/>
        </w:rPr>
        <w:t>k</w:t>
      </w:r>
      <w:r w:rsidR="004B19A8">
        <w:t xml:space="preserve">, is first defined as </w:t>
      </w:r>
      <w:r w:rsidR="003F1A65">
        <w:t xml:space="preserve">one-half </w:t>
      </w:r>
      <w:r w:rsidR="004B19A8">
        <w:t>the</w:t>
      </w:r>
      <w:r w:rsidR="002B5903">
        <w:t xml:space="preserve"> sum of the three normal</w:t>
      </w:r>
      <w:r w:rsidR="003F1A65">
        <w:t xml:space="preserve"> Reynolds stresses</w:t>
      </w:r>
      <w:r w:rsidR="00E4389C">
        <w:t>:</w:t>
      </w:r>
    </w:p>
    <w:p w14:paraId="68023FA6" w14:textId="77777777" w:rsidR="002B5903" w:rsidRDefault="002B5903" w:rsidP="002B5903">
      <w:pPr>
        <w:pStyle w:val="numberedeqnstyle"/>
      </w:pPr>
      <w:r w:rsidRPr="00A025AE">
        <w:tab/>
      </w:r>
      <w:r w:rsidR="00E4389C" w:rsidRPr="00E4389C">
        <w:rPr>
          <w:position w:val="-22"/>
        </w:rPr>
        <w:object w:dxaOrig="1920" w:dyaOrig="580" w14:anchorId="28087877">
          <v:shape id="_x0000_i1113" type="#_x0000_t75" style="width:97.8pt;height:25.8pt" o:ole="">
            <v:imagedata r:id="rId211" o:title=""/>
          </v:shape>
          <o:OLEObject Type="Embed" ProgID="Equation.3" ShapeID="_x0000_i1113" DrawAspect="Content" ObjectID="_1457171765" r:id="rId212"/>
        </w:object>
      </w:r>
      <w:r>
        <w:t>.</w:t>
      </w:r>
      <w:r>
        <w:tab/>
      </w:r>
      <w:r>
        <w:fldChar w:fldCharType="begin"/>
      </w:r>
      <w:r>
        <w:instrText xml:space="preserve"> LISTNUM EQN \l 2 </w:instrText>
      </w:r>
      <w:r>
        <w:fldChar w:fldCharType="end"/>
      </w:r>
      <w:r>
        <w:t>)</w:t>
      </w:r>
    </w:p>
    <w:p w14:paraId="588F9157" w14:textId="2889C1C2" w:rsidR="002B5903" w:rsidRDefault="002B5903" w:rsidP="002B5903">
      <w:r>
        <w:t>This is proportional to the trace of the Reynolds stress tensor:</w:t>
      </w:r>
    </w:p>
    <w:p w14:paraId="31ED795F" w14:textId="77777777" w:rsidR="002B5903" w:rsidRDefault="002B5903" w:rsidP="002B5903">
      <w:pPr>
        <w:pStyle w:val="numberedeqnstyle"/>
      </w:pPr>
      <w:r w:rsidRPr="00A025AE">
        <w:tab/>
      </w:r>
      <w:r w:rsidR="00E4389C" w:rsidRPr="004B19A8">
        <w:rPr>
          <w:position w:val="-28"/>
        </w:rPr>
        <w:object w:dxaOrig="2420" w:dyaOrig="680" w14:anchorId="52A57E5C">
          <v:shape id="_x0000_i1114" type="#_x0000_t75" style="width:123.6pt;height:30.65pt" o:ole="">
            <v:imagedata r:id="rId213" o:title=""/>
          </v:shape>
          <o:OLEObject Type="Embed" ProgID="Equation.3" ShapeID="_x0000_i1114" DrawAspect="Content" ObjectID="_1457171766" r:id="rId214"/>
        </w:object>
      </w:r>
      <w:r>
        <w:t>.</w:t>
      </w:r>
      <w:r>
        <w:tab/>
      </w:r>
      <w:r>
        <w:fldChar w:fldCharType="begin"/>
      </w:r>
      <w:r>
        <w:instrText xml:space="preserve"> LISTNUM EQN \l 2 </w:instrText>
      </w:r>
      <w:r>
        <w:fldChar w:fldCharType="end"/>
      </w:r>
      <w:r>
        <w:t>)</w:t>
      </w:r>
    </w:p>
    <w:p w14:paraId="5F23AE8B" w14:textId="5657D86D" w:rsidR="003029E8" w:rsidRDefault="003029E8" w:rsidP="00265EBE">
      <w:r>
        <w:t>The specific Reynolds stress tensor is</w:t>
      </w:r>
      <w:r w:rsidR="000F4BCC">
        <w:t xml:space="preserve"> then</w:t>
      </w:r>
      <w:r>
        <w:t xml:space="preserve"> defined using </w:t>
      </w:r>
      <w:r>
        <w:rPr>
          <w:i/>
        </w:rPr>
        <w:t>k</w:t>
      </w:r>
      <w:r>
        <w:t xml:space="preserve"> according to</w:t>
      </w:r>
    </w:p>
    <w:p w14:paraId="15AD3FEE" w14:textId="177BC364" w:rsidR="003029E8" w:rsidRDefault="003029E8" w:rsidP="003029E8">
      <w:pPr>
        <w:pStyle w:val="numberedeqnstyle"/>
      </w:pPr>
      <w:r w:rsidRPr="00A025AE">
        <w:tab/>
      </w:r>
      <w:r w:rsidRPr="003F1A65">
        <w:rPr>
          <w:position w:val="-26"/>
        </w:rPr>
        <w:object w:dxaOrig="4959" w:dyaOrig="639" w14:anchorId="6DE21785">
          <v:shape id="_x0000_i1115" type="#_x0000_t75" style="width:252pt;height:29pt" o:ole="">
            <v:imagedata r:id="rId215" o:title=""/>
          </v:shape>
          <o:OLEObject Type="Embed" ProgID="Equation.3" ShapeID="_x0000_i1115" DrawAspect="Content" ObjectID="_1457171767" r:id="rId216"/>
        </w:object>
      </w:r>
      <w:r>
        <w:tab/>
      </w:r>
      <w:r>
        <w:fldChar w:fldCharType="begin"/>
      </w:r>
      <w:r>
        <w:instrText xml:space="preserve"> LISTNUM EQN \l 2 </w:instrText>
      </w:r>
      <w:r>
        <w:fldChar w:fldCharType="end"/>
      </w:r>
      <w:r>
        <w:t>)</w:t>
      </w:r>
    </w:p>
    <w:p w14:paraId="0B0E8EAE" w14:textId="77777777" w:rsidR="003029E8" w:rsidRDefault="003029E8" w:rsidP="003029E8">
      <w:pPr>
        <w:ind w:firstLine="0"/>
      </w:pPr>
      <w:r>
        <w:t>where t</w:t>
      </w:r>
      <w:r w:rsidRPr="003029E8">
        <w:t>he</w:t>
      </w:r>
      <w:r>
        <w:t xml:space="preserve"> dynamic eddy viscosity, </w:t>
      </w:r>
      <w:r w:rsidRPr="003029E8">
        <w:rPr>
          <w:i/>
        </w:rPr>
        <w:t>μ</w:t>
      </w:r>
      <w:r>
        <w:rPr>
          <w:i/>
          <w:vertAlign w:val="subscript"/>
        </w:rPr>
        <w:t>T</w:t>
      </w:r>
      <w:r>
        <w:t>, is given by</w:t>
      </w:r>
    </w:p>
    <w:p w14:paraId="466B78B4" w14:textId="7EFBA87D" w:rsidR="003029E8" w:rsidRDefault="003029E8" w:rsidP="003029E8">
      <w:pPr>
        <w:pStyle w:val="numberedeqnstyle"/>
      </w:pPr>
      <w:r w:rsidRPr="00A025AE">
        <w:tab/>
      </w:r>
      <w:r w:rsidRPr="003F1A65">
        <w:rPr>
          <w:position w:val="-22"/>
        </w:rPr>
        <w:object w:dxaOrig="1260" w:dyaOrig="620" w14:anchorId="24027426">
          <v:shape id="_x0000_i1116" type="#_x0000_t75" style="width:63.95pt;height:27.95pt" o:ole="">
            <v:imagedata r:id="rId217" o:title=""/>
          </v:shape>
          <o:OLEObject Type="Embed" ProgID="Equation.3" ShapeID="_x0000_i1116" DrawAspect="Content" ObjectID="_1457171768" r:id="rId218"/>
        </w:object>
      </w:r>
      <w:r>
        <w:t>.</w:t>
      </w:r>
      <w:r>
        <w:tab/>
      </w:r>
      <w:r>
        <w:fldChar w:fldCharType="begin"/>
      </w:r>
      <w:r>
        <w:instrText xml:space="preserve"> LISTNUM EQN \l 2 </w:instrText>
      </w:r>
      <w:r>
        <w:fldChar w:fldCharType="end"/>
      </w:r>
      <w:r>
        <w:t>)</w:t>
      </w:r>
    </w:p>
    <w:p w14:paraId="1C523B78" w14:textId="76624CE9" w:rsidR="003029E8" w:rsidRPr="003029E8" w:rsidRDefault="000F4BCC" w:rsidP="000F4BCC">
      <w:r>
        <w:t xml:space="preserve">The </w:t>
      </w:r>
      <w:r w:rsidR="003029E8">
        <w:t xml:space="preserve">stress terms in Eqn. </w:t>
      </w:r>
      <w:r w:rsidR="003029E8">
        <w:fldChar w:fldCharType="begin"/>
      </w:r>
      <w:r w:rsidR="003029E8">
        <w:instrText xml:space="preserve"> REF _Ref379189524 \r \h </w:instrText>
      </w:r>
      <w:r w:rsidR="003029E8">
        <w:fldChar w:fldCharType="separate"/>
      </w:r>
      <w:r w:rsidR="001C5EC1">
        <w:t>(5.21</w:t>
      </w:r>
      <w:r w:rsidR="003029E8">
        <w:fldChar w:fldCharType="end"/>
      </w:r>
      <w:r w:rsidR="003029E8">
        <w:t xml:space="preserve">b) are now fully defined in terms of </w:t>
      </w:r>
      <w:r w:rsidR="003029E8">
        <w:rPr>
          <w:b/>
          <w:i/>
        </w:rPr>
        <w:t>u</w:t>
      </w:r>
      <w:r w:rsidR="003029E8">
        <w:t xml:space="preserve"> and </w:t>
      </w:r>
      <w:r w:rsidR="003029E8">
        <w:rPr>
          <w:i/>
        </w:rPr>
        <w:t>k</w:t>
      </w:r>
      <w:r w:rsidR="003029E8">
        <w:t xml:space="preserve">.  A transport equation is thus needed to </w:t>
      </w:r>
      <w:r w:rsidR="002E7C18">
        <w:t xml:space="preserve">solve </w:t>
      </w:r>
      <w:r w:rsidR="003029E8">
        <w:t xml:space="preserve"> </w:t>
      </w:r>
      <w:r w:rsidR="003029E8">
        <w:rPr>
          <w:i/>
        </w:rPr>
        <w:t>k</w:t>
      </w:r>
      <w:r>
        <w:t xml:space="preserve"> in order to complete the equation set</w:t>
      </w:r>
      <w:r w:rsidR="003029E8">
        <w:t>.  It is found by taking the trace of the Reynolds-stress equation:</w:t>
      </w:r>
    </w:p>
    <w:p w14:paraId="656CD3B8" w14:textId="25EFE009" w:rsidR="002B5903" w:rsidRDefault="002B5903" w:rsidP="002B5903">
      <w:pPr>
        <w:pStyle w:val="numberedeqnstyle"/>
      </w:pPr>
      <w:r w:rsidRPr="00A025AE">
        <w:tab/>
      </w:r>
      <w:r w:rsidR="000F4BCC" w:rsidRPr="003F1A65">
        <w:rPr>
          <w:position w:val="-32"/>
        </w:rPr>
        <w:object w:dxaOrig="3420" w:dyaOrig="740" w14:anchorId="2A6A3DDD">
          <v:shape id="_x0000_i1117" type="#_x0000_t75" style="width:173pt;height:34.4pt" o:ole="">
            <v:imagedata r:id="rId219" o:title=""/>
          </v:shape>
          <o:OLEObject Type="Embed" ProgID="Equation.3" ShapeID="_x0000_i1117" DrawAspect="Content" ObjectID="_1457171769" r:id="rId220"/>
        </w:object>
      </w:r>
      <w:r>
        <w:tab/>
      </w:r>
      <w:r>
        <w:fldChar w:fldCharType="begin"/>
      </w:r>
      <w:r>
        <w:instrText xml:space="preserve"> LISTNUM EQN \l 2 </w:instrText>
      </w:r>
      <w:r>
        <w:fldChar w:fldCharType="end"/>
      </w:r>
      <w:r>
        <w:t>)</w:t>
      </w:r>
    </w:p>
    <w:p w14:paraId="3D258A30" w14:textId="62C4478D" w:rsidR="00137A74" w:rsidRDefault="00FB4F52" w:rsidP="00FB4F52">
      <w:pPr>
        <w:ind w:firstLine="0"/>
      </w:pPr>
      <w:r>
        <w:t>where</w:t>
      </w:r>
      <w:r w:rsidR="00137A74">
        <w:t xml:space="preserve"> the</w:t>
      </w:r>
      <w:r w:rsidR="000F4BCC">
        <w:t xml:space="preserve"> turbulence production term, Ρ</w:t>
      </w:r>
      <w:r w:rsidR="000F4BCC">
        <w:rPr>
          <w:vertAlign w:val="subscript"/>
        </w:rPr>
        <w:t>k</w:t>
      </w:r>
      <w:r w:rsidR="00425E9E">
        <w:t>,</w:t>
      </w:r>
      <w:r w:rsidR="00137A74">
        <w:t xml:space="preserve"> is given by</w:t>
      </w:r>
    </w:p>
    <w:p w14:paraId="40BB0BE6" w14:textId="68E4A582" w:rsidR="000F4BCC" w:rsidRDefault="000F4BCC" w:rsidP="000F4BCC">
      <w:pPr>
        <w:pStyle w:val="numberedeqnstyle"/>
      </w:pPr>
      <w:r w:rsidRPr="00A025AE">
        <w:tab/>
      </w:r>
      <w:r w:rsidRPr="000F4BCC">
        <w:rPr>
          <w:position w:val="-10"/>
        </w:rPr>
        <w:object w:dxaOrig="1160" w:dyaOrig="320" w14:anchorId="22A19FCD">
          <v:shape id="_x0000_i1118" type="#_x0000_t75" style="width:58.55pt;height:15.05pt" o:ole="">
            <v:imagedata r:id="rId221" o:title=""/>
          </v:shape>
          <o:OLEObject Type="Embed" ProgID="Equation.3" ShapeID="_x0000_i1118" DrawAspect="Content" ObjectID="_1457171770" r:id="rId222"/>
        </w:object>
      </w:r>
      <w:r>
        <w:t>.</w:t>
      </w:r>
      <w:r>
        <w:tab/>
      </w:r>
      <w:r>
        <w:fldChar w:fldCharType="begin"/>
      </w:r>
      <w:r>
        <w:instrText xml:space="preserve"> LISTNUM EQN \l 2 </w:instrText>
      </w:r>
      <w:r>
        <w:fldChar w:fldCharType="end"/>
      </w:r>
      <w:r>
        <w:t>)</w:t>
      </w:r>
    </w:p>
    <w:p w14:paraId="040E210E" w14:textId="75F964FC" w:rsidR="008F4FDF" w:rsidRDefault="002E7C18" w:rsidP="002E7C18">
      <w:r>
        <w:t xml:space="preserve">Again, another flow variable, the dissipation rate of turbulent energy, </w:t>
      </w:r>
      <w:r>
        <w:rPr>
          <w:i/>
        </w:rPr>
        <w:t>ε</w:t>
      </w:r>
      <w:r>
        <w:t xml:space="preserve">, is introduced in the course of solving for </w:t>
      </w:r>
      <w:r>
        <w:rPr>
          <w:i/>
        </w:rPr>
        <w:t>k</w:t>
      </w:r>
      <w:r>
        <w:t>.</w:t>
      </w:r>
      <w:r>
        <w:rPr>
          <w:i/>
        </w:rPr>
        <w:t xml:space="preserve"> </w:t>
      </w:r>
      <w:r>
        <w:t>Its transport equation</w:t>
      </w:r>
      <w:r w:rsidR="008F4FDF">
        <w:t xml:space="preserve"> is given by</w:t>
      </w:r>
    </w:p>
    <w:p w14:paraId="2D16C00C" w14:textId="2938DE05" w:rsidR="008F4FDF" w:rsidRDefault="008F4FDF" w:rsidP="008F4FDF">
      <w:pPr>
        <w:pStyle w:val="numberedeqnstyle"/>
      </w:pPr>
      <w:r w:rsidRPr="00A025AE">
        <w:tab/>
      </w:r>
      <w:r w:rsidR="003029E8" w:rsidRPr="00265EBE">
        <w:rPr>
          <w:position w:val="-32"/>
        </w:rPr>
        <w:object w:dxaOrig="4900" w:dyaOrig="740" w14:anchorId="3835D3E1">
          <v:shape id="_x0000_i1119" type="#_x0000_t75" style="width:247.7pt;height:33.85pt" o:ole="">
            <v:imagedata r:id="rId223" o:title=""/>
          </v:shape>
          <o:OLEObject Type="Embed" ProgID="Equation.3" ShapeID="_x0000_i1119" DrawAspect="Content" ObjectID="_1457171771" r:id="rId224"/>
        </w:object>
      </w:r>
      <w:r w:rsidR="00920BD1">
        <w:t>.</w:t>
      </w:r>
      <w:r>
        <w:tab/>
      </w:r>
      <w:r>
        <w:fldChar w:fldCharType="begin"/>
      </w:r>
      <w:r>
        <w:instrText xml:space="preserve"> LISTNUM EQN \l 2 </w:instrText>
      </w:r>
      <w:r>
        <w:fldChar w:fldCharType="end"/>
      </w:r>
      <w:r>
        <w:t>)</w:t>
      </w:r>
    </w:p>
    <w:p w14:paraId="6E90FCC5" w14:textId="282F482B" w:rsidR="00FB4F52" w:rsidRPr="003B3F41" w:rsidRDefault="00920BD1" w:rsidP="009335A8">
      <w:pPr>
        <w:pStyle w:val="NormalBeforeTable"/>
      </w:pPr>
      <w:r>
        <w:t xml:space="preserve">Constants for both </w:t>
      </w:r>
      <w:r w:rsidR="000F4BCC">
        <w:t xml:space="preserve">turbulent </w:t>
      </w:r>
      <w:r>
        <w:t xml:space="preserve">transport equations are given in </w:t>
      </w:r>
      <w:r w:rsidR="003B3F41">
        <w:t xml:space="preserve">Table </w:t>
      </w:r>
      <w:r w:rsidR="003B3F41">
        <w:fldChar w:fldCharType="begin"/>
      </w:r>
      <w:r w:rsidR="003B3F41">
        <w:instrText xml:space="preserve"> REF _Ref379287915 \r \h </w:instrText>
      </w:r>
      <w:r w:rsidR="00F0508E">
        <w:instrText xml:space="preserve"> \* MERGEFORMAT </w:instrText>
      </w:r>
      <w:r w:rsidR="003B3F41">
        <w:fldChar w:fldCharType="separate"/>
      </w:r>
      <w:r w:rsidR="001C5EC1">
        <w:t>5.4</w:t>
      </w:r>
      <w:r w:rsidR="003B3F41">
        <w:fldChar w:fldCharType="end"/>
      </w:r>
      <w:r w:rsidR="003B3F41">
        <w:t>.</w:t>
      </w:r>
      <w:bookmarkStart w:id="162" w:name="_Ref382920898"/>
      <w:r w:rsidR="00265EBE">
        <w:rPr>
          <w:rStyle w:val="EndnoteReference"/>
        </w:rPr>
        <w:endnoteReference w:id="59"/>
      </w:r>
      <w:bookmarkEnd w:id="162"/>
    </w:p>
    <w:tbl>
      <w:tblPr>
        <w:tblW w:w="2640" w:type="dxa"/>
        <w:jc w:val="center"/>
        <w:tblLook w:val="04A0" w:firstRow="1" w:lastRow="0" w:firstColumn="1" w:lastColumn="0" w:noHBand="0" w:noVBand="1"/>
      </w:tblPr>
      <w:tblGrid>
        <w:gridCol w:w="1294"/>
        <w:gridCol w:w="1346"/>
      </w:tblGrid>
      <w:tr w:rsidR="003B3F41" w:rsidRPr="003B3F41" w14:paraId="6C9EC8C3" w14:textId="77777777" w:rsidTr="003B3F41">
        <w:trPr>
          <w:trHeight w:val="300"/>
          <w:jc w:val="center"/>
        </w:trPr>
        <w:tc>
          <w:tcPr>
            <w:tcW w:w="2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917E15" w14:textId="52580CF0" w:rsidR="003B3F41" w:rsidRPr="003B3F41" w:rsidRDefault="003B3F41" w:rsidP="00F066C7">
            <w:pPr>
              <w:pStyle w:val="NoSpacing"/>
            </w:pPr>
            <w:bookmarkStart w:id="163" w:name="_Toc382920196"/>
            <w:r w:rsidRPr="003B3F41">
              <w:lastRenderedPageBreak/>
              <w:t xml:space="preserve">Table </w:t>
            </w:r>
            <w:r>
              <w:fldChar w:fldCharType="begin"/>
            </w:r>
            <w:bookmarkStart w:id="164" w:name="_Ref379287915"/>
            <w:bookmarkEnd w:id="164"/>
            <w:r>
              <w:instrText xml:space="preserve"> LISTNUM TAB \l 2</w:instrText>
            </w:r>
            <w:r>
              <w:fldChar w:fldCharType="end"/>
            </w:r>
            <w:r w:rsidRPr="003B3F41">
              <w:t xml:space="preserve">:  </w:t>
            </w:r>
            <w:r w:rsidRPr="003B3F41">
              <w:rPr>
                <w:i/>
                <w:iCs/>
              </w:rPr>
              <w:t>k</w:t>
            </w:r>
            <w:r w:rsidRPr="003B3F41">
              <w:t>-</w:t>
            </w:r>
            <w:r w:rsidRPr="003B3F41">
              <w:rPr>
                <w:i/>
                <w:iCs/>
              </w:rPr>
              <w:t xml:space="preserve">ε </w:t>
            </w:r>
            <w:r w:rsidRPr="003B3F41">
              <w:t>Transport Constants</w:t>
            </w:r>
            <w:bookmarkEnd w:id="163"/>
          </w:p>
        </w:tc>
      </w:tr>
      <w:tr w:rsidR="003B3F41" w:rsidRPr="003B3F41" w14:paraId="72929FDD" w14:textId="77777777" w:rsidTr="003B3F41">
        <w:trPr>
          <w:trHeight w:val="300"/>
          <w:jc w:val="center"/>
        </w:trPr>
        <w:tc>
          <w:tcPr>
            <w:tcW w:w="1294" w:type="dxa"/>
            <w:tcBorders>
              <w:top w:val="nil"/>
              <w:left w:val="single" w:sz="4" w:space="0" w:color="auto"/>
              <w:bottom w:val="single" w:sz="4" w:space="0" w:color="auto"/>
              <w:right w:val="single" w:sz="4" w:space="0" w:color="auto"/>
            </w:tcBorders>
            <w:shd w:val="clear" w:color="auto" w:fill="auto"/>
            <w:noWrap/>
            <w:vAlign w:val="center"/>
            <w:hideMark/>
          </w:tcPr>
          <w:p w14:paraId="2288D894" w14:textId="700C0184" w:rsidR="003B3F41" w:rsidRPr="003B3F41" w:rsidRDefault="003B3F41" w:rsidP="00F348D2">
            <w:pPr>
              <w:keepNext/>
              <w:spacing w:after="0" w:line="240" w:lineRule="auto"/>
              <w:ind w:firstLine="0"/>
              <w:jc w:val="center"/>
              <w:rPr>
                <w:rFonts w:eastAsia="Times New Roman"/>
                <w:i/>
                <w:color w:val="000000"/>
                <w:vertAlign w:val="subscript"/>
              </w:rPr>
            </w:pPr>
            <w:r w:rsidRPr="003B3F41">
              <w:rPr>
                <w:rFonts w:eastAsia="Times New Roman"/>
                <w:i/>
                <w:color w:val="000000"/>
              </w:rPr>
              <w:t>C</w:t>
            </w:r>
            <w:r w:rsidR="003F1A65">
              <w:rPr>
                <w:rFonts w:eastAsia="Times New Roman"/>
                <w:i/>
                <w:color w:val="000000"/>
                <w:vertAlign w:val="subscript"/>
              </w:rPr>
              <w:t>μ</w:t>
            </w:r>
          </w:p>
        </w:tc>
        <w:tc>
          <w:tcPr>
            <w:tcW w:w="1346" w:type="dxa"/>
            <w:tcBorders>
              <w:top w:val="nil"/>
              <w:left w:val="nil"/>
              <w:bottom w:val="single" w:sz="4" w:space="0" w:color="auto"/>
              <w:right w:val="single" w:sz="4" w:space="0" w:color="auto"/>
            </w:tcBorders>
            <w:shd w:val="clear" w:color="auto" w:fill="auto"/>
            <w:noWrap/>
            <w:vAlign w:val="center"/>
            <w:hideMark/>
          </w:tcPr>
          <w:p w14:paraId="76E96347" w14:textId="77777777" w:rsidR="003B3F41" w:rsidRPr="003B3F41" w:rsidRDefault="003B3F41" w:rsidP="00F348D2">
            <w:pPr>
              <w:keepNext/>
              <w:spacing w:after="0" w:line="240" w:lineRule="auto"/>
              <w:ind w:firstLine="0"/>
              <w:jc w:val="center"/>
              <w:rPr>
                <w:rFonts w:eastAsia="Times New Roman"/>
                <w:color w:val="000000"/>
              </w:rPr>
            </w:pPr>
            <w:r w:rsidRPr="003B3F41">
              <w:rPr>
                <w:rFonts w:eastAsia="Times New Roman"/>
                <w:color w:val="000000"/>
              </w:rPr>
              <w:t>0.09</w:t>
            </w:r>
          </w:p>
        </w:tc>
      </w:tr>
      <w:tr w:rsidR="003B3F41" w:rsidRPr="003B3F41" w14:paraId="26B1B7B5" w14:textId="77777777" w:rsidTr="003B3F41">
        <w:trPr>
          <w:trHeight w:val="300"/>
          <w:jc w:val="center"/>
        </w:trPr>
        <w:tc>
          <w:tcPr>
            <w:tcW w:w="1294" w:type="dxa"/>
            <w:tcBorders>
              <w:top w:val="nil"/>
              <w:left w:val="single" w:sz="4" w:space="0" w:color="auto"/>
              <w:bottom w:val="single" w:sz="4" w:space="0" w:color="auto"/>
              <w:right w:val="single" w:sz="4" w:space="0" w:color="auto"/>
            </w:tcBorders>
            <w:shd w:val="clear" w:color="auto" w:fill="auto"/>
            <w:noWrap/>
            <w:vAlign w:val="center"/>
            <w:hideMark/>
          </w:tcPr>
          <w:p w14:paraId="7E0BD1E6" w14:textId="2BC3E2B2" w:rsidR="003B3F41" w:rsidRPr="003B3F41" w:rsidRDefault="003B3F41" w:rsidP="00F348D2">
            <w:pPr>
              <w:keepNext/>
              <w:spacing w:after="0" w:line="240" w:lineRule="auto"/>
              <w:ind w:firstLine="0"/>
              <w:jc w:val="center"/>
              <w:rPr>
                <w:rFonts w:eastAsia="Times New Roman"/>
                <w:color w:val="000000"/>
                <w:vertAlign w:val="subscript"/>
              </w:rPr>
            </w:pPr>
            <w:r w:rsidRPr="003B3F41">
              <w:rPr>
                <w:rFonts w:eastAsia="Times New Roman"/>
                <w:i/>
                <w:color w:val="000000"/>
              </w:rPr>
              <w:t>C</w:t>
            </w:r>
            <w:r w:rsidRPr="003B3F41">
              <w:rPr>
                <w:rFonts w:eastAsia="Times New Roman"/>
                <w:i/>
                <w:color w:val="000000"/>
                <w:vertAlign w:val="subscript"/>
              </w:rPr>
              <w:t>ε</w:t>
            </w:r>
            <w:r>
              <w:rPr>
                <w:rFonts w:eastAsia="Times New Roman"/>
                <w:color w:val="000000"/>
                <w:vertAlign w:val="subscript"/>
              </w:rPr>
              <w:t>1</w:t>
            </w:r>
          </w:p>
        </w:tc>
        <w:tc>
          <w:tcPr>
            <w:tcW w:w="1346" w:type="dxa"/>
            <w:tcBorders>
              <w:top w:val="nil"/>
              <w:left w:val="nil"/>
              <w:bottom w:val="single" w:sz="4" w:space="0" w:color="auto"/>
              <w:right w:val="single" w:sz="4" w:space="0" w:color="auto"/>
            </w:tcBorders>
            <w:shd w:val="clear" w:color="auto" w:fill="auto"/>
            <w:noWrap/>
            <w:vAlign w:val="center"/>
            <w:hideMark/>
          </w:tcPr>
          <w:p w14:paraId="2680650F" w14:textId="77777777" w:rsidR="003B3F41" w:rsidRPr="003B3F41" w:rsidRDefault="003B3F41" w:rsidP="00F348D2">
            <w:pPr>
              <w:keepNext/>
              <w:spacing w:after="0" w:line="240" w:lineRule="auto"/>
              <w:ind w:firstLine="0"/>
              <w:jc w:val="center"/>
              <w:rPr>
                <w:rFonts w:eastAsia="Times New Roman"/>
                <w:color w:val="000000"/>
              </w:rPr>
            </w:pPr>
            <w:r w:rsidRPr="003B3F41">
              <w:rPr>
                <w:rFonts w:eastAsia="Times New Roman"/>
                <w:color w:val="000000"/>
              </w:rPr>
              <w:t>1.44</w:t>
            </w:r>
          </w:p>
        </w:tc>
      </w:tr>
      <w:tr w:rsidR="003B3F41" w:rsidRPr="003B3F41" w14:paraId="7EC04CC2" w14:textId="77777777" w:rsidTr="003B3F41">
        <w:trPr>
          <w:trHeight w:val="300"/>
          <w:jc w:val="center"/>
        </w:trPr>
        <w:tc>
          <w:tcPr>
            <w:tcW w:w="1294" w:type="dxa"/>
            <w:tcBorders>
              <w:top w:val="nil"/>
              <w:left w:val="single" w:sz="4" w:space="0" w:color="auto"/>
              <w:bottom w:val="single" w:sz="4" w:space="0" w:color="auto"/>
              <w:right w:val="single" w:sz="4" w:space="0" w:color="auto"/>
            </w:tcBorders>
            <w:shd w:val="clear" w:color="auto" w:fill="auto"/>
            <w:noWrap/>
            <w:vAlign w:val="center"/>
            <w:hideMark/>
          </w:tcPr>
          <w:p w14:paraId="0AE16AA2" w14:textId="6BADAD12" w:rsidR="003B3F41" w:rsidRPr="003B3F41" w:rsidRDefault="003B3F41" w:rsidP="00F348D2">
            <w:pPr>
              <w:keepNext/>
              <w:spacing w:after="0" w:line="240" w:lineRule="auto"/>
              <w:ind w:firstLine="0"/>
              <w:jc w:val="center"/>
              <w:rPr>
                <w:rFonts w:eastAsia="Times New Roman"/>
                <w:color w:val="000000"/>
                <w:vertAlign w:val="subscript"/>
              </w:rPr>
            </w:pPr>
            <w:r w:rsidRPr="003B3F41">
              <w:rPr>
                <w:rFonts w:eastAsia="Times New Roman"/>
                <w:i/>
                <w:color w:val="000000"/>
              </w:rPr>
              <w:t>C</w:t>
            </w:r>
            <w:r w:rsidRPr="003B3F41">
              <w:rPr>
                <w:rFonts w:eastAsia="Times New Roman"/>
                <w:i/>
                <w:color w:val="000000"/>
                <w:vertAlign w:val="subscript"/>
              </w:rPr>
              <w:t>ε</w:t>
            </w:r>
            <w:r>
              <w:rPr>
                <w:rFonts w:eastAsia="Times New Roman"/>
                <w:color w:val="000000"/>
                <w:vertAlign w:val="subscript"/>
              </w:rPr>
              <w:t>2</w:t>
            </w:r>
          </w:p>
        </w:tc>
        <w:tc>
          <w:tcPr>
            <w:tcW w:w="1346" w:type="dxa"/>
            <w:tcBorders>
              <w:top w:val="nil"/>
              <w:left w:val="nil"/>
              <w:bottom w:val="single" w:sz="4" w:space="0" w:color="auto"/>
              <w:right w:val="single" w:sz="4" w:space="0" w:color="auto"/>
            </w:tcBorders>
            <w:shd w:val="clear" w:color="auto" w:fill="auto"/>
            <w:noWrap/>
            <w:vAlign w:val="center"/>
            <w:hideMark/>
          </w:tcPr>
          <w:p w14:paraId="04C46E18" w14:textId="77777777" w:rsidR="003B3F41" w:rsidRPr="003B3F41" w:rsidRDefault="003B3F41" w:rsidP="00F348D2">
            <w:pPr>
              <w:keepNext/>
              <w:spacing w:after="0" w:line="240" w:lineRule="auto"/>
              <w:ind w:firstLine="0"/>
              <w:jc w:val="center"/>
              <w:rPr>
                <w:rFonts w:eastAsia="Times New Roman"/>
                <w:color w:val="000000"/>
              </w:rPr>
            </w:pPr>
            <w:r w:rsidRPr="003B3F41">
              <w:rPr>
                <w:rFonts w:eastAsia="Times New Roman"/>
                <w:color w:val="000000"/>
              </w:rPr>
              <w:t>1.92</w:t>
            </w:r>
          </w:p>
        </w:tc>
      </w:tr>
      <w:tr w:rsidR="003B3F41" w:rsidRPr="003B3F41" w14:paraId="3BE6A30A" w14:textId="77777777" w:rsidTr="003B3F41">
        <w:trPr>
          <w:trHeight w:val="300"/>
          <w:jc w:val="center"/>
        </w:trPr>
        <w:tc>
          <w:tcPr>
            <w:tcW w:w="1294" w:type="dxa"/>
            <w:tcBorders>
              <w:top w:val="nil"/>
              <w:left w:val="single" w:sz="4" w:space="0" w:color="auto"/>
              <w:bottom w:val="single" w:sz="4" w:space="0" w:color="auto"/>
              <w:right w:val="single" w:sz="4" w:space="0" w:color="auto"/>
            </w:tcBorders>
            <w:shd w:val="clear" w:color="auto" w:fill="auto"/>
            <w:noWrap/>
            <w:vAlign w:val="center"/>
            <w:hideMark/>
          </w:tcPr>
          <w:p w14:paraId="324D979A" w14:textId="00D58BBF" w:rsidR="003B3F41" w:rsidRPr="003B3F41" w:rsidRDefault="003B3F41" w:rsidP="00F348D2">
            <w:pPr>
              <w:keepNext/>
              <w:spacing w:after="0" w:line="240" w:lineRule="auto"/>
              <w:ind w:firstLine="0"/>
              <w:jc w:val="center"/>
              <w:rPr>
                <w:rFonts w:eastAsia="Times New Roman"/>
                <w:color w:val="000000"/>
                <w:vertAlign w:val="subscript"/>
              </w:rPr>
            </w:pPr>
            <w:r w:rsidRPr="003B3F41">
              <w:rPr>
                <w:rFonts w:eastAsia="Times New Roman"/>
                <w:color w:val="000000"/>
              </w:rPr>
              <w:t>σ</w:t>
            </w:r>
            <w:r w:rsidRPr="003B3F41">
              <w:rPr>
                <w:rFonts w:eastAsia="Times New Roman"/>
                <w:i/>
                <w:color w:val="000000"/>
                <w:vertAlign w:val="subscript"/>
              </w:rPr>
              <w:t>k</w:t>
            </w:r>
          </w:p>
        </w:tc>
        <w:tc>
          <w:tcPr>
            <w:tcW w:w="1346" w:type="dxa"/>
            <w:tcBorders>
              <w:top w:val="nil"/>
              <w:left w:val="nil"/>
              <w:bottom w:val="single" w:sz="4" w:space="0" w:color="auto"/>
              <w:right w:val="single" w:sz="4" w:space="0" w:color="auto"/>
            </w:tcBorders>
            <w:shd w:val="clear" w:color="auto" w:fill="auto"/>
            <w:noWrap/>
            <w:vAlign w:val="center"/>
            <w:hideMark/>
          </w:tcPr>
          <w:p w14:paraId="65BDC2CA" w14:textId="77777777" w:rsidR="003B3F41" w:rsidRPr="003B3F41" w:rsidRDefault="003B3F41" w:rsidP="00F348D2">
            <w:pPr>
              <w:keepNext/>
              <w:spacing w:after="0" w:line="240" w:lineRule="auto"/>
              <w:ind w:firstLine="0"/>
              <w:jc w:val="center"/>
              <w:rPr>
                <w:rFonts w:eastAsia="Times New Roman"/>
                <w:color w:val="000000"/>
              </w:rPr>
            </w:pPr>
            <w:r w:rsidRPr="003B3F41">
              <w:rPr>
                <w:rFonts w:eastAsia="Times New Roman"/>
                <w:color w:val="000000"/>
              </w:rPr>
              <w:t>1.00</w:t>
            </w:r>
          </w:p>
        </w:tc>
      </w:tr>
      <w:tr w:rsidR="003B3F41" w:rsidRPr="003B3F41" w14:paraId="4F6ACC46" w14:textId="77777777" w:rsidTr="003B3F41">
        <w:trPr>
          <w:trHeight w:val="300"/>
          <w:jc w:val="center"/>
        </w:trPr>
        <w:tc>
          <w:tcPr>
            <w:tcW w:w="1294" w:type="dxa"/>
            <w:tcBorders>
              <w:top w:val="nil"/>
              <w:left w:val="single" w:sz="4" w:space="0" w:color="auto"/>
              <w:bottom w:val="single" w:sz="4" w:space="0" w:color="auto"/>
              <w:right w:val="single" w:sz="4" w:space="0" w:color="auto"/>
            </w:tcBorders>
            <w:shd w:val="clear" w:color="auto" w:fill="auto"/>
            <w:noWrap/>
            <w:vAlign w:val="center"/>
            <w:hideMark/>
          </w:tcPr>
          <w:p w14:paraId="1A098071" w14:textId="24D1F6ED" w:rsidR="003B3F41" w:rsidRPr="003B3F41" w:rsidRDefault="003B3F41" w:rsidP="003B3F41">
            <w:pPr>
              <w:spacing w:after="0" w:line="240" w:lineRule="auto"/>
              <w:ind w:firstLine="0"/>
              <w:jc w:val="center"/>
              <w:rPr>
                <w:rFonts w:eastAsia="Times New Roman"/>
                <w:color w:val="000000"/>
                <w:vertAlign w:val="subscript"/>
              </w:rPr>
            </w:pPr>
            <w:r w:rsidRPr="003B3F41">
              <w:rPr>
                <w:rFonts w:eastAsia="Times New Roman"/>
                <w:color w:val="000000"/>
              </w:rPr>
              <w:t>σ</w:t>
            </w:r>
            <w:r w:rsidRPr="003B3F41">
              <w:rPr>
                <w:rFonts w:eastAsia="Times New Roman"/>
                <w:i/>
                <w:color w:val="000000"/>
                <w:vertAlign w:val="subscript"/>
              </w:rPr>
              <w:t>ε</w:t>
            </w:r>
          </w:p>
        </w:tc>
        <w:tc>
          <w:tcPr>
            <w:tcW w:w="1346" w:type="dxa"/>
            <w:tcBorders>
              <w:top w:val="nil"/>
              <w:left w:val="nil"/>
              <w:bottom w:val="single" w:sz="4" w:space="0" w:color="auto"/>
              <w:right w:val="single" w:sz="4" w:space="0" w:color="auto"/>
            </w:tcBorders>
            <w:shd w:val="clear" w:color="auto" w:fill="auto"/>
            <w:noWrap/>
            <w:vAlign w:val="center"/>
            <w:hideMark/>
          </w:tcPr>
          <w:p w14:paraId="79911F4D" w14:textId="77777777" w:rsidR="003B3F41" w:rsidRPr="003B3F41" w:rsidRDefault="003B3F41" w:rsidP="003B3F41">
            <w:pPr>
              <w:spacing w:after="0" w:line="240" w:lineRule="auto"/>
              <w:ind w:firstLine="0"/>
              <w:jc w:val="center"/>
              <w:rPr>
                <w:rFonts w:eastAsia="Times New Roman"/>
                <w:color w:val="000000"/>
              </w:rPr>
            </w:pPr>
            <w:r w:rsidRPr="003B3F41">
              <w:rPr>
                <w:rFonts w:eastAsia="Times New Roman"/>
                <w:color w:val="000000"/>
              </w:rPr>
              <w:t>1.30</w:t>
            </w:r>
          </w:p>
        </w:tc>
      </w:tr>
    </w:tbl>
    <w:p w14:paraId="74325158" w14:textId="7876CA6B" w:rsidR="008B0579" w:rsidRDefault="00265EBE" w:rsidP="00F0508E">
      <w:pPr>
        <w:spacing w:before="720"/>
        <w:ind w:firstLine="274"/>
      </w:pPr>
      <w:r w:rsidRPr="00F0508E">
        <w:rPr>
          <w:rStyle w:val="NormalAfterTableChar"/>
        </w:rPr>
        <w:t>The turbulent Prandlt number, Pr</w:t>
      </w:r>
      <w:r w:rsidR="00F0508E">
        <w:rPr>
          <w:rStyle w:val="NormalAfterTableChar"/>
          <w:i/>
          <w:vertAlign w:val="subscript"/>
        </w:rPr>
        <w:t>T</w:t>
      </w:r>
      <w:r w:rsidRPr="00F0508E">
        <w:rPr>
          <w:rStyle w:val="NormalAfterTableChar"/>
        </w:rPr>
        <w:t>, which provides the ratio between momentum eddy diffusivity and</w:t>
      </w:r>
      <w:r>
        <w:t xml:space="preserve"> thermal eddy diffusivity, is calculated using the Kay</w:t>
      </w:r>
      <w:r w:rsidR="008B0579">
        <w:t>s-Crawford method.  The Kays-Crawford formulation was used due to its general applicability to wall-bounded turbulent flows.  The formulation is</w:t>
      </w:r>
    </w:p>
    <w:p w14:paraId="26CA33AA" w14:textId="7EFBBF33" w:rsidR="008B0579" w:rsidRDefault="00265EBE" w:rsidP="008B0579">
      <w:pPr>
        <w:pStyle w:val="numberedeqnstyle"/>
      </w:pPr>
      <w:r>
        <w:t xml:space="preserve"> </w:t>
      </w:r>
      <w:r w:rsidR="008B0579" w:rsidRPr="00A025AE">
        <w:tab/>
      </w:r>
      <w:r w:rsidR="0087415D" w:rsidRPr="008B0579">
        <w:rPr>
          <w:position w:val="-42"/>
        </w:rPr>
        <w:object w:dxaOrig="5720" w:dyaOrig="999" w14:anchorId="35FC3000">
          <v:shape id="_x0000_i1120" type="#_x0000_t75" style="width:291.2pt;height:45.65pt" o:ole="">
            <v:imagedata r:id="rId225" o:title=""/>
          </v:shape>
          <o:OLEObject Type="Embed" ProgID="Equation.3" ShapeID="_x0000_i1120" DrawAspect="Content" ObjectID="_1457171772" r:id="rId226"/>
        </w:object>
      </w:r>
      <w:r w:rsidR="008B0579">
        <w:tab/>
      </w:r>
      <w:r w:rsidR="008B0579">
        <w:fldChar w:fldCharType="begin"/>
      </w:r>
      <w:r w:rsidR="008B0579">
        <w:instrText xml:space="preserve"> LISTNUM EQN \l 2 </w:instrText>
      </w:r>
      <w:r w:rsidR="008B0579">
        <w:fldChar w:fldCharType="end"/>
      </w:r>
      <w:r w:rsidR="008B0579">
        <w:t>)</w:t>
      </w:r>
    </w:p>
    <w:p w14:paraId="5CAEFB19" w14:textId="1EC27857" w:rsidR="008535CD" w:rsidRDefault="008B0579" w:rsidP="008B0579">
      <w:pPr>
        <w:ind w:firstLine="0"/>
      </w:pPr>
      <w:r>
        <w:t>where</w:t>
      </w:r>
      <w:r w:rsidR="00EC4001">
        <w:t xml:space="preserve"> the turbulent Prandtl number at infinity,</w:t>
      </w:r>
      <w:r>
        <w:t xml:space="preserve"> Pr</w:t>
      </w:r>
      <w:r>
        <w:rPr>
          <w:i/>
          <w:vertAlign w:val="subscript"/>
        </w:rPr>
        <w:t xml:space="preserve">T </w:t>
      </w:r>
      <w:r>
        <w:rPr>
          <w:i/>
        </w:rPr>
        <w:t>͚</w:t>
      </w:r>
      <w:r w:rsidR="00EC4001">
        <w:t>, is 0.85</w:t>
      </w:r>
      <w:r w:rsidR="008535CD">
        <w:t>.  Heat transfer is governed by the heat equation for translating media:</w:t>
      </w:r>
    </w:p>
    <w:p w14:paraId="161D007B" w14:textId="7D10551F" w:rsidR="008535CD" w:rsidRDefault="00EC4001" w:rsidP="008535CD">
      <w:pPr>
        <w:pStyle w:val="numberedeqnstyle"/>
      </w:pPr>
      <w:r>
        <w:t xml:space="preserve"> </w:t>
      </w:r>
      <w:r w:rsidR="008535CD" w:rsidRPr="00A025AE">
        <w:tab/>
      </w:r>
      <w:r w:rsidR="0087415D" w:rsidRPr="008535CD">
        <w:rPr>
          <w:position w:val="-14"/>
        </w:rPr>
        <w:object w:dxaOrig="2020" w:dyaOrig="360" w14:anchorId="6B3973D1">
          <v:shape id="_x0000_i1121" type="#_x0000_t75" style="width:102.1pt;height:18.25pt" o:ole="">
            <v:imagedata r:id="rId227" o:title=""/>
          </v:shape>
          <o:OLEObject Type="Embed" ProgID="Equation.3" ShapeID="_x0000_i1121" DrawAspect="Content" ObjectID="_1457171773" r:id="rId228"/>
        </w:object>
      </w:r>
      <w:r w:rsidR="00713FD0">
        <w:t>.</w:t>
      </w:r>
      <w:r w:rsidR="008535CD">
        <w:tab/>
      </w:r>
      <w:r w:rsidR="008535CD">
        <w:fldChar w:fldCharType="begin"/>
      </w:r>
      <w:r w:rsidR="008535CD">
        <w:instrText xml:space="preserve"> LISTNUM EQN \l 2 </w:instrText>
      </w:r>
      <w:r w:rsidR="008535CD">
        <w:fldChar w:fldCharType="end"/>
      </w:r>
      <w:r w:rsidR="008535CD">
        <w:t>)</w:t>
      </w:r>
    </w:p>
    <w:p w14:paraId="1AE2FE84" w14:textId="77D72348" w:rsidR="008B0579" w:rsidRDefault="0006580E" w:rsidP="0006580E">
      <w:r>
        <w:t xml:space="preserve">At the inlet, Dirichlet boundary conditions are imposed for temperature and velocity based on the model inputs in Table </w:t>
      </w:r>
      <w:r>
        <w:fldChar w:fldCharType="begin"/>
      </w:r>
      <w:r>
        <w:instrText xml:space="preserve"> REF _Ref377569916 \r \h </w:instrText>
      </w:r>
      <w:r>
        <w:fldChar w:fldCharType="separate"/>
      </w:r>
      <w:r w:rsidR="001C5EC1">
        <w:t>5.3</w:t>
      </w:r>
      <w:r>
        <w:fldChar w:fldCharType="end"/>
      </w:r>
      <w:r>
        <w:t>.  Dirichlet conditions are also imposed for specific turbulent kinetic energy and dissipation rate.  They are</w:t>
      </w:r>
    </w:p>
    <w:p w14:paraId="70F9E213" w14:textId="77777777" w:rsidR="0006580E" w:rsidRDefault="0006580E" w:rsidP="0006580E">
      <w:pPr>
        <w:pStyle w:val="numberedeqnstyle"/>
      </w:pPr>
      <w:r w:rsidRPr="00A025AE">
        <w:tab/>
      </w:r>
      <w:r w:rsidR="00307E60" w:rsidRPr="00D4164E">
        <w:rPr>
          <w:position w:val="-22"/>
        </w:rPr>
        <w:object w:dxaOrig="1500" w:dyaOrig="580" w14:anchorId="099D4201">
          <v:shape id="_x0000_i1122" type="#_x0000_t75" style="width:76.85pt;height:27.95pt" o:ole="">
            <v:imagedata r:id="rId229" o:title=""/>
          </v:shape>
          <o:OLEObject Type="Embed" ProgID="Equation.3" ShapeID="_x0000_i1122" DrawAspect="Content" ObjectID="_1457171774" r:id="rId230"/>
        </w:object>
      </w:r>
      <w:r>
        <w:tab/>
      </w:r>
      <w:r>
        <w:fldChar w:fldCharType="begin"/>
      </w:r>
      <w:r>
        <w:instrText xml:space="preserve"> LISTNUM EQN \l 2 </w:instrText>
      </w:r>
      <w:r>
        <w:fldChar w:fldCharType="end"/>
      </w:r>
      <w:r>
        <w:t>)</w:t>
      </w:r>
    </w:p>
    <w:p w14:paraId="24A5040E" w14:textId="77777777" w:rsidR="004B290F" w:rsidRDefault="004B290F" w:rsidP="004B290F">
      <w:pPr>
        <w:pStyle w:val="numberedeqnstyle"/>
      </w:pPr>
      <w:r w:rsidRPr="00A025AE">
        <w:tab/>
      </w:r>
      <w:r w:rsidR="00652D2A" w:rsidRPr="004B290F">
        <w:rPr>
          <w:position w:val="-28"/>
        </w:rPr>
        <w:object w:dxaOrig="1380" w:dyaOrig="680" w14:anchorId="28DF96B2">
          <v:shape id="_x0000_i1123" type="#_x0000_t75" style="width:69.3pt;height:33.3pt" o:ole="">
            <v:imagedata r:id="rId231" o:title=""/>
          </v:shape>
          <o:OLEObject Type="Embed" ProgID="Equation.3" ShapeID="_x0000_i1123" DrawAspect="Content" ObjectID="_1457171775" r:id="rId232"/>
        </w:object>
      </w:r>
      <w:r>
        <w:tab/>
      </w:r>
      <w:r>
        <w:fldChar w:fldCharType="begin"/>
      </w:r>
      <w:r>
        <w:instrText xml:space="preserve"> LISTNUM EQN \l 2 </w:instrText>
      </w:r>
      <w:r>
        <w:fldChar w:fldCharType="end"/>
      </w:r>
      <w:r>
        <w:t>)</w:t>
      </w:r>
    </w:p>
    <w:p w14:paraId="7845101C" w14:textId="2BBA6627" w:rsidR="00307E60" w:rsidRDefault="004B290F" w:rsidP="004B290F">
      <w:pPr>
        <w:ind w:firstLine="0"/>
      </w:pPr>
      <w:r>
        <w:t xml:space="preserve">where </w:t>
      </w:r>
      <w:r w:rsidR="00D4164E">
        <w:rPr>
          <w:i/>
        </w:rPr>
        <w:t>I</w:t>
      </w:r>
      <w:r>
        <w:rPr>
          <w:i/>
          <w:vertAlign w:val="subscript"/>
        </w:rPr>
        <w:t>T</w:t>
      </w:r>
      <w:r>
        <w:t xml:space="preserve"> is the </w:t>
      </w:r>
      <w:r w:rsidR="00D4164E">
        <w:t xml:space="preserve">turbulence intensity and </w:t>
      </w:r>
      <w:r w:rsidR="00D4164E">
        <w:rPr>
          <w:i/>
        </w:rPr>
        <w:t>L</w:t>
      </w:r>
      <w:r w:rsidR="00D4164E">
        <w:rPr>
          <w:i/>
          <w:vertAlign w:val="subscript"/>
        </w:rPr>
        <w:t>T</w:t>
      </w:r>
      <w:r w:rsidR="00D4164E">
        <w:t xml:space="preserve"> is the turbulent length scale.  Typical values for </w:t>
      </w:r>
      <w:r w:rsidR="00D4164E">
        <w:rPr>
          <w:i/>
        </w:rPr>
        <w:t>I</w:t>
      </w:r>
      <w:r w:rsidR="00D4164E">
        <w:rPr>
          <w:i/>
          <w:vertAlign w:val="subscript"/>
        </w:rPr>
        <w:t>T</w:t>
      </w:r>
      <w:r w:rsidR="00D4164E">
        <w:t xml:space="preserve"> in fully turbulent flows typically vary between 5% and 10%.</w:t>
      </w:r>
      <w:r w:rsidR="00707419" w:rsidRPr="00707419">
        <w:rPr>
          <w:vertAlign w:val="superscript"/>
        </w:rPr>
        <w:fldChar w:fldCharType="begin"/>
      </w:r>
      <w:r w:rsidR="00707419" w:rsidRPr="00707419">
        <w:rPr>
          <w:vertAlign w:val="superscript"/>
        </w:rPr>
        <w:instrText xml:space="preserve"> NOTEREF _Ref382920898 \h </w:instrText>
      </w:r>
      <w:r w:rsidR="00707419">
        <w:rPr>
          <w:vertAlign w:val="superscript"/>
        </w:rPr>
        <w:instrText xml:space="preserve"> \* MERGEFORMAT </w:instrText>
      </w:r>
      <w:r w:rsidR="00707419" w:rsidRPr="00707419">
        <w:rPr>
          <w:vertAlign w:val="superscript"/>
        </w:rPr>
      </w:r>
      <w:r w:rsidR="00707419" w:rsidRPr="00707419">
        <w:rPr>
          <w:vertAlign w:val="superscript"/>
        </w:rPr>
        <w:fldChar w:fldCharType="separate"/>
      </w:r>
      <w:r w:rsidR="001C5EC1">
        <w:rPr>
          <w:vertAlign w:val="superscript"/>
        </w:rPr>
        <w:t>59</w:t>
      </w:r>
      <w:r w:rsidR="00707419" w:rsidRPr="00707419">
        <w:rPr>
          <w:vertAlign w:val="superscript"/>
        </w:rPr>
        <w:fldChar w:fldCharType="end"/>
      </w:r>
      <w:r w:rsidR="00D4164E">
        <w:t xml:space="preserve">  Five percent was chosen for the 3D model.  </w:t>
      </w:r>
      <w:r w:rsidR="00D4164E">
        <w:rPr>
          <w:i/>
        </w:rPr>
        <w:t>L</w:t>
      </w:r>
      <w:r w:rsidR="00D4164E">
        <w:rPr>
          <w:i/>
          <w:vertAlign w:val="subscript"/>
        </w:rPr>
        <w:t>T</w:t>
      </w:r>
      <w:r w:rsidR="00D4164E">
        <w:t xml:space="preserve"> was set </w:t>
      </w:r>
      <w:r w:rsidR="00814809">
        <w:t xml:space="preserve">to </w:t>
      </w:r>
      <w:r w:rsidR="00AC63DA">
        <w:t xml:space="preserve">7% of </w:t>
      </w:r>
      <w:r w:rsidR="00814809">
        <w:t xml:space="preserve">the hydraulic diameter, </w:t>
      </w:r>
      <w:r w:rsidR="00814809">
        <w:rPr>
          <w:i/>
        </w:rPr>
        <w:t>D</w:t>
      </w:r>
      <w:r w:rsidR="00814809">
        <w:rPr>
          <w:i/>
          <w:vertAlign w:val="subscript"/>
        </w:rPr>
        <w:t>H</w:t>
      </w:r>
      <w:r w:rsidR="00814809">
        <w:t xml:space="preserve">, </w:t>
      </w:r>
      <w:r w:rsidR="00AE1670">
        <w:t>which is a standard value for fully developed pip flow.</w:t>
      </w:r>
    </w:p>
    <w:p w14:paraId="234DF85E" w14:textId="70C270C9" w:rsidR="0006580E" w:rsidRDefault="00307E60" w:rsidP="00307E60">
      <w:r>
        <w:t xml:space="preserve">A Dirichlet condition was specified for pressure on the outlet according to the value in Table </w:t>
      </w:r>
      <w:r>
        <w:fldChar w:fldCharType="begin"/>
      </w:r>
      <w:r>
        <w:instrText xml:space="preserve"> REF _Ref377569916 \r \h </w:instrText>
      </w:r>
      <w:r>
        <w:fldChar w:fldCharType="separate"/>
      </w:r>
      <w:r w:rsidR="001C5EC1">
        <w:t>5.3</w:t>
      </w:r>
      <w:r>
        <w:fldChar w:fldCharType="end"/>
      </w:r>
      <w:r>
        <w:t>.</w:t>
      </w:r>
      <w:r w:rsidR="00D4164E">
        <w:t xml:space="preserve">  </w:t>
      </w:r>
      <w:r w:rsidR="00AF09BF">
        <w:t xml:space="preserve">Homogeneous </w:t>
      </w:r>
      <w:r>
        <w:t>Neumann conditions were imposed for specific turbulent kinetic energy, dissipation rate, and viscous stress such that</w:t>
      </w:r>
    </w:p>
    <w:p w14:paraId="6D26D71E" w14:textId="77777777" w:rsidR="00307E60" w:rsidRDefault="00307E60" w:rsidP="00307E60">
      <w:pPr>
        <w:pStyle w:val="numberedeqnstyle"/>
      </w:pPr>
      <w:r w:rsidRPr="00A025AE">
        <w:lastRenderedPageBreak/>
        <w:tab/>
      </w:r>
      <w:r w:rsidRPr="00307E60">
        <w:rPr>
          <w:position w:val="-6"/>
        </w:rPr>
        <w:object w:dxaOrig="920" w:dyaOrig="279" w14:anchorId="3928CBFF">
          <v:shape id="_x0000_i1124" type="#_x0000_t75" style="width:46.2pt;height:12.35pt" o:ole="">
            <v:imagedata r:id="rId233" o:title=""/>
          </v:shape>
          <o:OLEObject Type="Embed" ProgID="Equation.3" ShapeID="_x0000_i1124" DrawAspect="Content" ObjectID="_1457171776" r:id="rId234"/>
        </w:object>
      </w:r>
      <w:r>
        <w:tab/>
      </w:r>
      <w:r>
        <w:fldChar w:fldCharType="begin"/>
      </w:r>
      <w:bookmarkStart w:id="165" w:name="_Ref379380631"/>
      <w:bookmarkEnd w:id="165"/>
      <w:r>
        <w:instrText xml:space="preserve"> LISTNUM EQN \l 2 </w:instrText>
      </w:r>
      <w:r>
        <w:fldChar w:fldCharType="end"/>
      </w:r>
      <w:r>
        <w:t>)</w:t>
      </w:r>
    </w:p>
    <w:p w14:paraId="7764BE91" w14:textId="77777777" w:rsidR="00307E60" w:rsidRDefault="00307E60" w:rsidP="00307E60">
      <w:pPr>
        <w:pStyle w:val="numberedeqnstyle"/>
      </w:pPr>
      <w:r w:rsidRPr="00A025AE">
        <w:tab/>
      </w:r>
      <w:r w:rsidRPr="00307E60">
        <w:rPr>
          <w:position w:val="-6"/>
        </w:rPr>
        <w:object w:dxaOrig="940" w:dyaOrig="279" w14:anchorId="69D6FAE9">
          <v:shape id="_x0000_i1125" type="#_x0000_t75" style="width:46.2pt;height:12.35pt" o:ole="">
            <v:imagedata r:id="rId235" o:title=""/>
          </v:shape>
          <o:OLEObject Type="Embed" ProgID="Equation.3" ShapeID="_x0000_i1125" DrawAspect="Content" ObjectID="_1457171777" r:id="rId236"/>
        </w:object>
      </w:r>
      <w:r>
        <w:tab/>
      </w:r>
      <w:r>
        <w:fldChar w:fldCharType="begin"/>
      </w:r>
      <w:r>
        <w:instrText xml:space="preserve"> LISTNUM EQN \l 2 </w:instrText>
      </w:r>
      <w:r>
        <w:fldChar w:fldCharType="end"/>
      </w:r>
      <w:r>
        <w:t>)</w:t>
      </w:r>
    </w:p>
    <w:p w14:paraId="16966E14" w14:textId="6E2153FF" w:rsidR="0001257A" w:rsidRDefault="0001257A" w:rsidP="0001257A">
      <w:pPr>
        <w:pStyle w:val="numberedeqnstyle"/>
      </w:pPr>
      <w:r w:rsidRPr="00A025AE">
        <w:tab/>
      </w:r>
      <w:r w:rsidR="00CF0E28" w:rsidRPr="000E0BC2">
        <w:rPr>
          <w:position w:val="-28"/>
        </w:rPr>
        <w:object w:dxaOrig="4220" w:dyaOrig="680" w14:anchorId="7B76C5FD">
          <v:shape id="_x0000_i1126" type="#_x0000_t75" style="width:214.4pt;height:29pt" o:ole="">
            <v:imagedata r:id="rId237" o:title=""/>
          </v:shape>
          <o:OLEObject Type="Embed" ProgID="Equation.3" ShapeID="_x0000_i1126" DrawAspect="Content" ObjectID="_1457171778" r:id="rId238"/>
        </w:object>
      </w:r>
      <w:r w:rsidR="008A6544">
        <w:t>.</w:t>
      </w:r>
      <w:r>
        <w:tab/>
      </w:r>
      <w:r>
        <w:fldChar w:fldCharType="begin"/>
      </w:r>
      <w:bookmarkStart w:id="166" w:name="_Ref379380635"/>
      <w:bookmarkEnd w:id="166"/>
      <w:r>
        <w:instrText xml:space="preserve"> LISTNUM EQN \l 2 </w:instrText>
      </w:r>
      <w:r>
        <w:fldChar w:fldCharType="end"/>
      </w:r>
      <w:r>
        <w:t>)</w:t>
      </w:r>
    </w:p>
    <w:p w14:paraId="38720C1D" w14:textId="74F820A3" w:rsidR="00FB0787" w:rsidRDefault="00FB0787" w:rsidP="00FB0787">
      <w:r>
        <w:t xml:space="preserve">The inward facing coolant boundary that </w:t>
      </w:r>
      <w:r w:rsidR="00877756">
        <w:t xml:space="preserve">is the result of the difference in lengths between the inner and outer side plates </w:t>
      </w:r>
      <w:r>
        <w:t xml:space="preserve">is bounded using an open condition.  The open boundary condition can function as either a pseudo-inlet or pseudo-outlet boundary condition depending on the sign of </w:t>
      </w:r>
      <w:r w:rsidR="003A6C0F">
        <w:rPr>
          <w:b/>
          <w:i/>
        </w:rPr>
        <w:t>u</w:t>
      </w:r>
      <w:r>
        <w:rPr>
          <w:b/>
        </w:rPr>
        <w:t>·</w:t>
      </w:r>
      <w:r w:rsidRPr="00E83568">
        <w:rPr>
          <w:position w:val="-6"/>
        </w:rPr>
        <w:object w:dxaOrig="200" w:dyaOrig="279" w14:anchorId="373909C8">
          <v:shape id="_x0000_i1127" type="#_x0000_t75" style="width:10.2pt;height:12.35pt" o:ole="">
            <v:imagedata r:id="rId172" o:title=""/>
          </v:shape>
          <o:OLEObject Type="Embed" ProgID="Equation.3" ShapeID="_x0000_i1127" DrawAspect="Content" ObjectID="_1457171779" r:id="rId239"/>
        </w:object>
      </w:r>
      <w:r w:rsidR="00FB151F">
        <w:t>.  Given the open boundary’</w:t>
      </w:r>
      <w:r>
        <w:t xml:space="preserve">s location adjacent to the coolant outlet at the bottom of the model, in this instance it functions purely under </w:t>
      </w:r>
      <w:r w:rsidR="004C3D80">
        <w:t>outlet</w:t>
      </w:r>
      <w:r>
        <w:t xml:space="preserve"> condition restraints.  The open boundary condition imposes Eqns. </w:t>
      </w:r>
      <w:r>
        <w:fldChar w:fldCharType="begin"/>
      </w:r>
      <w:r>
        <w:instrText xml:space="preserve"> REF _Ref379380631 \r \h </w:instrText>
      </w:r>
      <w:r>
        <w:fldChar w:fldCharType="separate"/>
      </w:r>
      <w:r w:rsidR="001C5EC1">
        <w:t>(5.34</w:t>
      </w:r>
      <w:r>
        <w:fldChar w:fldCharType="end"/>
      </w:r>
      <w:r>
        <w:t>)-</w:t>
      </w:r>
      <w:r>
        <w:fldChar w:fldCharType="begin"/>
      </w:r>
      <w:r>
        <w:instrText xml:space="preserve"> REF _Ref379380635 \r \h </w:instrText>
      </w:r>
      <w:r>
        <w:fldChar w:fldCharType="separate"/>
      </w:r>
      <w:r w:rsidR="001C5EC1">
        <w:t>(5.36</w:t>
      </w:r>
      <w:r>
        <w:fldChar w:fldCharType="end"/>
      </w:r>
      <w:r>
        <w:t xml:space="preserve">) along </w:t>
      </w:r>
      <w:r w:rsidR="00D36E69">
        <w:t>with</w:t>
      </w:r>
      <w:r>
        <w:t xml:space="preserve"> a </w:t>
      </w:r>
      <w:r w:rsidR="00AF09BF">
        <w:t xml:space="preserve">homogeneous </w:t>
      </w:r>
      <w:r>
        <w:t>Neumann condition for temperatur</w:t>
      </w:r>
      <w:r w:rsidR="00D36E69">
        <w:t>e:</w:t>
      </w:r>
    </w:p>
    <w:p w14:paraId="349FE431" w14:textId="39268873" w:rsidR="00D36E69" w:rsidRDefault="00D36E69" w:rsidP="00D36E69">
      <w:pPr>
        <w:pStyle w:val="numberedeqnstyle"/>
      </w:pPr>
      <w:r w:rsidRPr="00A025AE">
        <w:tab/>
      </w:r>
      <w:r w:rsidR="004C3D80" w:rsidRPr="00307E60">
        <w:rPr>
          <w:position w:val="-6"/>
        </w:rPr>
        <w:object w:dxaOrig="960" w:dyaOrig="279" w14:anchorId="6E971224">
          <v:shape id="_x0000_i1128" type="#_x0000_t75" style="width:48.35pt;height:12.35pt" o:ole="">
            <v:imagedata r:id="rId240" o:title=""/>
          </v:shape>
          <o:OLEObject Type="Embed" ProgID="Equation.3" ShapeID="_x0000_i1128" DrawAspect="Content" ObjectID="_1457171780" r:id="rId241"/>
        </w:object>
      </w:r>
      <w:r w:rsidR="00713FD0">
        <w:t>.</w:t>
      </w:r>
      <w:r>
        <w:tab/>
      </w:r>
      <w:r>
        <w:fldChar w:fldCharType="begin"/>
      </w:r>
      <w:r>
        <w:instrText xml:space="preserve"> LISTNUM EQN \l 2 </w:instrText>
      </w:r>
      <w:r>
        <w:fldChar w:fldCharType="end"/>
      </w:r>
      <w:r>
        <w:t>)</w:t>
      </w:r>
    </w:p>
    <w:p w14:paraId="42D55A1F" w14:textId="6434ED88" w:rsidR="00FB0787" w:rsidRDefault="004C3D80" w:rsidP="00FB0787">
      <w:r>
        <w:t xml:space="preserve">Both the coolant outlet and the bottom faces of the side plates serve as heat outflows in which Eqn. </w:t>
      </w:r>
      <w:r>
        <w:fldChar w:fldCharType="begin"/>
      </w:r>
      <w:r>
        <w:instrText xml:space="preserve"> REF _Ref379381147 \r \h </w:instrText>
      </w:r>
      <w:r>
        <w:fldChar w:fldCharType="separate"/>
      </w:r>
      <w:r w:rsidR="001C5EC1">
        <w:t>(5.7</w:t>
      </w:r>
      <w:r>
        <w:fldChar w:fldCharType="end"/>
      </w:r>
      <w:r>
        <w:t xml:space="preserve">) is imposed to ensure that the normal temperature gradient is zero.  The open coolant boundary also serves as a heat outflow, </w:t>
      </w:r>
      <w:r w:rsidR="00FB151F">
        <w:t>with the condition of zero heat flux inherently specified</w:t>
      </w:r>
      <w:r>
        <w:t>.</w:t>
      </w:r>
    </w:p>
    <w:p w14:paraId="5890551A" w14:textId="3A410844" w:rsidR="004C3D80" w:rsidRDefault="004C3D80" w:rsidP="00FB0787">
      <w:r>
        <w:t xml:space="preserve">The periodic coolant boundaries impose the same continuity conditions on temperature and its gradient as the periodic boundaries in the side plates.  Additional </w:t>
      </w:r>
      <w:r w:rsidR="00AF09BF">
        <w:t xml:space="preserve">continuity </w:t>
      </w:r>
      <w:r>
        <w:t>conditions are specified for coolant velocity, pressure, specific turbulent kinetic energy, and dissipation rate.</w:t>
      </w:r>
    </w:p>
    <w:p w14:paraId="14E7FA03" w14:textId="47ABB0E1" w:rsidR="00713FD0" w:rsidRDefault="002102EE" w:rsidP="00877756">
      <w:r>
        <w:t>The final boundary type in the coolant domain is the solid, no-slip, impermeable wall.</w:t>
      </w:r>
      <w:r w:rsidR="00851FEF">
        <w:t xml:space="preserve">  The </w:t>
      </w:r>
      <w:r w:rsidR="00851FEF">
        <w:rPr>
          <w:i/>
        </w:rPr>
        <w:t>k-ε</w:t>
      </w:r>
      <w:r w:rsidR="00851FEF">
        <w:t xml:space="preserve"> turbulence model utilizes wall functions to model near-wall boundary</w:t>
      </w:r>
      <w:r w:rsidR="00965B17">
        <w:t xml:space="preserve"> layer flow.  This creates a gap</w:t>
      </w:r>
      <w:r w:rsidR="00851FEF">
        <w:t xml:space="preserve"> of thickness </w:t>
      </w:r>
      <w:r w:rsidR="00851FEF">
        <w:rPr>
          <w:i/>
        </w:rPr>
        <w:t>δ</w:t>
      </w:r>
      <w:r w:rsidR="00851FEF">
        <w:rPr>
          <w:i/>
          <w:vertAlign w:val="subscript"/>
        </w:rPr>
        <w:t>w</w:t>
      </w:r>
      <w:r w:rsidR="00851FEF">
        <w:t xml:space="preserve"> between the physical wall and the edge of the computational </w:t>
      </w:r>
      <w:r w:rsidR="00FB151F">
        <w:t xml:space="preserve">fluid </w:t>
      </w:r>
      <w:r w:rsidR="00851FEF">
        <w:t xml:space="preserve">domain across which the </w:t>
      </w:r>
      <w:r w:rsidR="003408C5">
        <w:t>fluid</w:t>
      </w:r>
      <w:r w:rsidR="00851FEF">
        <w:t xml:space="preserve"> flow is not explicitly modeled.</w:t>
      </w:r>
      <w:r w:rsidR="00713FD0">
        <w:t xml:space="preserve">  This wall-offset </w:t>
      </w:r>
      <w:r w:rsidR="00206646">
        <w:t>distance</w:t>
      </w:r>
      <w:r w:rsidR="00254394">
        <w:t xml:space="preserve"> </w:t>
      </w:r>
      <w:r w:rsidR="00713FD0">
        <w:t>is calculated according to</w:t>
      </w:r>
    </w:p>
    <w:p w14:paraId="00A92987" w14:textId="77777777" w:rsidR="00713FD0" w:rsidRDefault="00254394" w:rsidP="00713FD0">
      <w:pPr>
        <w:pStyle w:val="numberedeqnstyle"/>
      </w:pPr>
      <w:r>
        <w:t xml:space="preserve"> </w:t>
      </w:r>
      <w:r w:rsidR="00713FD0" w:rsidRPr="00A025AE">
        <w:tab/>
      </w:r>
      <w:r w:rsidR="000570C2" w:rsidRPr="000570C2">
        <w:rPr>
          <w:position w:val="-26"/>
        </w:rPr>
        <w:object w:dxaOrig="1160" w:dyaOrig="620" w14:anchorId="3009BD1F">
          <v:shape id="_x0000_i1129" type="#_x0000_t75" style="width:56.95pt;height:28.5pt" o:ole="">
            <v:imagedata r:id="rId242" o:title=""/>
          </v:shape>
          <o:OLEObject Type="Embed" ProgID="Equation.3" ShapeID="_x0000_i1129" DrawAspect="Content" ObjectID="_1457171781" r:id="rId243"/>
        </w:object>
      </w:r>
      <w:r w:rsidR="00713FD0">
        <w:tab/>
      </w:r>
      <w:r w:rsidR="00713FD0">
        <w:fldChar w:fldCharType="begin"/>
      </w:r>
      <w:bookmarkStart w:id="167" w:name="_Ref379472878"/>
      <w:bookmarkEnd w:id="167"/>
      <w:r w:rsidR="00713FD0">
        <w:instrText xml:space="preserve"> LISTNUM EQN \l 2 </w:instrText>
      </w:r>
      <w:r w:rsidR="00713FD0">
        <w:fldChar w:fldCharType="end"/>
      </w:r>
      <w:r w:rsidR="00713FD0">
        <w:t>)</w:t>
      </w:r>
    </w:p>
    <w:p w14:paraId="36726F78" w14:textId="6257A356" w:rsidR="00C914E5" w:rsidRDefault="00713FD0" w:rsidP="00713FD0">
      <w:pPr>
        <w:ind w:firstLine="0"/>
      </w:pPr>
      <w:r>
        <w:t xml:space="preserve">where </w:t>
      </w:r>
      <w:r w:rsidR="008E4653" w:rsidRPr="006732AB">
        <w:rPr>
          <w:position w:val="-10"/>
        </w:rPr>
        <w:object w:dxaOrig="300" w:dyaOrig="360" w14:anchorId="7DFCAD74">
          <v:shape id="_x0000_i1130" type="#_x0000_t75" style="width:15.05pt;height:18.25pt" o:ole="">
            <v:imagedata r:id="rId244" o:title=""/>
          </v:shape>
          <o:OLEObject Type="Embed" ProgID="Equation.3" ShapeID="_x0000_i1130" DrawAspect="Content" ObjectID="_1457171782" r:id="rId245"/>
        </w:object>
      </w:r>
      <w:r w:rsidR="008E4653">
        <w:t xml:space="preserve"> is the dimensionless wall-offset distance and </w:t>
      </w:r>
      <w:r>
        <w:t xml:space="preserve">the </w:t>
      </w:r>
      <w:r w:rsidR="00965B17">
        <w:t>shear</w:t>
      </w:r>
      <w:r>
        <w:t xml:space="preserve"> velocity</w:t>
      </w:r>
      <w:r w:rsidR="008E4653">
        <w:t xml:space="preserve">, </w:t>
      </w:r>
      <w:r w:rsidR="008E4653">
        <w:rPr>
          <w:i/>
        </w:rPr>
        <w:t>u</w:t>
      </w:r>
      <w:r w:rsidR="008E4653">
        <w:rPr>
          <w:i/>
          <w:vertAlign w:val="subscript"/>
        </w:rPr>
        <w:t>τ</w:t>
      </w:r>
      <w:r w:rsidR="008E4653">
        <w:t>,</w:t>
      </w:r>
      <w:r>
        <w:t xml:space="preserve"> is provided by</w:t>
      </w:r>
    </w:p>
    <w:p w14:paraId="090D3285" w14:textId="1E1F4CC7" w:rsidR="00713FD0" w:rsidRDefault="00713FD0" w:rsidP="00713FD0">
      <w:pPr>
        <w:pStyle w:val="numberedeqnstyle"/>
      </w:pPr>
      <w:r w:rsidRPr="00A025AE">
        <w:tab/>
      </w:r>
      <w:r w:rsidR="00652D2A" w:rsidRPr="00652D2A">
        <w:rPr>
          <w:position w:val="-14"/>
        </w:rPr>
        <w:object w:dxaOrig="1219" w:dyaOrig="400" w14:anchorId="7AD64475">
          <v:shape id="_x0000_i1131" type="#_x0000_t75" style="width:61.8pt;height:18.25pt" o:ole="">
            <v:imagedata r:id="rId246" o:title=""/>
          </v:shape>
          <o:OLEObject Type="Embed" ProgID="Equation.3" ShapeID="_x0000_i1131" DrawAspect="Content" ObjectID="_1457171783" r:id="rId247"/>
        </w:object>
      </w:r>
      <w:r w:rsidR="00C35AAE">
        <w:t>.</w:t>
      </w:r>
      <w:r>
        <w:tab/>
      </w:r>
      <w:r>
        <w:fldChar w:fldCharType="begin"/>
      </w:r>
      <w:r>
        <w:instrText xml:space="preserve"> LISTNUM EQN \l 2 </w:instrText>
      </w:r>
      <w:r>
        <w:fldChar w:fldCharType="end"/>
      </w:r>
      <w:r>
        <w:t>)</w:t>
      </w:r>
    </w:p>
    <w:p w14:paraId="239DDEC2" w14:textId="1005BD8B" w:rsidR="008E4653" w:rsidRDefault="00206646" w:rsidP="00CB67DB">
      <w:r>
        <w:t>The</w:t>
      </w:r>
      <w:r w:rsidR="008E4653">
        <w:t xml:space="preserve"> wall-offset distance is calculated as half the height of the local wall-adjacent boundary mesh element</w:t>
      </w:r>
      <w:r w:rsidR="00CB67DB">
        <w:t xml:space="preserve"> or that value which produces a </w:t>
      </w:r>
      <w:r w:rsidR="00344BEF" w:rsidRPr="006732AB">
        <w:rPr>
          <w:position w:val="-10"/>
        </w:rPr>
        <w:object w:dxaOrig="300" w:dyaOrig="360" w14:anchorId="6197C093">
          <v:shape id="_x0000_i1132" type="#_x0000_t75" style="width:15.05pt;height:18.25pt" o:ole="">
            <v:imagedata r:id="rId244" o:title=""/>
          </v:shape>
          <o:OLEObject Type="Embed" ProgID="Equation.3" ShapeID="_x0000_i1132" DrawAspect="Content" ObjectID="_1457171784" r:id="rId248"/>
        </w:object>
      </w:r>
      <w:r w:rsidR="00CB67DB">
        <w:t xml:space="preserve"> </w:t>
      </w:r>
      <w:r w:rsidR="00344BEF">
        <w:t>of 11.06, whichever is greater</w:t>
      </w:r>
      <w:r w:rsidR="008E4653">
        <w:t xml:space="preserve">.  </w:t>
      </w:r>
      <w:r w:rsidR="00344BEF">
        <w:t xml:space="preserve">A </w:t>
      </w:r>
      <w:r w:rsidR="00344BEF" w:rsidRPr="006732AB">
        <w:rPr>
          <w:position w:val="-10"/>
        </w:rPr>
        <w:object w:dxaOrig="300" w:dyaOrig="360" w14:anchorId="16806D32">
          <v:shape id="_x0000_i1133" type="#_x0000_t75" style="width:15.05pt;height:18.25pt" o:ole="">
            <v:imagedata r:id="rId244" o:title=""/>
          </v:shape>
          <o:OLEObject Type="Embed" ProgID="Equation.3" ShapeID="_x0000_i1133" DrawAspect="Content" ObjectID="_1457171785" r:id="rId249"/>
        </w:object>
      </w:r>
      <w:r w:rsidR="00344BEF">
        <w:t xml:space="preserve"> of 11.06 corresponds to </w:t>
      </w:r>
      <w:r w:rsidR="00344BEF">
        <w:lastRenderedPageBreak/>
        <w:t>the dimens</w:t>
      </w:r>
      <w:r w:rsidR="007840A3">
        <w:t xml:space="preserve">ionless distance from the wall, </w:t>
      </w:r>
      <w:r w:rsidR="007840A3" w:rsidRPr="004C1A6F">
        <w:rPr>
          <w:position w:val="-10"/>
        </w:rPr>
        <w:object w:dxaOrig="300" w:dyaOrig="360" w14:anchorId="3FA8AC6C">
          <v:shape id="_x0000_i1134" type="#_x0000_t75" style="width:15.05pt;height:18.25pt" o:ole="">
            <v:imagedata r:id="rId250" o:title=""/>
          </v:shape>
          <o:OLEObject Type="Embed" ProgID="Equation.3" ShapeID="_x0000_i1134" DrawAspect="Content" ObjectID="_1457171786" r:id="rId251"/>
        </w:object>
      </w:r>
      <w:r w:rsidR="00344BEF">
        <w:t xml:space="preserve">, where the linear velocity profile relationship of the near-wall viscous sublayer intersects the logarithmic relationship of the inner log-law layer.  This intersection is shown in Fig. </w:t>
      </w:r>
      <w:r w:rsidR="00344BEF">
        <w:fldChar w:fldCharType="begin"/>
      </w:r>
      <w:r w:rsidR="00344BEF">
        <w:instrText xml:space="preserve"> REF _Ref379461520 \r \h </w:instrText>
      </w:r>
      <w:r w:rsidR="00344BEF">
        <w:fldChar w:fldCharType="separate"/>
      </w:r>
      <w:r w:rsidR="001C5EC1">
        <w:t>5.10</w:t>
      </w:r>
      <w:r w:rsidR="00344BEF">
        <w:fldChar w:fldCharType="end"/>
      </w:r>
      <w:r w:rsidR="00344BEF">
        <w:t>.  In reality, the velocity profile does not adhere to either relationship all the way up to the point of intersection but connects smoothly between the two across a buffer layer</w:t>
      </w:r>
      <w:r w:rsidR="00086818">
        <w:t>, as demonstrated by the Spalding approximation</w:t>
      </w:r>
      <w:r w:rsidR="00344BEF">
        <w:t>.</w:t>
      </w:r>
    </w:p>
    <w:p w14:paraId="1E11D8E3" w14:textId="05828905" w:rsidR="00436E37" w:rsidRDefault="00206646" w:rsidP="003E0C5E">
      <w:pPr>
        <w:pStyle w:val="PictureSytel"/>
      </w:pPr>
      <w:r w:rsidRPr="00206646">
        <w:rPr>
          <w:noProof/>
        </w:rPr>
        <w:drawing>
          <wp:inline distT="0" distB="0" distL="0" distR="0" wp14:anchorId="2179812C" wp14:editId="1E08ECAF">
            <wp:extent cx="5029200" cy="2839208"/>
            <wp:effectExtent l="19050" t="19050" r="19050" b="184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atk\Desktop\log_law.eps"/>
                    <pic:cNvPicPr>
                      <a:picLocks noChangeAspect="1" noChangeArrowheads="1"/>
                    </pic:cNvPicPr>
                  </pic:nvPicPr>
                  <pic:blipFill rotWithShape="1">
                    <a:blip r:embed="rId252">
                      <a:extLst>
                        <a:ext uri="{28A0092B-C50C-407E-A947-70E740481C1C}">
                          <a14:useLocalDpi xmlns:a14="http://schemas.microsoft.com/office/drawing/2010/main" val="0"/>
                        </a:ext>
                      </a:extLst>
                    </a:blip>
                    <a:srcRect l="8174" t="4595" r="6413"/>
                    <a:stretch/>
                  </pic:blipFill>
                  <pic:spPr bwMode="auto">
                    <a:xfrm>
                      <a:off x="0" y="0"/>
                      <a:ext cx="5073854" cy="2864417"/>
                    </a:xfrm>
                    <a:prstGeom prst="rect">
                      <a:avLst/>
                    </a:prstGeom>
                    <a:noFill/>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F57E4AC" w14:textId="1F1EE143" w:rsidR="00206646" w:rsidRDefault="00206646" w:rsidP="00206646">
      <w:pPr>
        <w:pStyle w:val="FigTitleStyle"/>
      </w:pPr>
      <w:bookmarkStart w:id="168" w:name="_Toc380156115"/>
      <w:bookmarkStart w:id="169" w:name="_Toc380157661"/>
      <w:bookmarkStart w:id="170" w:name="_Toc382920265"/>
      <w:r>
        <w:t xml:space="preserve">Fig. </w:t>
      </w:r>
      <w:r>
        <w:fldChar w:fldCharType="begin"/>
      </w:r>
      <w:bookmarkStart w:id="171" w:name="_Ref379461520"/>
      <w:bookmarkEnd w:id="171"/>
      <w:r>
        <w:instrText xml:space="preserve"> LISTNUM FIG \l 2 </w:instrText>
      </w:r>
      <w:r>
        <w:fldChar w:fldCharType="end"/>
      </w:r>
      <w:r>
        <w:t xml:space="preserve">.  </w:t>
      </w:r>
      <w:r w:rsidR="008F4802">
        <w:t>Law of the Wall</w:t>
      </w:r>
      <w:r>
        <w:t xml:space="preserve">.  </w:t>
      </w:r>
      <w:r w:rsidR="008F4802">
        <w:rPr>
          <w:b w:val="0"/>
        </w:rPr>
        <w:t xml:space="preserve">The linear relation for </w:t>
      </w:r>
      <w:r w:rsidR="008F4802">
        <w:rPr>
          <w:b w:val="0"/>
          <w:i/>
        </w:rPr>
        <w:t>u</w:t>
      </w:r>
      <w:r w:rsidR="008F4802">
        <w:rPr>
          <w:b w:val="0"/>
          <w:i/>
          <w:vertAlign w:val="superscript"/>
        </w:rPr>
        <w:t>+</w:t>
      </w:r>
      <w:r w:rsidR="008F4802">
        <w:rPr>
          <w:b w:val="0"/>
        </w:rPr>
        <w:t>, in blue, is valid to the left of the intersection point</w:t>
      </w:r>
      <w:r w:rsidR="002360F1">
        <w:rPr>
          <w:b w:val="0"/>
        </w:rPr>
        <w:t xml:space="preserve"> in the viscous sublayer</w:t>
      </w:r>
      <w:r w:rsidR="008F4802">
        <w:rPr>
          <w:b w:val="0"/>
        </w:rPr>
        <w:t>.  The logarithmic relation, in green, is valid to the right</w:t>
      </w:r>
      <w:r w:rsidR="002360F1">
        <w:rPr>
          <w:b w:val="0"/>
        </w:rPr>
        <w:t xml:space="preserve"> in the inner log-law layer</w:t>
      </w:r>
      <w:r w:rsidR="00EB433B">
        <w:rPr>
          <w:b w:val="0"/>
        </w:rPr>
        <w:t>.  The smooth Spalding approximation, in teal, is valid throughout.</w:t>
      </w:r>
      <w:bookmarkStart w:id="172" w:name="_Ref381015659"/>
      <w:r w:rsidR="00CB67DB" w:rsidRPr="00CB67DB">
        <w:rPr>
          <w:rStyle w:val="EndnoteReference"/>
          <w:b w:val="0"/>
        </w:rPr>
        <w:endnoteReference w:id="60"/>
      </w:r>
      <w:bookmarkEnd w:id="172"/>
      <w:r w:rsidR="005D0C00">
        <w:rPr>
          <w:b w:val="0"/>
        </w:rPr>
        <w:t xml:space="preserve">  The von Kármán constant, </w:t>
      </w:r>
      <w:r w:rsidR="005D0C00">
        <w:rPr>
          <w:b w:val="0"/>
          <w:i/>
        </w:rPr>
        <w:t>κ</w:t>
      </w:r>
      <w:r w:rsidR="005D0C00">
        <w:rPr>
          <w:b w:val="0"/>
        </w:rPr>
        <w:t xml:space="preserve">, equals 0.41.  </w:t>
      </w:r>
      <w:r w:rsidR="005D0C00">
        <w:rPr>
          <w:b w:val="0"/>
          <w:i/>
        </w:rPr>
        <w:t>B</w:t>
      </w:r>
      <w:r w:rsidR="002B23C9">
        <w:rPr>
          <w:b w:val="0"/>
        </w:rPr>
        <w:t xml:space="preserve"> equals ~5.5</w:t>
      </w:r>
      <w:r w:rsidR="005D0C00">
        <w:rPr>
          <w:b w:val="0"/>
        </w:rPr>
        <w:t>.</w:t>
      </w:r>
      <w:bookmarkEnd w:id="168"/>
      <w:bookmarkEnd w:id="169"/>
      <w:bookmarkEnd w:id="170"/>
    </w:p>
    <w:p w14:paraId="7451D3C4" w14:textId="52C81A1F" w:rsidR="00CB67DB" w:rsidRDefault="00CB67DB" w:rsidP="00D26BAB">
      <w:r>
        <w:t xml:space="preserve">The velocity profile across the computational gap </w:t>
      </w:r>
      <w:r w:rsidRPr="006732AB">
        <w:rPr>
          <w:position w:val="-10"/>
        </w:rPr>
        <w:object w:dxaOrig="300" w:dyaOrig="360" w14:anchorId="4B20D479">
          <v:shape id="_x0000_i1135" type="#_x0000_t75" style="width:15.05pt;height:18.25pt" o:ole="">
            <v:imagedata r:id="rId244" o:title=""/>
          </v:shape>
          <o:OLEObject Type="Embed" ProgID="Equation.3" ShapeID="_x0000_i1135" DrawAspect="Content" ObjectID="_1457171787" r:id="rId253"/>
        </w:object>
      </w:r>
      <w:r>
        <w:t xml:space="preserve"> is modeled using the linear relationship of the viscous sublayer according to</w:t>
      </w:r>
    </w:p>
    <w:p w14:paraId="285F53ED" w14:textId="77777777" w:rsidR="00CB67DB" w:rsidRDefault="00CB67DB" w:rsidP="00CB67DB">
      <w:pPr>
        <w:pStyle w:val="numberedeqnstyle"/>
      </w:pPr>
      <w:r w:rsidRPr="00A025AE">
        <w:tab/>
      </w:r>
      <w:r w:rsidR="007840A3" w:rsidRPr="00CB67DB">
        <w:rPr>
          <w:position w:val="-28"/>
        </w:rPr>
        <w:object w:dxaOrig="3159" w:dyaOrig="639" w14:anchorId="7C3F6DAC">
          <v:shape id="_x0000_i1136" type="#_x0000_t75" style="width:158.5pt;height:29pt" o:ole="">
            <v:imagedata r:id="rId254" o:title=""/>
          </v:shape>
          <o:OLEObject Type="Embed" ProgID="Equation.3" ShapeID="_x0000_i1136" DrawAspect="Content" ObjectID="_1457171788" r:id="rId255"/>
        </w:object>
      </w:r>
      <w:r>
        <w:tab/>
      </w:r>
      <w:r>
        <w:fldChar w:fldCharType="begin"/>
      </w:r>
      <w:r>
        <w:instrText xml:space="preserve"> LISTNUM EQN \l 2 </w:instrText>
      </w:r>
      <w:r>
        <w:fldChar w:fldCharType="end"/>
      </w:r>
      <w:r>
        <w:t>)</w:t>
      </w:r>
    </w:p>
    <w:p w14:paraId="56995113" w14:textId="3BB9F79E" w:rsidR="00CB67DB" w:rsidRDefault="007840A3" w:rsidP="007840A3">
      <w:pPr>
        <w:ind w:firstLine="0"/>
      </w:pPr>
      <w:r>
        <w:t xml:space="preserve">where </w:t>
      </w:r>
      <w:r>
        <w:rPr>
          <w:i/>
        </w:rPr>
        <w:t>u</w:t>
      </w:r>
      <w:r>
        <w:rPr>
          <w:i/>
          <w:vertAlign w:val="subscript"/>
        </w:rPr>
        <w:t>tan</w:t>
      </w:r>
      <w:r>
        <w:t xml:space="preserve"> is the velocity magnitude tangent to the wall.</w:t>
      </w:r>
      <w:r w:rsidR="00AF09BF">
        <w:t xml:space="preserve">  A no-penetration Dirichlet condition is imposed on the normal velocity component along the </w:t>
      </w:r>
      <w:r w:rsidR="00AF09BF" w:rsidRPr="006732AB">
        <w:rPr>
          <w:position w:val="-10"/>
        </w:rPr>
        <w:object w:dxaOrig="300" w:dyaOrig="360" w14:anchorId="15FDF05E">
          <v:shape id="_x0000_i1137" type="#_x0000_t75" style="width:15.05pt;height:18.25pt" o:ole="">
            <v:imagedata r:id="rId244" o:title=""/>
          </v:shape>
          <o:OLEObject Type="Embed" ProgID="Equation.3" ShapeID="_x0000_i1137" DrawAspect="Content" ObjectID="_1457171789" r:id="rId256"/>
        </w:object>
      </w:r>
      <w:r w:rsidR="00AF09BF">
        <w:t xml:space="preserve"> border to ensure that the flow across the computational gap is purely tangent</w:t>
      </w:r>
      <w:r w:rsidR="00086818">
        <w:t>ial</w:t>
      </w:r>
      <w:r w:rsidR="00AF09BF">
        <w:t>:</w:t>
      </w:r>
    </w:p>
    <w:p w14:paraId="3821DD7F" w14:textId="77777777" w:rsidR="00AF09BF" w:rsidRDefault="00AF09BF" w:rsidP="00AF09BF">
      <w:pPr>
        <w:pStyle w:val="numberedeqnstyle"/>
      </w:pPr>
      <w:r w:rsidRPr="00A025AE">
        <w:lastRenderedPageBreak/>
        <w:tab/>
      </w:r>
      <w:r w:rsidR="000570C2" w:rsidRPr="00307E60">
        <w:rPr>
          <w:position w:val="-6"/>
        </w:rPr>
        <w:object w:dxaOrig="780" w:dyaOrig="279" w14:anchorId="0663A79D">
          <v:shape id="_x0000_i1138" type="#_x0000_t75" style="width:39.2pt;height:12.35pt" o:ole="">
            <v:imagedata r:id="rId257" o:title=""/>
          </v:shape>
          <o:OLEObject Type="Embed" ProgID="Equation.3" ShapeID="_x0000_i1138" DrawAspect="Content" ObjectID="_1457171790" r:id="rId258"/>
        </w:object>
      </w:r>
      <w:r>
        <w:t>.</w:t>
      </w:r>
      <w:r>
        <w:tab/>
      </w:r>
      <w:r>
        <w:fldChar w:fldCharType="begin"/>
      </w:r>
      <w:r>
        <w:instrText xml:space="preserve"> LISTNUM EQN \l 2 </w:instrText>
      </w:r>
      <w:r>
        <w:fldChar w:fldCharType="end"/>
      </w:r>
      <w:r>
        <w:t>)</w:t>
      </w:r>
    </w:p>
    <w:p w14:paraId="73125B4D" w14:textId="03403B42" w:rsidR="00AF09BF" w:rsidRDefault="00AF09BF" w:rsidP="00AF09BF">
      <w:r>
        <w:t xml:space="preserve">A homogenous Neumann condition is also specified for </w:t>
      </w:r>
      <w:r>
        <w:rPr>
          <w:i/>
        </w:rPr>
        <w:t>k</w:t>
      </w:r>
      <w:r>
        <w:t xml:space="preserve">.  A Dirichlet condition is imposed for </w:t>
      </w:r>
      <w:r>
        <w:rPr>
          <w:i/>
        </w:rPr>
        <w:t>ε</w:t>
      </w:r>
      <w:r>
        <w:t xml:space="preserve"> of the form</w:t>
      </w:r>
    </w:p>
    <w:p w14:paraId="47F1CF6B" w14:textId="50F54386" w:rsidR="00AF09BF" w:rsidRDefault="00AF09BF" w:rsidP="00AF09BF">
      <w:pPr>
        <w:pStyle w:val="numberedeqnstyle"/>
      </w:pPr>
      <w:r w:rsidRPr="00A025AE">
        <w:tab/>
      </w:r>
      <w:r w:rsidR="000570C2" w:rsidRPr="00AF09BF">
        <w:rPr>
          <w:position w:val="-28"/>
        </w:rPr>
        <w:object w:dxaOrig="1440" w:dyaOrig="720" w14:anchorId="155DBB94">
          <v:shape id="_x0000_i1139" type="#_x0000_t75" style="width:72.55pt;height:34.95pt" o:ole="">
            <v:imagedata r:id="rId259" o:title=""/>
          </v:shape>
          <o:OLEObject Type="Embed" ProgID="Equation.3" ShapeID="_x0000_i1139" DrawAspect="Content" ObjectID="_1457171791" r:id="rId260"/>
        </w:object>
      </w:r>
      <w:r w:rsidR="00763AB0">
        <w:t>.</w:t>
      </w:r>
      <w:r>
        <w:tab/>
      </w:r>
      <w:r>
        <w:fldChar w:fldCharType="begin"/>
      </w:r>
      <w:r>
        <w:instrText xml:space="preserve"> LISTNUM EQN \l 2 </w:instrText>
      </w:r>
      <w:r>
        <w:fldChar w:fldCharType="end"/>
      </w:r>
      <w:r>
        <w:t>)</w:t>
      </w:r>
    </w:p>
    <w:p w14:paraId="020E8CE7" w14:textId="24465BF0" w:rsidR="00AF09BF" w:rsidRDefault="00EA396F" w:rsidP="00AF09BF">
      <w:r>
        <w:t>The shear stress</w:t>
      </w:r>
      <w:r w:rsidR="00164C2B">
        <w:t xml:space="preserve"> on the </w:t>
      </w:r>
      <w:r w:rsidR="00164C2B" w:rsidRPr="006732AB">
        <w:rPr>
          <w:position w:val="-10"/>
        </w:rPr>
        <w:object w:dxaOrig="300" w:dyaOrig="360" w14:anchorId="104CE90E">
          <v:shape id="_x0000_i1140" type="#_x0000_t75" style="width:15.05pt;height:18.25pt" o:ole="">
            <v:imagedata r:id="rId244" o:title=""/>
          </v:shape>
          <o:OLEObject Type="Embed" ProgID="Equation.3" ShapeID="_x0000_i1140" DrawAspect="Content" ObjectID="_1457171792" r:id="rId261"/>
        </w:object>
      </w:r>
      <w:r w:rsidR="00164C2B">
        <w:t xml:space="preserve"> border is constrained by</w:t>
      </w:r>
    </w:p>
    <w:p w14:paraId="53B9492E" w14:textId="77777777" w:rsidR="00763AB0" w:rsidRDefault="00763AB0" w:rsidP="00763AB0">
      <w:pPr>
        <w:pStyle w:val="numberedeqnstyle"/>
      </w:pPr>
      <w:r w:rsidRPr="00A025AE">
        <w:tab/>
      </w:r>
      <w:r w:rsidR="00A55F97" w:rsidRPr="00763AB0">
        <w:rPr>
          <w:position w:val="-28"/>
        </w:rPr>
        <w:object w:dxaOrig="5800" w:dyaOrig="680" w14:anchorId="79B2998A">
          <v:shape id="_x0000_i1141" type="#_x0000_t75" style="width:295pt;height:31.15pt" o:ole="">
            <v:imagedata r:id="rId262" o:title=""/>
          </v:shape>
          <o:OLEObject Type="Embed" ProgID="Equation.3" ShapeID="_x0000_i1141" DrawAspect="Content" ObjectID="_1457171793" r:id="rId263"/>
        </w:object>
      </w:r>
      <w:r>
        <w:t>.</w:t>
      </w:r>
      <w:r>
        <w:tab/>
      </w:r>
      <w:r>
        <w:fldChar w:fldCharType="begin"/>
      </w:r>
      <w:r>
        <w:instrText xml:space="preserve"> LISTNUM EQN \l 2 </w:instrText>
      </w:r>
      <w:r>
        <w:fldChar w:fldCharType="end"/>
      </w:r>
      <w:r>
        <w:t>)</w:t>
      </w:r>
    </w:p>
    <w:p w14:paraId="3FB941BE" w14:textId="529BCAF3" w:rsidR="006F5DDA" w:rsidRDefault="00763AB0" w:rsidP="00AF09BF">
      <w:r>
        <w:t>Lastly, the heat flux across the computational gap</w:t>
      </w:r>
      <w:r w:rsidR="000570C2">
        <w:t xml:space="preserve">, </w:t>
      </w:r>
      <w:r w:rsidR="000570C2">
        <w:rPr>
          <w:i/>
        </w:rPr>
        <w:t>q</w:t>
      </w:r>
      <w:r w:rsidR="000570C2">
        <w:rPr>
          <w:i/>
          <w:vertAlign w:val="subscript"/>
        </w:rPr>
        <w:t>wf</w:t>
      </w:r>
      <w:r w:rsidR="000570C2">
        <w:t>,</w:t>
      </w:r>
      <w:r>
        <w:t xml:space="preserve"> is given by</w:t>
      </w:r>
    </w:p>
    <w:p w14:paraId="17FDEEEA" w14:textId="49A4F309" w:rsidR="00763AB0" w:rsidRDefault="00763AB0" w:rsidP="00763AB0">
      <w:pPr>
        <w:pStyle w:val="numberedeqnstyle"/>
      </w:pPr>
      <w:r w:rsidRPr="00A025AE">
        <w:tab/>
      </w:r>
      <w:r w:rsidR="0087415D" w:rsidRPr="00E768E2">
        <w:rPr>
          <w:position w:val="-24"/>
        </w:rPr>
        <w:object w:dxaOrig="2500" w:dyaOrig="660" w14:anchorId="3DA2575A">
          <v:shape id="_x0000_i1142" type="#_x0000_t75" style="width:127.9pt;height:30.65pt" o:ole="">
            <v:imagedata r:id="rId264" o:title=""/>
          </v:shape>
          <o:OLEObject Type="Embed" ProgID="Equation.3" ShapeID="_x0000_i1142" DrawAspect="Content" ObjectID="_1457171794" r:id="rId265"/>
        </w:object>
      </w:r>
      <w:r>
        <w:tab/>
      </w:r>
      <w:r>
        <w:fldChar w:fldCharType="begin"/>
      </w:r>
      <w:r>
        <w:instrText xml:space="preserve"> LISTNUM EQN \l 2 </w:instrText>
      </w:r>
      <w:r>
        <w:fldChar w:fldCharType="end"/>
      </w:r>
      <w:r>
        <w:t>)</w:t>
      </w:r>
    </w:p>
    <w:p w14:paraId="5683FBB8" w14:textId="5C7F8E74" w:rsidR="00CB67DB" w:rsidRDefault="006551A5" w:rsidP="006551A5">
      <w:pPr>
        <w:ind w:firstLine="0"/>
      </w:pPr>
      <w:r>
        <w:t>w</w:t>
      </w:r>
      <w:r w:rsidR="00586A65">
        <w:t xml:space="preserve">here the dimensionless temperature, </w:t>
      </w:r>
      <w:r w:rsidR="00586A65">
        <w:rPr>
          <w:i/>
        </w:rPr>
        <w:t>T</w:t>
      </w:r>
      <w:r w:rsidR="00586A65">
        <w:rPr>
          <w:vertAlign w:val="superscript"/>
        </w:rPr>
        <w:t xml:space="preserve"> +</w:t>
      </w:r>
      <w:r w:rsidR="00586A65">
        <w:t xml:space="preserve">, is determined as a function </w:t>
      </w:r>
      <w:r w:rsidR="00746023">
        <w:t>of</w:t>
      </w:r>
      <w:r w:rsidR="00586A65">
        <w:t xml:space="preserve"> </w:t>
      </w:r>
      <w:r w:rsidR="00586A65" w:rsidRPr="006732AB">
        <w:rPr>
          <w:position w:val="-10"/>
        </w:rPr>
        <w:object w:dxaOrig="300" w:dyaOrig="360" w14:anchorId="3D95F8ED">
          <v:shape id="_x0000_i1143" type="#_x0000_t75" style="width:15.05pt;height:18.25pt" o:ole="">
            <v:imagedata r:id="rId244" o:title=""/>
          </v:shape>
          <o:OLEObject Type="Embed" ProgID="Equation.3" ShapeID="_x0000_i1143" DrawAspect="Content" ObjectID="_1457171795" r:id="rId266"/>
        </w:object>
      </w:r>
      <w:r w:rsidR="00586A65">
        <w:t>:</w:t>
      </w:r>
    </w:p>
    <w:p w14:paraId="5BBAACA5" w14:textId="450C5F26" w:rsidR="00763AB0" w:rsidRDefault="00763AB0" w:rsidP="00763AB0">
      <w:pPr>
        <w:pStyle w:val="numberedeqnstyle"/>
      </w:pPr>
      <w:r w:rsidRPr="00A025AE">
        <w:tab/>
      </w:r>
      <w:r w:rsidR="000570C2" w:rsidRPr="000570C2">
        <w:rPr>
          <w:position w:val="-102"/>
        </w:rPr>
        <w:object w:dxaOrig="6500" w:dyaOrig="2140" w14:anchorId="2AD22AA4">
          <v:shape id="_x0000_i1144" type="#_x0000_t75" style="width:330.45pt;height:99.4pt" o:ole="">
            <v:imagedata r:id="rId267" o:title=""/>
          </v:shape>
          <o:OLEObject Type="Embed" ProgID="Equation.3" ShapeID="_x0000_i1144" DrawAspect="Content" ObjectID="_1457171796" r:id="rId268"/>
        </w:object>
      </w:r>
      <w:r>
        <w:tab/>
      </w:r>
      <w:r>
        <w:fldChar w:fldCharType="begin"/>
      </w:r>
      <w:r>
        <w:instrText xml:space="preserve"> LISTNUM EQN \l 2 </w:instrText>
      </w:r>
      <w:r>
        <w:fldChar w:fldCharType="end"/>
      </w:r>
      <w:r>
        <w:t>)</w:t>
      </w:r>
    </w:p>
    <w:p w14:paraId="50D5710D" w14:textId="7916D31E" w:rsidR="00CB67DB" w:rsidRDefault="006551A5" w:rsidP="006551A5">
      <w:pPr>
        <w:ind w:firstLine="0"/>
      </w:pPr>
      <w:r>
        <w:t>where</w:t>
      </w:r>
    </w:p>
    <w:p w14:paraId="2775C94A" w14:textId="1C8C5142" w:rsidR="006551A5" w:rsidRDefault="006551A5" w:rsidP="006551A5">
      <w:pPr>
        <w:pStyle w:val="numberedeqnstyle"/>
      </w:pPr>
      <w:r w:rsidRPr="00A025AE">
        <w:tab/>
      </w:r>
      <w:r w:rsidRPr="006551A5">
        <w:rPr>
          <w:position w:val="-10"/>
        </w:rPr>
        <w:object w:dxaOrig="1280" w:dyaOrig="360" w14:anchorId="7D57AC31">
          <v:shape id="_x0000_i1145" type="#_x0000_t75" style="width:65pt;height:15.6pt" o:ole="">
            <v:imagedata r:id="rId269" o:title=""/>
          </v:shape>
          <o:OLEObject Type="Embed" ProgID="Equation.3" ShapeID="_x0000_i1145" DrawAspect="Content" ObjectID="_1457171797" r:id="rId270"/>
        </w:object>
      </w:r>
      <w:r w:rsidR="00843A0F">
        <w:t>,</w:t>
      </w:r>
      <w:r>
        <w:tab/>
      </w:r>
      <w:r>
        <w:fldChar w:fldCharType="begin"/>
      </w:r>
      <w:r>
        <w:instrText xml:space="preserve"> LISTNUM EQN \l 2 </w:instrText>
      </w:r>
      <w:r>
        <w:fldChar w:fldCharType="end"/>
      </w:r>
      <w:r>
        <w:t>)</w:t>
      </w:r>
    </w:p>
    <w:p w14:paraId="07389E55" w14:textId="4E2D94C4" w:rsidR="006551A5" w:rsidRDefault="006551A5" w:rsidP="006551A5">
      <w:pPr>
        <w:pStyle w:val="numberedeqnstyle"/>
      </w:pPr>
      <w:r w:rsidRPr="00A025AE">
        <w:tab/>
      </w:r>
      <w:r w:rsidR="00BA5FF7" w:rsidRPr="006551A5">
        <w:rPr>
          <w:position w:val="-30"/>
        </w:rPr>
        <w:object w:dxaOrig="1500" w:dyaOrig="700" w14:anchorId="0463E443">
          <v:shape id="_x0000_i1146" type="#_x0000_t75" style="width:76.85pt;height:31.15pt" o:ole="">
            <v:imagedata r:id="rId271" o:title=""/>
          </v:shape>
          <o:OLEObject Type="Embed" ProgID="Equation.3" ShapeID="_x0000_i1146" DrawAspect="Content" ObjectID="_1457171798" r:id="rId272"/>
        </w:object>
      </w:r>
      <w:r w:rsidR="00843A0F">
        <w:t>,</w:t>
      </w:r>
      <w:r>
        <w:tab/>
      </w:r>
      <w:r>
        <w:fldChar w:fldCharType="begin"/>
      </w:r>
      <w:r>
        <w:instrText xml:space="preserve"> LISTNUM EQN \l 2 </w:instrText>
      </w:r>
      <w:r>
        <w:fldChar w:fldCharType="end"/>
      </w:r>
      <w:r>
        <w:t>)</w:t>
      </w:r>
    </w:p>
    <w:p w14:paraId="415AA9B6" w14:textId="5B807A61" w:rsidR="00843A0F" w:rsidRDefault="00843A0F" w:rsidP="00843A0F">
      <w:pPr>
        <w:ind w:firstLine="0"/>
      </w:pPr>
      <w:r>
        <w:t>and</w:t>
      </w:r>
    </w:p>
    <w:p w14:paraId="3768E49E" w14:textId="319035B5" w:rsidR="00425E6D" w:rsidRDefault="006551A5" w:rsidP="00566AA3">
      <w:pPr>
        <w:pStyle w:val="numberedeqnstyle"/>
      </w:pPr>
      <w:r w:rsidRPr="00A025AE">
        <w:tab/>
      </w:r>
      <w:r w:rsidR="0087415D" w:rsidRPr="006551A5">
        <w:rPr>
          <w:position w:val="-22"/>
        </w:rPr>
        <w:object w:dxaOrig="900" w:dyaOrig="600" w14:anchorId="758575BE">
          <v:shape id="_x0000_i1147" type="#_x0000_t75" style="width:46.2pt;height:27.95pt" o:ole="">
            <v:imagedata r:id="rId273" o:title=""/>
          </v:shape>
          <o:OLEObject Type="Embed" ProgID="Equation.3" ShapeID="_x0000_i1147" DrawAspect="Content" ObjectID="_1457171799" r:id="rId274"/>
        </w:object>
      </w:r>
      <w:r w:rsidR="00295ACC">
        <w:t>.</w:t>
      </w:r>
      <w:r>
        <w:tab/>
      </w:r>
      <w:r>
        <w:fldChar w:fldCharType="begin"/>
      </w:r>
      <w:r>
        <w:instrText xml:space="preserve"> LISTNUM EQN \l 2 </w:instrText>
      </w:r>
      <w:r>
        <w:fldChar w:fldCharType="end"/>
      </w:r>
      <w:r>
        <w:t>)</w:t>
      </w:r>
    </w:p>
    <w:p w14:paraId="5880265A" w14:textId="490E41A6" w:rsidR="00213ECB" w:rsidRDefault="00213ECB" w:rsidP="00213ECB">
      <w:pPr>
        <w:pStyle w:val="Heading2"/>
      </w:pPr>
      <w:r>
        <w:lastRenderedPageBreak/>
        <w:fldChar w:fldCharType="begin"/>
      </w:r>
      <w:r>
        <w:instrText xml:space="preserve"> LISTNUM CHAP \l 2 </w:instrText>
      </w:r>
      <w:bookmarkStart w:id="173" w:name="_Toc382921545"/>
      <w:r>
        <w:fldChar w:fldCharType="end"/>
      </w:r>
      <w:r>
        <w:t xml:space="preserve">    Meshing</w:t>
      </w:r>
      <w:bookmarkEnd w:id="173"/>
    </w:p>
    <w:p w14:paraId="76BE21A7" w14:textId="3A436D5E" w:rsidR="00B538D5" w:rsidRDefault="00CA10A3" w:rsidP="00F0508E">
      <w:pPr>
        <w:spacing w:after="720"/>
        <w:ind w:firstLine="274"/>
      </w:pPr>
      <w:r>
        <w:t xml:space="preserve">The axial consistency of the 3D model makes meshing a relatively straightforward affair.  Many </w:t>
      </w:r>
      <w:r w:rsidR="004A7F13">
        <w:t>geometry components</w:t>
      </w:r>
      <w:r>
        <w:t xml:space="preserve"> can be meshed by mapping a 2D surface</w:t>
      </w:r>
      <w:r w:rsidR="00E07F95">
        <w:t xml:space="preserve"> in the </w:t>
      </w:r>
      <w:r w:rsidR="00E07F95">
        <w:rPr>
          <w:i/>
        </w:rPr>
        <w:t xml:space="preserve">s-t </w:t>
      </w:r>
      <w:r w:rsidR="00E07F95">
        <w:t>plane</w:t>
      </w:r>
      <w:r w:rsidR="004A7F13">
        <w:t xml:space="preserve"> and extruding down their</w:t>
      </w:r>
      <w:r>
        <w:t xml:space="preserve"> axial length</w:t>
      </w:r>
      <w:r w:rsidR="004A7F13">
        <w:t>s</w:t>
      </w:r>
      <w:r>
        <w:t>.  This extrusion process was modeled after the MCNP cell dist</w:t>
      </w:r>
      <w:r w:rsidR="00E07F95">
        <w:t>ribution</w:t>
      </w:r>
      <w:r w:rsidR="009A2EFD">
        <w:t>.  Tests showed that, a</w:t>
      </w:r>
      <w:r>
        <w:t>s a minimum, the fuel</w:t>
      </w:r>
      <w:r w:rsidR="00E07F95">
        <w:t xml:space="preserve"> meat</w:t>
      </w:r>
      <w:r>
        <w:t>, fuel plate, and adjacent coolant should be mapped with an axial mesh distribution</w:t>
      </w:r>
      <w:r w:rsidR="009A2EFD">
        <w:t xml:space="preserve"> at least</w:t>
      </w:r>
      <w:r>
        <w:t xml:space="preserve"> equal to the MCNP cell distribution.</w:t>
      </w:r>
      <w:r w:rsidR="003F123C">
        <w:t xml:space="preserve">  </w:t>
      </w:r>
      <w:r w:rsidR="00EE5BF5">
        <w:t xml:space="preserve">The MCNP axial cell distribution is shown in Table </w:t>
      </w:r>
      <w:r w:rsidR="00E37013">
        <w:fldChar w:fldCharType="begin"/>
      </w:r>
      <w:r w:rsidR="00E37013">
        <w:instrText xml:space="preserve"> REF _Ref379813753 \r \h </w:instrText>
      </w:r>
      <w:r w:rsidR="00E37013">
        <w:fldChar w:fldCharType="separate"/>
      </w:r>
      <w:r w:rsidR="001C5EC1">
        <w:t>5.5</w:t>
      </w:r>
      <w:r w:rsidR="00E37013">
        <w:fldChar w:fldCharType="end"/>
      </w:r>
      <w:r w:rsidR="00EE5BF5">
        <w:t xml:space="preserve">.  </w:t>
      </w:r>
      <w:r w:rsidR="00E37013">
        <w:t xml:space="preserve">The MCNP distribution is only defined for the length of the fuel meat.  It is symmetric about the </w:t>
      </w:r>
      <w:r w:rsidR="003535CC">
        <w:t>axial midplane of the fuel meat with tighter cell spacing</w:t>
      </w:r>
      <w:r w:rsidR="004A7F13">
        <w:t>s</w:t>
      </w:r>
      <w:r w:rsidR="003535CC">
        <w:t xml:space="preserve"> in the center and at the ends corresponding </w:t>
      </w:r>
      <w:r w:rsidR="003535CC" w:rsidRPr="00F0508E">
        <w:rPr>
          <w:rStyle w:val="NormalBeforeTableChar"/>
        </w:rPr>
        <w:t xml:space="preserve">to areas with the </w:t>
      </w:r>
      <w:r w:rsidR="004A7F13" w:rsidRPr="00F0508E">
        <w:rPr>
          <w:rStyle w:val="NormalBeforeTableChar"/>
        </w:rPr>
        <w:t>greatest</w:t>
      </w:r>
      <w:r w:rsidR="003535CC" w:rsidRPr="00F0508E">
        <w:rPr>
          <w:rStyle w:val="NormalBeforeTableChar"/>
        </w:rPr>
        <w:t xml:space="preserve"> heat generation.</w:t>
      </w:r>
      <w:r w:rsidR="00E37013">
        <w:t xml:space="preserve">  </w:t>
      </w:r>
    </w:p>
    <w:tbl>
      <w:tblPr>
        <w:tblW w:w="0" w:type="auto"/>
        <w:jc w:val="center"/>
        <w:tblLayout w:type="fixed"/>
        <w:tblCellMar>
          <w:left w:w="30" w:type="dxa"/>
          <w:right w:w="30" w:type="dxa"/>
        </w:tblCellMar>
        <w:tblLook w:val="0000" w:firstRow="0" w:lastRow="0" w:firstColumn="0" w:lastColumn="0" w:noHBand="0" w:noVBand="0"/>
      </w:tblPr>
      <w:tblGrid>
        <w:gridCol w:w="1514"/>
        <w:gridCol w:w="1572"/>
      </w:tblGrid>
      <w:tr w:rsidR="00E37013" w14:paraId="0919F6F6" w14:textId="77777777" w:rsidTr="00E37013">
        <w:trPr>
          <w:trHeight w:val="610"/>
          <w:jc w:val="center"/>
        </w:trPr>
        <w:tc>
          <w:tcPr>
            <w:tcW w:w="3086" w:type="dxa"/>
            <w:gridSpan w:val="2"/>
            <w:tcBorders>
              <w:top w:val="single" w:sz="6" w:space="0" w:color="auto"/>
              <w:left w:val="single" w:sz="6" w:space="0" w:color="auto"/>
              <w:bottom w:val="single" w:sz="6" w:space="0" w:color="auto"/>
              <w:right w:val="single" w:sz="6" w:space="0" w:color="auto"/>
            </w:tcBorders>
            <w:vAlign w:val="center"/>
          </w:tcPr>
          <w:p w14:paraId="553B9069" w14:textId="7DFB397F" w:rsidR="00E37013" w:rsidRPr="00725481" w:rsidRDefault="00E37013" w:rsidP="00A619DC">
            <w:pPr>
              <w:pStyle w:val="NoSpacing"/>
            </w:pPr>
            <w:bookmarkStart w:id="174" w:name="_Toc382920197"/>
            <w:r w:rsidRPr="00725481">
              <w:t xml:space="preserve">Table </w:t>
            </w:r>
            <w:r w:rsidRPr="00725481">
              <w:fldChar w:fldCharType="begin"/>
            </w:r>
            <w:bookmarkStart w:id="175" w:name="_Ref379813753"/>
            <w:bookmarkEnd w:id="175"/>
            <w:r w:rsidRPr="00725481">
              <w:instrText xml:space="preserve"> LISTNUM TAB \l 2</w:instrText>
            </w:r>
            <w:r w:rsidRPr="00725481">
              <w:fldChar w:fldCharType="end"/>
            </w:r>
            <w:r w:rsidRPr="00725481">
              <w:t>: MCNP Axial</w:t>
            </w:r>
            <w:r w:rsidR="00A619DC">
              <w:br/>
            </w:r>
            <w:r w:rsidRPr="00725481">
              <w:t>Cell Distribution</w:t>
            </w:r>
            <w:bookmarkEnd w:id="174"/>
          </w:p>
        </w:tc>
      </w:tr>
      <w:tr w:rsidR="00E37013" w14:paraId="348ABAFA"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4423FAD5" w14:textId="790FD3B5"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Cell Wall Axial Position (cm)</w:t>
            </w:r>
          </w:p>
        </w:tc>
        <w:tc>
          <w:tcPr>
            <w:tcW w:w="1572" w:type="dxa"/>
            <w:tcBorders>
              <w:top w:val="single" w:sz="6" w:space="0" w:color="auto"/>
              <w:left w:val="single" w:sz="6" w:space="0" w:color="auto"/>
              <w:bottom w:val="single" w:sz="6" w:space="0" w:color="auto"/>
              <w:right w:val="single" w:sz="6" w:space="0" w:color="auto"/>
            </w:tcBorders>
            <w:vAlign w:val="center"/>
          </w:tcPr>
          <w:p w14:paraId="335A9173" w14:textId="6F39C754"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Cell Height (cm)</w:t>
            </w:r>
          </w:p>
        </w:tc>
      </w:tr>
      <w:tr w:rsidR="00E37013" w14:paraId="44C08401"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4933C643"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50.8</w:t>
            </w:r>
          </w:p>
        </w:tc>
        <w:tc>
          <w:tcPr>
            <w:tcW w:w="1572" w:type="dxa"/>
            <w:tcBorders>
              <w:top w:val="single" w:sz="6" w:space="0" w:color="auto"/>
              <w:left w:val="single" w:sz="6" w:space="0" w:color="auto"/>
              <w:bottom w:val="single" w:sz="6" w:space="0" w:color="auto"/>
              <w:right w:val="single" w:sz="6" w:space="0" w:color="auto"/>
            </w:tcBorders>
            <w:vAlign w:val="center"/>
          </w:tcPr>
          <w:p w14:paraId="6249D014"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0.5</w:t>
            </w:r>
          </w:p>
        </w:tc>
      </w:tr>
      <w:tr w:rsidR="00E37013" w14:paraId="0551D9ED"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2894F40E"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50.3</w:t>
            </w:r>
          </w:p>
        </w:tc>
        <w:tc>
          <w:tcPr>
            <w:tcW w:w="1572" w:type="dxa"/>
            <w:tcBorders>
              <w:top w:val="single" w:sz="6" w:space="0" w:color="auto"/>
              <w:left w:val="single" w:sz="6" w:space="0" w:color="auto"/>
              <w:bottom w:val="single" w:sz="6" w:space="0" w:color="auto"/>
              <w:right w:val="single" w:sz="6" w:space="0" w:color="auto"/>
            </w:tcBorders>
            <w:vAlign w:val="center"/>
          </w:tcPr>
          <w:p w14:paraId="756380D1"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0.5</w:t>
            </w:r>
          </w:p>
        </w:tc>
      </w:tr>
      <w:tr w:rsidR="00E37013" w14:paraId="5F6A1D39"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30220049"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49.8</w:t>
            </w:r>
          </w:p>
        </w:tc>
        <w:tc>
          <w:tcPr>
            <w:tcW w:w="1572" w:type="dxa"/>
            <w:tcBorders>
              <w:top w:val="single" w:sz="6" w:space="0" w:color="auto"/>
              <w:left w:val="single" w:sz="6" w:space="0" w:color="auto"/>
              <w:bottom w:val="single" w:sz="6" w:space="0" w:color="auto"/>
              <w:right w:val="single" w:sz="6" w:space="0" w:color="auto"/>
            </w:tcBorders>
            <w:vAlign w:val="center"/>
          </w:tcPr>
          <w:p w14:paraId="2371CA49"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1</w:t>
            </w:r>
          </w:p>
        </w:tc>
      </w:tr>
      <w:tr w:rsidR="00E37013" w14:paraId="6B84B070"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04EFF139"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48.8</w:t>
            </w:r>
          </w:p>
        </w:tc>
        <w:tc>
          <w:tcPr>
            <w:tcW w:w="1572" w:type="dxa"/>
            <w:tcBorders>
              <w:top w:val="single" w:sz="6" w:space="0" w:color="auto"/>
              <w:left w:val="single" w:sz="6" w:space="0" w:color="auto"/>
              <w:bottom w:val="single" w:sz="6" w:space="0" w:color="auto"/>
              <w:right w:val="single" w:sz="6" w:space="0" w:color="auto"/>
            </w:tcBorders>
            <w:vAlign w:val="center"/>
          </w:tcPr>
          <w:p w14:paraId="0405BF33"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1</w:t>
            </w:r>
          </w:p>
        </w:tc>
      </w:tr>
      <w:tr w:rsidR="00E37013" w14:paraId="7EAB5DE6"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5C719945"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47.8</w:t>
            </w:r>
          </w:p>
        </w:tc>
        <w:tc>
          <w:tcPr>
            <w:tcW w:w="1572" w:type="dxa"/>
            <w:tcBorders>
              <w:top w:val="single" w:sz="6" w:space="0" w:color="auto"/>
              <w:left w:val="single" w:sz="6" w:space="0" w:color="auto"/>
              <w:bottom w:val="single" w:sz="6" w:space="0" w:color="auto"/>
              <w:right w:val="single" w:sz="6" w:space="0" w:color="auto"/>
            </w:tcBorders>
            <w:vAlign w:val="center"/>
          </w:tcPr>
          <w:p w14:paraId="0D11CB27"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1.4</w:t>
            </w:r>
          </w:p>
        </w:tc>
      </w:tr>
      <w:tr w:rsidR="00E37013" w14:paraId="3374FCCE"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0F3E2C61"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46.4</w:t>
            </w:r>
          </w:p>
        </w:tc>
        <w:tc>
          <w:tcPr>
            <w:tcW w:w="1572" w:type="dxa"/>
            <w:tcBorders>
              <w:top w:val="single" w:sz="6" w:space="0" w:color="auto"/>
              <w:left w:val="single" w:sz="6" w:space="0" w:color="auto"/>
              <w:bottom w:val="single" w:sz="6" w:space="0" w:color="auto"/>
              <w:right w:val="single" w:sz="6" w:space="0" w:color="auto"/>
            </w:tcBorders>
            <w:vAlign w:val="center"/>
          </w:tcPr>
          <w:p w14:paraId="5F394766"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4.2</w:t>
            </w:r>
          </w:p>
        </w:tc>
      </w:tr>
      <w:tr w:rsidR="00E37013" w14:paraId="1162216D"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2A134221"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42.2</w:t>
            </w:r>
          </w:p>
        </w:tc>
        <w:tc>
          <w:tcPr>
            <w:tcW w:w="1572" w:type="dxa"/>
            <w:tcBorders>
              <w:top w:val="single" w:sz="6" w:space="0" w:color="auto"/>
              <w:left w:val="single" w:sz="6" w:space="0" w:color="auto"/>
              <w:bottom w:val="single" w:sz="6" w:space="0" w:color="auto"/>
              <w:right w:val="single" w:sz="6" w:space="0" w:color="auto"/>
            </w:tcBorders>
            <w:vAlign w:val="center"/>
          </w:tcPr>
          <w:p w14:paraId="3FDCB6EB"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4.2</w:t>
            </w:r>
          </w:p>
        </w:tc>
      </w:tr>
      <w:tr w:rsidR="00E37013" w14:paraId="74A2B26B"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7CA91415"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38</w:t>
            </w:r>
          </w:p>
        </w:tc>
        <w:tc>
          <w:tcPr>
            <w:tcW w:w="1572" w:type="dxa"/>
            <w:tcBorders>
              <w:top w:val="single" w:sz="6" w:space="0" w:color="auto"/>
              <w:left w:val="single" w:sz="6" w:space="0" w:color="auto"/>
              <w:bottom w:val="single" w:sz="6" w:space="0" w:color="auto"/>
              <w:right w:val="single" w:sz="6" w:space="0" w:color="auto"/>
            </w:tcBorders>
            <w:vAlign w:val="center"/>
          </w:tcPr>
          <w:p w14:paraId="7D746063"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8.4</w:t>
            </w:r>
          </w:p>
        </w:tc>
      </w:tr>
      <w:tr w:rsidR="00E37013" w14:paraId="2E7F0210"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20A3A7D6"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29.6</w:t>
            </w:r>
          </w:p>
        </w:tc>
        <w:tc>
          <w:tcPr>
            <w:tcW w:w="1572" w:type="dxa"/>
            <w:tcBorders>
              <w:top w:val="single" w:sz="6" w:space="0" w:color="auto"/>
              <w:left w:val="single" w:sz="6" w:space="0" w:color="auto"/>
              <w:bottom w:val="single" w:sz="6" w:space="0" w:color="auto"/>
              <w:right w:val="single" w:sz="6" w:space="0" w:color="auto"/>
            </w:tcBorders>
            <w:vAlign w:val="center"/>
          </w:tcPr>
          <w:p w14:paraId="416A850C"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3.2</w:t>
            </w:r>
          </w:p>
        </w:tc>
      </w:tr>
      <w:tr w:rsidR="00E37013" w14:paraId="710A54FF"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597EFE72"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26.4</w:t>
            </w:r>
          </w:p>
        </w:tc>
        <w:tc>
          <w:tcPr>
            <w:tcW w:w="1572" w:type="dxa"/>
            <w:tcBorders>
              <w:top w:val="single" w:sz="6" w:space="0" w:color="auto"/>
              <w:left w:val="single" w:sz="6" w:space="0" w:color="auto"/>
              <w:bottom w:val="single" w:sz="6" w:space="0" w:color="auto"/>
              <w:right w:val="single" w:sz="6" w:space="0" w:color="auto"/>
            </w:tcBorders>
            <w:vAlign w:val="center"/>
          </w:tcPr>
          <w:p w14:paraId="77F4450F"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2</w:t>
            </w:r>
          </w:p>
        </w:tc>
      </w:tr>
      <w:tr w:rsidR="00E37013" w14:paraId="159BBC63"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346BA0EA"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24.4</w:t>
            </w:r>
          </w:p>
        </w:tc>
        <w:tc>
          <w:tcPr>
            <w:tcW w:w="1572" w:type="dxa"/>
            <w:tcBorders>
              <w:top w:val="single" w:sz="6" w:space="0" w:color="auto"/>
              <w:left w:val="single" w:sz="6" w:space="0" w:color="auto"/>
              <w:bottom w:val="single" w:sz="6" w:space="0" w:color="auto"/>
              <w:right w:val="single" w:sz="6" w:space="0" w:color="auto"/>
            </w:tcBorders>
            <w:vAlign w:val="center"/>
          </w:tcPr>
          <w:p w14:paraId="2009089A"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3.2</w:t>
            </w:r>
          </w:p>
        </w:tc>
      </w:tr>
      <w:tr w:rsidR="00E37013" w14:paraId="43DA3BCA"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1296DD89"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21.2</w:t>
            </w:r>
          </w:p>
        </w:tc>
        <w:tc>
          <w:tcPr>
            <w:tcW w:w="1572" w:type="dxa"/>
            <w:tcBorders>
              <w:top w:val="single" w:sz="6" w:space="0" w:color="auto"/>
              <w:left w:val="single" w:sz="6" w:space="0" w:color="auto"/>
              <w:bottom w:val="single" w:sz="6" w:space="0" w:color="auto"/>
              <w:right w:val="single" w:sz="6" w:space="0" w:color="auto"/>
            </w:tcBorders>
            <w:vAlign w:val="center"/>
          </w:tcPr>
          <w:p w14:paraId="40BD93C1"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8.4</w:t>
            </w:r>
          </w:p>
        </w:tc>
      </w:tr>
      <w:tr w:rsidR="00E37013" w14:paraId="26B0C484"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263484B5"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12.8</w:t>
            </w:r>
          </w:p>
        </w:tc>
        <w:tc>
          <w:tcPr>
            <w:tcW w:w="1572" w:type="dxa"/>
            <w:tcBorders>
              <w:top w:val="single" w:sz="6" w:space="0" w:color="auto"/>
              <w:left w:val="single" w:sz="6" w:space="0" w:color="auto"/>
              <w:bottom w:val="single" w:sz="6" w:space="0" w:color="auto"/>
              <w:right w:val="single" w:sz="6" w:space="0" w:color="auto"/>
            </w:tcBorders>
            <w:vAlign w:val="center"/>
          </w:tcPr>
          <w:p w14:paraId="47D3E2CE"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4.2</w:t>
            </w:r>
          </w:p>
        </w:tc>
      </w:tr>
      <w:tr w:rsidR="00E37013" w14:paraId="0D784AA9"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666FC0F6"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8.6</w:t>
            </w:r>
          </w:p>
        </w:tc>
        <w:tc>
          <w:tcPr>
            <w:tcW w:w="1572" w:type="dxa"/>
            <w:tcBorders>
              <w:top w:val="single" w:sz="6" w:space="0" w:color="auto"/>
              <w:left w:val="single" w:sz="6" w:space="0" w:color="auto"/>
              <w:bottom w:val="single" w:sz="6" w:space="0" w:color="auto"/>
              <w:right w:val="single" w:sz="6" w:space="0" w:color="auto"/>
            </w:tcBorders>
            <w:vAlign w:val="center"/>
          </w:tcPr>
          <w:p w14:paraId="684A825E"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4.2</w:t>
            </w:r>
          </w:p>
        </w:tc>
      </w:tr>
      <w:tr w:rsidR="00E37013" w14:paraId="0FD34DF3"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5AD4E832"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4.4</w:t>
            </w:r>
          </w:p>
        </w:tc>
        <w:tc>
          <w:tcPr>
            <w:tcW w:w="1572" w:type="dxa"/>
            <w:tcBorders>
              <w:top w:val="single" w:sz="6" w:space="0" w:color="auto"/>
              <w:left w:val="single" w:sz="6" w:space="0" w:color="auto"/>
              <w:bottom w:val="single" w:sz="6" w:space="0" w:color="auto"/>
              <w:right w:val="single" w:sz="6" w:space="0" w:color="auto"/>
            </w:tcBorders>
            <w:vAlign w:val="center"/>
          </w:tcPr>
          <w:p w14:paraId="34DCA5D9"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1.4</w:t>
            </w:r>
          </w:p>
        </w:tc>
      </w:tr>
      <w:tr w:rsidR="00E37013" w14:paraId="2A74F54C"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38622E22"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3</w:t>
            </w:r>
          </w:p>
        </w:tc>
        <w:tc>
          <w:tcPr>
            <w:tcW w:w="1572" w:type="dxa"/>
            <w:tcBorders>
              <w:top w:val="single" w:sz="6" w:space="0" w:color="auto"/>
              <w:left w:val="single" w:sz="6" w:space="0" w:color="auto"/>
              <w:bottom w:val="single" w:sz="6" w:space="0" w:color="auto"/>
              <w:right w:val="single" w:sz="6" w:space="0" w:color="auto"/>
            </w:tcBorders>
            <w:vAlign w:val="center"/>
          </w:tcPr>
          <w:p w14:paraId="29909370"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1</w:t>
            </w:r>
          </w:p>
        </w:tc>
      </w:tr>
      <w:tr w:rsidR="00E37013" w14:paraId="4DB04C7D"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63F334A2"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2</w:t>
            </w:r>
          </w:p>
        </w:tc>
        <w:tc>
          <w:tcPr>
            <w:tcW w:w="1572" w:type="dxa"/>
            <w:tcBorders>
              <w:top w:val="single" w:sz="6" w:space="0" w:color="auto"/>
              <w:left w:val="single" w:sz="6" w:space="0" w:color="auto"/>
              <w:bottom w:val="single" w:sz="6" w:space="0" w:color="auto"/>
              <w:right w:val="single" w:sz="6" w:space="0" w:color="auto"/>
            </w:tcBorders>
            <w:vAlign w:val="center"/>
          </w:tcPr>
          <w:p w14:paraId="04370465"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1</w:t>
            </w:r>
          </w:p>
        </w:tc>
      </w:tr>
      <w:tr w:rsidR="00E37013" w14:paraId="203EFCBA"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7F734148"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1</w:t>
            </w:r>
          </w:p>
        </w:tc>
        <w:tc>
          <w:tcPr>
            <w:tcW w:w="1572" w:type="dxa"/>
            <w:tcBorders>
              <w:top w:val="single" w:sz="6" w:space="0" w:color="auto"/>
              <w:left w:val="single" w:sz="6" w:space="0" w:color="auto"/>
              <w:bottom w:val="single" w:sz="6" w:space="0" w:color="auto"/>
              <w:right w:val="single" w:sz="6" w:space="0" w:color="auto"/>
            </w:tcBorders>
            <w:vAlign w:val="center"/>
          </w:tcPr>
          <w:p w14:paraId="039C5A40"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0.5</w:t>
            </w:r>
          </w:p>
        </w:tc>
      </w:tr>
      <w:tr w:rsidR="00E37013" w14:paraId="32277B3C"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2B723D3E"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0.5</w:t>
            </w:r>
          </w:p>
        </w:tc>
        <w:tc>
          <w:tcPr>
            <w:tcW w:w="1572" w:type="dxa"/>
            <w:tcBorders>
              <w:top w:val="single" w:sz="6" w:space="0" w:color="auto"/>
              <w:left w:val="single" w:sz="6" w:space="0" w:color="auto"/>
              <w:bottom w:val="single" w:sz="6" w:space="0" w:color="auto"/>
              <w:right w:val="single" w:sz="6" w:space="0" w:color="auto"/>
            </w:tcBorders>
            <w:vAlign w:val="center"/>
          </w:tcPr>
          <w:p w14:paraId="58A44CE9" w14:textId="77777777" w:rsidR="00E37013" w:rsidRPr="00725481" w:rsidRDefault="00E37013" w:rsidP="00E37013">
            <w:pPr>
              <w:keepNext/>
              <w:autoSpaceDE w:val="0"/>
              <w:autoSpaceDN w:val="0"/>
              <w:adjustRightInd w:val="0"/>
              <w:spacing w:after="0" w:line="240" w:lineRule="auto"/>
              <w:ind w:firstLine="0"/>
              <w:jc w:val="center"/>
              <w:rPr>
                <w:color w:val="000000"/>
              </w:rPr>
            </w:pPr>
            <w:r w:rsidRPr="00725481">
              <w:rPr>
                <w:color w:val="000000"/>
              </w:rPr>
              <w:t>0.5</w:t>
            </w:r>
          </w:p>
        </w:tc>
      </w:tr>
      <w:tr w:rsidR="00E37013" w14:paraId="03F2D66A" w14:textId="77777777" w:rsidTr="00E37013">
        <w:trPr>
          <w:trHeight w:val="290"/>
          <w:jc w:val="center"/>
        </w:trPr>
        <w:tc>
          <w:tcPr>
            <w:tcW w:w="1514" w:type="dxa"/>
            <w:tcBorders>
              <w:top w:val="single" w:sz="6" w:space="0" w:color="auto"/>
              <w:left w:val="single" w:sz="6" w:space="0" w:color="auto"/>
              <w:bottom w:val="single" w:sz="6" w:space="0" w:color="auto"/>
              <w:right w:val="single" w:sz="6" w:space="0" w:color="auto"/>
            </w:tcBorders>
            <w:vAlign w:val="center"/>
          </w:tcPr>
          <w:p w14:paraId="2FAF788D" w14:textId="77777777" w:rsidR="00E37013" w:rsidRPr="00725481" w:rsidRDefault="00E37013" w:rsidP="00E37013">
            <w:pPr>
              <w:autoSpaceDE w:val="0"/>
              <w:autoSpaceDN w:val="0"/>
              <w:adjustRightInd w:val="0"/>
              <w:spacing w:after="0" w:line="240" w:lineRule="auto"/>
              <w:ind w:firstLine="0"/>
              <w:jc w:val="center"/>
              <w:rPr>
                <w:color w:val="000000"/>
              </w:rPr>
            </w:pPr>
            <w:r w:rsidRPr="00725481">
              <w:rPr>
                <w:color w:val="000000"/>
              </w:rPr>
              <w:t>0</w:t>
            </w:r>
          </w:p>
        </w:tc>
        <w:tc>
          <w:tcPr>
            <w:tcW w:w="1572" w:type="dxa"/>
            <w:tcBorders>
              <w:top w:val="single" w:sz="6" w:space="0" w:color="auto"/>
              <w:left w:val="single" w:sz="6" w:space="0" w:color="auto"/>
              <w:bottom w:val="single" w:sz="6" w:space="0" w:color="auto"/>
              <w:right w:val="single" w:sz="6" w:space="0" w:color="auto"/>
            </w:tcBorders>
            <w:shd w:val="solid" w:color="969696" w:fill="auto"/>
            <w:vAlign w:val="center"/>
          </w:tcPr>
          <w:p w14:paraId="79B08532" w14:textId="77777777" w:rsidR="00E37013" w:rsidRPr="00725481" w:rsidRDefault="00E37013" w:rsidP="00E37013">
            <w:pPr>
              <w:autoSpaceDE w:val="0"/>
              <w:autoSpaceDN w:val="0"/>
              <w:adjustRightInd w:val="0"/>
              <w:spacing w:after="0" w:line="240" w:lineRule="auto"/>
              <w:ind w:firstLine="0"/>
              <w:jc w:val="center"/>
              <w:rPr>
                <w:color w:val="000000"/>
              </w:rPr>
            </w:pPr>
          </w:p>
        </w:tc>
      </w:tr>
    </w:tbl>
    <w:p w14:paraId="03988CDA" w14:textId="3EF8D0BF" w:rsidR="009A2EFD" w:rsidRDefault="00E37013" w:rsidP="00F0508E">
      <w:pPr>
        <w:spacing w:before="720"/>
        <w:ind w:firstLine="274"/>
      </w:pPr>
      <w:r w:rsidRPr="00F0508E">
        <w:rPr>
          <w:rStyle w:val="NormalAfterTableChar"/>
        </w:rPr>
        <w:t xml:space="preserve"> </w:t>
      </w:r>
      <w:r w:rsidR="00017CF8" w:rsidRPr="00F0508E">
        <w:rPr>
          <w:rStyle w:val="NormalAfterTableChar"/>
        </w:rPr>
        <w:t>Th</w:t>
      </w:r>
      <w:r w:rsidR="00725481" w:rsidRPr="00F0508E">
        <w:rPr>
          <w:rStyle w:val="NormalAfterTableChar"/>
        </w:rPr>
        <w:t>is MCNP distribution was continued</w:t>
      </w:r>
      <w:r w:rsidR="00017CF8" w:rsidRPr="00F0508E">
        <w:rPr>
          <w:rStyle w:val="NormalAfterTableChar"/>
        </w:rPr>
        <w:t xml:space="preserve"> into the adjacent coolant</w:t>
      </w:r>
      <w:r w:rsidR="00725481" w:rsidRPr="00F0508E">
        <w:rPr>
          <w:rStyle w:val="NormalAfterTableChar"/>
        </w:rPr>
        <w:t xml:space="preserve"> and</w:t>
      </w:r>
      <w:r w:rsidR="00017CF8" w:rsidRPr="00F0508E">
        <w:rPr>
          <w:rStyle w:val="NormalAfterTableChar"/>
        </w:rPr>
        <w:t xml:space="preserve"> side plates.  For geometries up-</w:t>
      </w:r>
      <w:r w:rsidR="00017CF8">
        <w:t xml:space="preserve"> and downstream of the fueled region, axial distributions were devised that were comparable to the MCNP </w:t>
      </w:r>
      <w:r w:rsidR="00017CF8">
        <w:lastRenderedPageBreak/>
        <w:t>distribution</w:t>
      </w:r>
      <w:r>
        <w:t xml:space="preserve">.  </w:t>
      </w:r>
      <w:r w:rsidR="00DB6B9F">
        <w:t>In order to increase the smoothness of solutions, the MCNP mesh distribution was doubled in the final 3D model.  Both</w:t>
      </w:r>
      <w:r w:rsidR="00450284">
        <w:t xml:space="preserve"> axial distribution</w:t>
      </w:r>
      <w:r w:rsidR="00DB6B9F">
        <w:t>s are</w:t>
      </w:r>
      <w:r w:rsidR="00450284">
        <w:t xml:space="preserve"> shown in Fig. </w:t>
      </w:r>
      <w:r w:rsidR="00C61AD4">
        <w:fldChar w:fldCharType="begin"/>
      </w:r>
      <w:r w:rsidR="00C61AD4">
        <w:instrText xml:space="preserve"> REF _Ref379547256 \r \h </w:instrText>
      </w:r>
      <w:r w:rsidR="00C61AD4">
        <w:fldChar w:fldCharType="separate"/>
      </w:r>
      <w:r w:rsidR="001C5EC1">
        <w:t>5.11</w:t>
      </w:r>
      <w:r w:rsidR="00C61AD4">
        <w:fldChar w:fldCharType="end"/>
      </w:r>
      <w:r w:rsidR="00450284">
        <w:t>.</w:t>
      </w:r>
    </w:p>
    <w:p w14:paraId="4B6550CF" w14:textId="53985C28" w:rsidR="00C61AD4" w:rsidRDefault="00D55C9F" w:rsidP="003E0C5E">
      <w:pPr>
        <w:pStyle w:val="PictureSytel"/>
      </w:pPr>
      <w:r>
        <w:rPr>
          <w:noProof/>
        </w:rPr>
        <w:drawing>
          <wp:inline distT="0" distB="0" distL="0" distR="0" wp14:anchorId="17145AC7" wp14:editId="25894FD4">
            <wp:extent cx="4993420" cy="2391251"/>
            <wp:effectExtent l="19050" t="19050" r="17145" b="285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NP Axial Distributions.png"/>
                    <pic:cNvPicPr/>
                  </pic:nvPicPr>
                  <pic:blipFill>
                    <a:blip r:embed="rId275">
                      <a:extLst>
                        <a:ext uri="{28A0092B-C50C-407E-A947-70E740481C1C}">
                          <a14:useLocalDpi xmlns:a14="http://schemas.microsoft.com/office/drawing/2010/main" val="0"/>
                        </a:ext>
                      </a:extLst>
                    </a:blip>
                    <a:stretch>
                      <a:fillRect/>
                    </a:stretch>
                  </pic:blipFill>
                  <pic:spPr bwMode="auto">
                    <a:xfrm>
                      <a:off x="0" y="0"/>
                      <a:ext cx="4998766" cy="239381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8687A37" w14:textId="0666367A" w:rsidR="00C61AD4" w:rsidRPr="0058559A" w:rsidRDefault="00C61AD4" w:rsidP="00C61AD4">
      <w:pPr>
        <w:pStyle w:val="FigTitleStyle"/>
        <w:rPr>
          <w:b w:val="0"/>
        </w:rPr>
      </w:pPr>
      <w:bookmarkStart w:id="176" w:name="_Toc380156116"/>
      <w:bookmarkStart w:id="177" w:name="_Toc380157662"/>
      <w:bookmarkStart w:id="178" w:name="_Toc382920266"/>
      <w:r w:rsidRPr="00D55C9F">
        <w:t xml:space="preserve">Fig. </w:t>
      </w:r>
      <w:r w:rsidRPr="00D55C9F">
        <w:fldChar w:fldCharType="begin"/>
      </w:r>
      <w:bookmarkStart w:id="179" w:name="_Ref379547256"/>
      <w:bookmarkEnd w:id="179"/>
      <w:r w:rsidRPr="00D55C9F">
        <w:instrText xml:space="preserve"> LISTNUM FIG \l 2 </w:instrText>
      </w:r>
      <w:r w:rsidRPr="00D55C9F">
        <w:fldChar w:fldCharType="end"/>
      </w:r>
      <w:r w:rsidRPr="00D55C9F">
        <w:t>.  3D Axial Mesh Distribution</w:t>
      </w:r>
      <w:r w:rsidR="00D55C9F">
        <w:t>s</w:t>
      </w:r>
      <w:r w:rsidRPr="00D55C9F">
        <w:t>.</w:t>
      </w:r>
      <w:r w:rsidR="00D55C9F">
        <w:t xml:space="preserve">  </w:t>
      </w:r>
      <w:r w:rsidR="00D55C9F">
        <w:rPr>
          <w:b w:val="0"/>
        </w:rPr>
        <w:t>The MCNP axial mesh distribution is shown in (A) and the 2X MCNP distribution in (B).  The side plates are highlighted in blue.  The coolant channel is shown in grey.  The fuel plate and fuel meat are obscured behind the coolant channel.  Figure is not representative of final mesh as all spanwise (along the length of the involute curve) mesh distributions have been set to 1 for ease of viewing.  The final mesh structure would not be discernible at this scale.</w:t>
      </w:r>
      <w:bookmarkEnd w:id="176"/>
      <w:bookmarkEnd w:id="177"/>
      <w:bookmarkEnd w:id="178"/>
    </w:p>
    <w:p w14:paraId="2CBEBEE5" w14:textId="77777777" w:rsidR="001F17E0" w:rsidRDefault="002455E1" w:rsidP="001F17E0">
      <w:r>
        <w:t>All of the distinct mesh domains are shown via diagram in</w:t>
      </w:r>
      <w:r w:rsidR="00737DD1">
        <w:t xml:space="preserve"> Fig. </w:t>
      </w:r>
      <w:r w:rsidR="00627686">
        <w:fldChar w:fldCharType="begin"/>
      </w:r>
      <w:r w:rsidR="00627686">
        <w:instrText xml:space="preserve"> REF _Ref379548087 \r \h </w:instrText>
      </w:r>
      <w:r w:rsidR="00627686">
        <w:fldChar w:fldCharType="separate"/>
      </w:r>
      <w:r w:rsidR="001C5EC1">
        <w:t>5.12</w:t>
      </w:r>
      <w:r w:rsidR="00627686">
        <w:fldChar w:fldCharType="end"/>
      </w:r>
      <w:r w:rsidR="00737DD1">
        <w:t>.</w:t>
      </w:r>
      <w:r>
        <w:t xml:space="preserve">  Mesh domains are color-coded according to the mesh type associated with them.  The most predominant, and the most ideal, mesh type is the structured mesh which is applicable to every axially-consistent geometry component free of internal vacancies.</w:t>
      </w:r>
      <w:r w:rsidR="001F17E0">
        <w:t xml:space="preserve">  The clad surrounding the fuel meat is the only axially-consistent geometry incompatible with the structured mesh type.  Due to the hole in the geometry’s center where the fuel meat sits, its </w:t>
      </w:r>
      <w:r w:rsidR="001F17E0">
        <w:rPr>
          <w:i/>
        </w:rPr>
        <w:t>s-t</w:t>
      </w:r>
      <w:r w:rsidR="001F17E0">
        <w:t xml:space="preserve"> cross-section had to be mapped using a free-triangular mesh which was then extruded the same as the structured meshes.  A cross-sectional cut-out showing the </w:t>
      </w:r>
      <w:r w:rsidR="001F17E0">
        <w:softHyphen/>
      </w:r>
      <w:r w:rsidR="001F17E0">
        <w:rPr>
          <w:i/>
        </w:rPr>
        <w:t>s-t</w:t>
      </w:r>
      <w:r w:rsidR="001F17E0">
        <w:t xml:space="preserve"> plane through the fuel meat, surrounding clad, inner side plate, and coolant is shown in Fig. </w:t>
      </w:r>
      <w:r w:rsidR="001F17E0">
        <w:fldChar w:fldCharType="begin"/>
      </w:r>
      <w:r w:rsidR="001F17E0">
        <w:instrText xml:space="preserve"> REF _Ref379550174 \r \h </w:instrText>
      </w:r>
      <w:r w:rsidR="001F17E0">
        <w:fldChar w:fldCharType="separate"/>
      </w:r>
      <w:r w:rsidR="001C5EC1">
        <w:t>5.13</w:t>
      </w:r>
      <w:r w:rsidR="001F17E0">
        <w:fldChar w:fldCharType="end"/>
      </w:r>
      <w:r w:rsidR="001F17E0">
        <w:t>.</w:t>
      </w:r>
    </w:p>
    <w:p w14:paraId="45994DCE" w14:textId="7F48F3D2" w:rsidR="002455E1" w:rsidRDefault="002455E1" w:rsidP="00C61AD4"/>
    <w:p w14:paraId="30725076" w14:textId="2BC78FD2" w:rsidR="00737DD1" w:rsidRDefault="002455E1" w:rsidP="003E0C5E">
      <w:pPr>
        <w:pStyle w:val="PictureSytel"/>
      </w:pPr>
      <w:r>
        <w:rPr>
          <w:noProof/>
        </w:rPr>
        <w:lastRenderedPageBreak/>
        <w:drawing>
          <wp:inline distT="0" distB="0" distL="0" distR="0" wp14:anchorId="21E531CC" wp14:editId="2F3E6F89">
            <wp:extent cx="5009060" cy="3218112"/>
            <wp:effectExtent l="19050" t="19050" r="20320" b="2095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 Model Mesh Types.png"/>
                    <pic:cNvPicPr/>
                  </pic:nvPicPr>
                  <pic:blipFill>
                    <a:blip r:embed="rId276">
                      <a:extLst>
                        <a:ext uri="{28A0092B-C50C-407E-A947-70E740481C1C}">
                          <a14:useLocalDpi xmlns:a14="http://schemas.microsoft.com/office/drawing/2010/main" val="0"/>
                        </a:ext>
                      </a:extLst>
                    </a:blip>
                    <a:stretch>
                      <a:fillRect/>
                    </a:stretch>
                  </pic:blipFill>
                  <pic:spPr>
                    <a:xfrm>
                      <a:off x="0" y="0"/>
                      <a:ext cx="5009060" cy="3218112"/>
                    </a:xfrm>
                    <a:prstGeom prst="rect">
                      <a:avLst/>
                    </a:prstGeom>
                    <a:ln>
                      <a:solidFill>
                        <a:schemeClr val="tx1"/>
                      </a:solidFill>
                    </a:ln>
                  </pic:spPr>
                </pic:pic>
              </a:graphicData>
            </a:graphic>
          </wp:inline>
        </w:drawing>
      </w:r>
    </w:p>
    <w:p w14:paraId="6898E244" w14:textId="05EFED09" w:rsidR="003D3B57" w:rsidRPr="0058559A" w:rsidRDefault="003D3B57" w:rsidP="003D3B57">
      <w:pPr>
        <w:pStyle w:val="FigTitleStyle"/>
        <w:rPr>
          <w:b w:val="0"/>
        </w:rPr>
      </w:pPr>
      <w:bookmarkStart w:id="180" w:name="_Toc380156117"/>
      <w:bookmarkStart w:id="181" w:name="_Toc380157663"/>
      <w:bookmarkStart w:id="182" w:name="_Toc382920267"/>
      <w:r w:rsidRPr="00DB2C5E">
        <w:t xml:space="preserve">Fig. </w:t>
      </w:r>
      <w:r w:rsidRPr="00DB2C5E">
        <w:fldChar w:fldCharType="begin"/>
      </w:r>
      <w:bookmarkStart w:id="183" w:name="_Ref379548087"/>
      <w:bookmarkEnd w:id="183"/>
      <w:r w:rsidRPr="00DB2C5E">
        <w:instrText xml:space="preserve"> LISTNUM FIG \l 2 </w:instrText>
      </w:r>
      <w:r w:rsidRPr="00DB2C5E">
        <w:fldChar w:fldCharType="end"/>
      </w:r>
      <w:r w:rsidRPr="00DB2C5E">
        <w:t xml:space="preserve">.  </w:t>
      </w:r>
      <w:r w:rsidR="00DB2C5E">
        <w:t>Mesh Domains</w:t>
      </w:r>
      <w:r w:rsidRPr="00DB2C5E">
        <w:t>.</w:t>
      </w:r>
      <w:bookmarkEnd w:id="180"/>
      <w:bookmarkEnd w:id="181"/>
      <w:r w:rsidR="00DB2C5E">
        <w:rPr>
          <w:b w:val="0"/>
        </w:rPr>
        <w:t xml:space="preserve">  Figure is not to scale.</w:t>
      </w:r>
      <w:bookmarkEnd w:id="182"/>
    </w:p>
    <w:p w14:paraId="527B5CBE" w14:textId="319A4AF5" w:rsidR="008A38EC" w:rsidRDefault="00020E61" w:rsidP="003E0C5E">
      <w:pPr>
        <w:pStyle w:val="PictureSytel"/>
      </w:pPr>
      <w:r>
        <w:rPr>
          <w:noProof/>
        </w:rPr>
        <w:drawing>
          <wp:inline distT="0" distB="0" distL="0" distR="0" wp14:anchorId="6FA9B24B" wp14:editId="5A405D38">
            <wp:extent cx="5080884" cy="3142518"/>
            <wp:effectExtent l="19050" t="19050" r="24765" b="20320"/>
            <wp:docPr id="28" name="Picture 28" descr="T:\Desktop\Windows Desktop\Thesis Figures\Fuel Section Mesh Cross Se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T:\Desktop\Windows Desktop\Thesis Figures\Fuel Section Mesh Cross Section.png"/>
                    <pic:cNvPicPr>
                      <a:picLocks noChangeAspect="1" noChangeArrowheads="1"/>
                    </pic:cNvPicPr>
                  </pic:nvPicPr>
                  <pic:blipFill rotWithShape="1">
                    <a:blip r:embed="rId277">
                      <a:extLst>
                        <a:ext uri="{28A0092B-C50C-407E-A947-70E740481C1C}">
                          <a14:useLocalDpi xmlns:a14="http://schemas.microsoft.com/office/drawing/2010/main" val="0"/>
                        </a:ext>
                      </a:extLst>
                    </a:blip>
                    <a:srcRect l="-11412" t="26976" r="-10047"/>
                    <a:stretch/>
                  </pic:blipFill>
                  <pic:spPr bwMode="auto">
                    <a:xfrm>
                      <a:off x="0" y="0"/>
                      <a:ext cx="5097769" cy="3152961"/>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4D23D3F" w14:textId="2DEE5F8F" w:rsidR="008A38EC" w:rsidRPr="00D35B00" w:rsidRDefault="008A38EC" w:rsidP="001F17E0">
      <w:pPr>
        <w:pStyle w:val="FigTitleStyle"/>
        <w:rPr>
          <w:b w:val="0"/>
        </w:rPr>
      </w:pPr>
      <w:bookmarkStart w:id="184" w:name="_Toc380156118"/>
      <w:bookmarkStart w:id="185" w:name="_Toc380157664"/>
      <w:bookmarkStart w:id="186" w:name="_Toc382920268"/>
      <w:r w:rsidRPr="00E25D38">
        <w:t xml:space="preserve">Fig. </w:t>
      </w:r>
      <w:r w:rsidRPr="00E25D38">
        <w:fldChar w:fldCharType="begin"/>
      </w:r>
      <w:bookmarkStart w:id="187" w:name="_Ref379550174"/>
      <w:bookmarkEnd w:id="187"/>
      <w:r w:rsidRPr="00E25D38">
        <w:instrText xml:space="preserve"> LISTNUM FIG \l 2 </w:instrText>
      </w:r>
      <w:r w:rsidRPr="00E25D38">
        <w:fldChar w:fldCharType="end"/>
      </w:r>
      <w:r w:rsidRPr="00E25D38">
        <w:t xml:space="preserve">.  </w:t>
      </w:r>
      <w:r w:rsidR="004C3016" w:rsidRPr="00E25D38">
        <w:t>Fueled Section Cross-Sectional Mesh</w:t>
      </w:r>
      <w:r w:rsidRPr="00E25D38">
        <w:t>.</w:t>
      </w:r>
      <w:r w:rsidR="00E25D38">
        <w:t xml:space="preserve">  </w:t>
      </w:r>
      <w:r w:rsidR="00D35B00">
        <w:rPr>
          <w:b w:val="0"/>
        </w:rPr>
        <w:t>Structured quadrilateral mesh elements in the coolant region have been converted to triangular elements in order t</w:t>
      </w:r>
      <w:r w:rsidR="001C799C">
        <w:rPr>
          <w:b w:val="0"/>
        </w:rPr>
        <w:t>o facilitate meshing between axial</w:t>
      </w:r>
      <w:r w:rsidR="00D35B00">
        <w:rPr>
          <w:b w:val="0"/>
        </w:rPr>
        <w:t xml:space="preserve"> coolant components.</w:t>
      </w:r>
      <w:bookmarkEnd w:id="184"/>
      <w:bookmarkEnd w:id="185"/>
      <w:bookmarkEnd w:id="186"/>
    </w:p>
    <w:p w14:paraId="7A206252" w14:textId="67B7CDCA" w:rsidR="008A38EC" w:rsidRDefault="000D5346" w:rsidP="000D5346">
      <w:r>
        <w:lastRenderedPageBreak/>
        <w:t>The remaining geometries—the rounded leading edge of the fuel plate and the leading and trailing edge coolant caps—were meshed using free-tetrahedral meshes unstructured in all three dimensions.</w:t>
      </w:r>
      <w:r w:rsidR="005204D2">
        <w:t xml:space="preserve">  They are shown in Fig. </w:t>
      </w:r>
      <w:r w:rsidR="005204D2">
        <w:fldChar w:fldCharType="begin"/>
      </w:r>
      <w:r w:rsidR="005204D2">
        <w:instrText xml:space="preserve"> REF _Ref379550451 \r \h </w:instrText>
      </w:r>
      <w:r w:rsidR="005204D2">
        <w:fldChar w:fldCharType="separate"/>
      </w:r>
      <w:r w:rsidR="001C5EC1">
        <w:t>5.14</w:t>
      </w:r>
      <w:r w:rsidR="005204D2">
        <w:fldChar w:fldCharType="end"/>
      </w:r>
      <w:r w:rsidR="005204D2">
        <w:t>.</w:t>
      </w:r>
    </w:p>
    <w:p w14:paraId="06107C06" w14:textId="2D291C98" w:rsidR="005204D2" w:rsidRDefault="00F348D2" w:rsidP="003E0C5E">
      <w:pPr>
        <w:pStyle w:val="PictureSytel"/>
      </w:pPr>
      <w:r>
        <w:rPr>
          <w:noProof/>
        </w:rPr>
        <w:drawing>
          <wp:inline distT="0" distB="0" distL="0" distR="0" wp14:anchorId="3954011F" wp14:editId="5A475041">
            <wp:extent cx="4972183" cy="1270332"/>
            <wp:effectExtent l="19050" t="19050" r="19050" b="25400"/>
            <wp:docPr id="30" name="Picture 30" descr="C:\Users\Adam\Downloads\Free-Tet Mesh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Adam\Downloads\Free-Tet Meshes.png"/>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4987218" cy="1274173"/>
                    </a:xfrm>
                    <a:prstGeom prst="rect">
                      <a:avLst/>
                    </a:prstGeom>
                    <a:noFill/>
                    <a:ln>
                      <a:solidFill>
                        <a:schemeClr val="tx1"/>
                      </a:solidFill>
                    </a:ln>
                  </pic:spPr>
                </pic:pic>
              </a:graphicData>
            </a:graphic>
          </wp:inline>
        </w:drawing>
      </w:r>
    </w:p>
    <w:p w14:paraId="2D60A4CF" w14:textId="34A584A6" w:rsidR="005204D2" w:rsidRPr="0058559A" w:rsidRDefault="005204D2" w:rsidP="005204D2">
      <w:pPr>
        <w:pStyle w:val="FigTitleStyle"/>
        <w:rPr>
          <w:b w:val="0"/>
        </w:rPr>
      </w:pPr>
      <w:bookmarkStart w:id="188" w:name="_Toc380156119"/>
      <w:bookmarkStart w:id="189" w:name="_Toc380157665"/>
      <w:bookmarkStart w:id="190" w:name="_Toc382920269"/>
      <w:r w:rsidRPr="00F348D2">
        <w:t xml:space="preserve">Fig. </w:t>
      </w:r>
      <w:r w:rsidRPr="00F348D2">
        <w:fldChar w:fldCharType="begin"/>
      </w:r>
      <w:bookmarkStart w:id="191" w:name="_Ref379550451"/>
      <w:bookmarkEnd w:id="191"/>
      <w:r w:rsidRPr="00F348D2">
        <w:instrText xml:space="preserve"> LISTNUM FIG \l 2 </w:instrText>
      </w:r>
      <w:r w:rsidRPr="00F348D2">
        <w:fldChar w:fldCharType="end"/>
      </w:r>
      <w:r w:rsidRPr="00F348D2">
        <w:t xml:space="preserve">.  </w:t>
      </w:r>
      <w:r w:rsidR="004C3016" w:rsidRPr="00F348D2">
        <w:t>Free-Tetrahedral Mesh Domains</w:t>
      </w:r>
      <w:r w:rsidRPr="00F348D2">
        <w:t>.</w:t>
      </w:r>
      <w:r w:rsidR="00A25021">
        <w:t xml:space="preserve">  </w:t>
      </w:r>
      <w:r w:rsidR="00A25021">
        <w:rPr>
          <w:b w:val="0"/>
        </w:rPr>
        <w:t>The leading edge coolant cap geometry is shown in (A), the rounded leading edge clad in (B), and the trailing edge coolant cap in (C).</w:t>
      </w:r>
      <w:bookmarkEnd w:id="188"/>
      <w:bookmarkEnd w:id="189"/>
      <w:bookmarkEnd w:id="190"/>
    </w:p>
    <w:p w14:paraId="4E952055" w14:textId="32E7F5C6" w:rsidR="005204D2" w:rsidRDefault="00E8537D" w:rsidP="00E8537D">
      <w:r>
        <w:t>Lastly, a boundary layer mesh was added to every wall</w:t>
      </w:r>
      <w:r w:rsidR="008A50F6">
        <w:t xml:space="preserve"> boundary in the coolant domain as demonstrated in Fig. </w:t>
      </w:r>
      <w:r w:rsidR="008A50F6">
        <w:fldChar w:fldCharType="begin"/>
      </w:r>
      <w:r w:rsidR="008A50F6">
        <w:instrText xml:space="preserve"> REF _Ref379550622 \r \h </w:instrText>
      </w:r>
      <w:r w:rsidR="008A50F6">
        <w:fldChar w:fldCharType="separate"/>
      </w:r>
      <w:r w:rsidR="001C5EC1">
        <w:t>5.15</w:t>
      </w:r>
      <w:r w:rsidR="008A50F6">
        <w:fldChar w:fldCharType="end"/>
      </w:r>
      <w:r w:rsidR="008A50F6">
        <w:t>.</w:t>
      </w:r>
    </w:p>
    <w:p w14:paraId="4F4BB50C" w14:textId="743D7A65" w:rsidR="008A50F6" w:rsidRDefault="00AF4952" w:rsidP="003E0C5E">
      <w:pPr>
        <w:pStyle w:val="PictureSytel"/>
      </w:pPr>
      <w:r>
        <w:rPr>
          <w:noProof/>
        </w:rPr>
        <w:drawing>
          <wp:inline distT="0" distB="0" distL="0" distR="0" wp14:anchorId="758D74D1" wp14:editId="2DD5E262">
            <wp:extent cx="5009321" cy="2673780"/>
            <wp:effectExtent l="19050" t="19050" r="20320" b="1270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ant mesh BL 3D.png"/>
                    <pic:cNvPicPr/>
                  </pic:nvPicPr>
                  <pic:blipFill>
                    <a:blip r:embed="rId279">
                      <a:extLst>
                        <a:ext uri="{28A0092B-C50C-407E-A947-70E740481C1C}">
                          <a14:useLocalDpi xmlns:a14="http://schemas.microsoft.com/office/drawing/2010/main" val="0"/>
                        </a:ext>
                      </a:extLst>
                    </a:blip>
                    <a:stretch>
                      <a:fillRect/>
                    </a:stretch>
                  </pic:blipFill>
                  <pic:spPr>
                    <a:xfrm>
                      <a:off x="0" y="0"/>
                      <a:ext cx="5002858" cy="2670330"/>
                    </a:xfrm>
                    <a:prstGeom prst="rect">
                      <a:avLst/>
                    </a:prstGeom>
                    <a:ln>
                      <a:solidFill>
                        <a:schemeClr val="tx1"/>
                      </a:solidFill>
                    </a:ln>
                  </pic:spPr>
                </pic:pic>
              </a:graphicData>
            </a:graphic>
          </wp:inline>
        </w:drawing>
      </w:r>
    </w:p>
    <w:p w14:paraId="2F00F043" w14:textId="2473F373" w:rsidR="008A50F6" w:rsidRPr="0058559A" w:rsidRDefault="008A50F6" w:rsidP="008A50F6">
      <w:pPr>
        <w:pStyle w:val="FigTitleStyle"/>
        <w:rPr>
          <w:b w:val="0"/>
        </w:rPr>
      </w:pPr>
      <w:bookmarkStart w:id="192" w:name="_Toc380156120"/>
      <w:bookmarkStart w:id="193" w:name="_Toc380157666"/>
      <w:bookmarkStart w:id="194" w:name="_Toc382920270"/>
      <w:r w:rsidRPr="00AF4952">
        <w:t xml:space="preserve">Fig. </w:t>
      </w:r>
      <w:r w:rsidRPr="00AF4952">
        <w:fldChar w:fldCharType="begin"/>
      </w:r>
      <w:bookmarkStart w:id="195" w:name="_Ref379550622"/>
      <w:bookmarkEnd w:id="195"/>
      <w:r w:rsidRPr="00AF4952">
        <w:instrText xml:space="preserve"> LISTNUM FIG \l 2 </w:instrText>
      </w:r>
      <w:r w:rsidRPr="00AF4952">
        <w:fldChar w:fldCharType="end"/>
      </w:r>
      <w:r w:rsidRPr="00AF4952">
        <w:t xml:space="preserve">.  Boundary Layer Mesh </w:t>
      </w:r>
      <w:r w:rsidR="00AF4952">
        <w:t>Detail</w:t>
      </w:r>
      <w:r w:rsidRPr="00AF4952">
        <w:t>.</w:t>
      </w:r>
      <w:bookmarkEnd w:id="192"/>
      <w:bookmarkEnd w:id="193"/>
      <w:bookmarkEnd w:id="194"/>
    </w:p>
    <w:p w14:paraId="7E3371A7" w14:textId="289037D7" w:rsidR="003B78A7" w:rsidRDefault="00BE1880" w:rsidP="003B78A7">
      <w:r>
        <w:t xml:space="preserve">Given the use of the MCNP axial cell distribution, mesh convergence studies were performed by varying the </w:t>
      </w:r>
      <w:r w:rsidR="00D0516F">
        <w:t>resolution</w:t>
      </w:r>
      <w:r>
        <w:t xml:space="preserve"> of the </w:t>
      </w:r>
      <w:r>
        <w:rPr>
          <w:i/>
        </w:rPr>
        <w:t>s-t</w:t>
      </w:r>
      <w:r>
        <w:t xml:space="preserve"> plain face meshes only.</w:t>
      </w:r>
      <w:r w:rsidR="00284582">
        <w:t xml:space="preserve">  Mesh densities </w:t>
      </w:r>
      <w:r w:rsidR="00D35982">
        <w:t>were</w:t>
      </w:r>
      <w:r w:rsidR="00284582">
        <w:t xml:space="preserve"> driven by the </w:t>
      </w:r>
      <w:r w:rsidR="00D35982">
        <w:t xml:space="preserve">competing </w:t>
      </w:r>
      <w:r w:rsidR="00D35982">
        <w:lastRenderedPageBreak/>
        <w:t>needs</w:t>
      </w:r>
      <w:r w:rsidR="00284582">
        <w:t xml:space="preserve"> to produce a scale that </w:t>
      </w:r>
      <w:r w:rsidR="00D35982">
        <w:t>was</w:t>
      </w:r>
      <w:r w:rsidR="00284582">
        <w:t xml:space="preserve"> sufficiently small so as to capture all, or enough of, the underlying physics in a domain </w:t>
      </w:r>
      <w:r w:rsidR="00D35982">
        <w:t xml:space="preserve">without </w:t>
      </w:r>
      <w:r w:rsidR="00284582">
        <w:t>adding undue complexity to the model.</w:t>
      </w:r>
      <w:r w:rsidR="008C2CFA">
        <w:t xml:space="preserve">  In the coolant domain this is most evident in the creation of the boundary layer and its effect on perceived near-wall viscous shear stresses.  In the fuel meat, the problem arises in capturing the quadratic nature of the temperature profile resultant of </w:t>
      </w:r>
      <w:r w:rsidR="009B2B50">
        <w:t>internal</w:t>
      </w:r>
      <w:r w:rsidR="008C2CFA">
        <w:t xml:space="preserve"> heat generation.</w:t>
      </w:r>
      <w:r w:rsidR="003B78A7">
        <w:t xml:space="preserve">  This quadratic nature can easily be demonstrated via solution of the 1D heat equation</w:t>
      </w:r>
      <w:r w:rsidR="00013C65">
        <w:t xml:space="preserve"> with heat generation</w:t>
      </w:r>
      <w:r w:rsidR="003B78A7">
        <w:t>:</w:t>
      </w:r>
    </w:p>
    <w:p w14:paraId="1E0D22B5" w14:textId="77777777" w:rsidR="00013C65" w:rsidRDefault="00013C65" w:rsidP="00013C65">
      <w:pPr>
        <w:pStyle w:val="numberedeqnstyle"/>
      </w:pPr>
      <w:r w:rsidRPr="00A025AE">
        <w:tab/>
      </w:r>
      <w:r w:rsidRPr="00013C65">
        <w:rPr>
          <w:position w:val="-24"/>
        </w:rPr>
        <w:object w:dxaOrig="1180" w:dyaOrig="639" w14:anchorId="6DF6544E">
          <v:shape id="_x0000_i1148" type="#_x0000_t75" style="width:60.7pt;height:29pt" o:ole="">
            <v:imagedata r:id="rId280" o:title=""/>
          </v:shape>
          <o:OLEObject Type="Embed" ProgID="Equation.3" ShapeID="_x0000_i1148" DrawAspect="Content" ObjectID="_1457171800" r:id="rId281"/>
        </w:object>
      </w:r>
      <w:r>
        <w:t>.</w:t>
      </w:r>
      <w:r>
        <w:tab/>
      </w:r>
      <w:r>
        <w:fldChar w:fldCharType="begin"/>
      </w:r>
      <w:r>
        <w:instrText xml:space="preserve"> LISTNUM EQN \l 2 </w:instrText>
      </w:r>
      <w:r>
        <w:fldChar w:fldCharType="end"/>
      </w:r>
      <w:r>
        <w:t>)</w:t>
      </w:r>
    </w:p>
    <w:p w14:paraId="3704C0A8" w14:textId="573898A7" w:rsidR="003B78A7" w:rsidRDefault="00013C65" w:rsidP="003B78A7">
      <w:r>
        <w:t>Integrating yields</w:t>
      </w:r>
    </w:p>
    <w:p w14:paraId="655775A3" w14:textId="77777777" w:rsidR="00013C65" w:rsidRDefault="00013C65" w:rsidP="00013C65">
      <w:pPr>
        <w:pStyle w:val="numberedeqnstyle"/>
      </w:pPr>
      <w:r w:rsidRPr="00A025AE">
        <w:tab/>
      </w:r>
      <w:r w:rsidRPr="00013C65">
        <w:rPr>
          <w:position w:val="-22"/>
        </w:rPr>
        <w:object w:dxaOrig="1579" w:dyaOrig="580" w14:anchorId="43BDD9C0">
          <v:shape id="_x0000_i1149" type="#_x0000_t75" style="width:80.6pt;height:26.35pt" o:ole="">
            <v:imagedata r:id="rId282" o:title=""/>
          </v:shape>
          <o:OLEObject Type="Embed" ProgID="Equation.3" ShapeID="_x0000_i1149" DrawAspect="Content" ObjectID="_1457171801" r:id="rId283"/>
        </w:object>
      </w:r>
      <w:r>
        <w:t>.</w:t>
      </w:r>
      <w:r>
        <w:tab/>
      </w:r>
      <w:r>
        <w:fldChar w:fldCharType="begin"/>
      </w:r>
      <w:r>
        <w:instrText xml:space="preserve"> LISTNUM EQN \l 2 </w:instrText>
      </w:r>
      <w:r>
        <w:fldChar w:fldCharType="end"/>
      </w:r>
      <w:r>
        <w:t>)</w:t>
      </w:r>
    </w:p>
    <w:p w14:paraId="17594855" w14:textId="47BB9242" w:rsidR="00013C65" w:rsidRDefault="00013C65" w:rsidP="003B78A7">
      <w:r>
        <w:t xml:space="preserve">Integrating again and dividing by </w:t>
      </w:r>
      <w:r>
        <w:rPr>
          <w:i/>
        </w:rPr>
        <w:t>λ</w:t>
      </w:r>
      <w:r>
        <w:t xml:space="preserve"> produces a temperature profile with quadratic elements:</w:t>
      </w:r>
    </w:p>
    <w:p w14:paraId="4FDFBC68" w14:textId="77777777" w:rsidR="00013C65" w:rsidRDefault="00013C65" w:rsidP="00013C65">
      <w:pPr>
        <w:pStyle w:val="numberedeqnstyle"/>
      </w:pPr>
      <w:r w:rsidRPr="00A025AE">
        <w:tab/>
      </w:r>
      <w:r w:rsidR="00FF0461" w:rsidRPr="00013C65">
        <w:rPr>
          <w:position w:val="-30"/>
        </w:rPr>
        <w:object w:dxaOrig="2620" w:dyaOrig="720" w14:anchorId="689FA73D">
          <v:shape id="_x0000_i1150" type="#_x0000_t75" style="width:133.8pt;height:33.3pt" o:ole="">
            <v:imagedata r:id="rId284" o:title=""/>
          </v:shape>
          <o:OLEObject Type="Embed" ProgID="Equation.3" ShapeID="_x0000_i1150" DrawAspect="Content" ObjectID="_1457171802" r:id="rId285"/>
        </w:object>
      </w:r>
      <w:r>
        <w:t>.</w:t>
      </w:r>
      <w:r>
        <w:tab/>
      </w:r>
      <w:r>
        <w:fldChar w:fldCharType="begin"/>
      </w:r>
      <w:r>
        <w:instrText xml:space="preserve"> LISTNUM EQN \l 2 </w:instrText>
      </w:r>
      <w:r>
        <w:fldChar w:fldCharType="end"/>
      </w:r>
      <w:r>
        <w:t>)</w:t>
      </w:r>
    </w:p>
    <w:p w14:paraId="790006D2" w14:textId="77777777" w:rsidR="00013C65" w:rsidRDefault="00013C65" w:rsidP="003B78A7"/>
    <w:p w14:paraId="3348EE78" w14:textId="1CBB215C" w:rsidR="00F41A69" w:rsidRPr="00A3685B" w:rsidRDefault="00BD5938" w:rsidP="001F3814">
      <w:r>
        <w:t>The quadratic temperature profile is</w:t>
      </w:r>
      <w:r w:rsidR="00013C65">
        <w:t>, obviously,</w:t>
      </w:r>
      <w:r>
        <w:t xml:space="preserve"> most easily captured using quadratic </w:t>
      </w:r>
      <w:r w:rsidR="007938DF">
        <w:t>basis</w:t>
      </w:r>
      <w:r>
        <w:t xml:space="preserve"> functions.  The continuity between the coolant and the solid domains in the 3D model, however, prevent</w:t>
      </w:r>
      <w:r w:rsidR="00013C65">
        <w:t>s</w:t>
      </w:r>
      <w:r>
        <w:t xml:space="preserve"> multiple </w:t>
      </w:r>
      <w:r w:rsidR="007938DF">
        <w:t>basis</w:t>
      </w:r>
      <w:r>
        <w:t xml:space="preserve"> functions from being used</w:t>
      </w:r>
      <w:r w:rsidR="00A67A2B">
        <w:t>, even</w:t>
      </w:r>
      <w:r>
        <w:t xml:space="preserve"> in </w:t>
      </w:r>
      <w:r w:rsidR="00FF0461">
        <w:t>separate</w:t>
      </w:r>
      <w:r>
        <w:t xml:space="preserve"> domains.  Using quadratic </w:t>
      </w:r>
      <w:r w:rsidR="007938DF">
        <w:t>basis</w:t>
      </w:r>
      <w:r>
        <w:t xml:space="preserve"> functions to solve for temperature in the fuel meat means that they must also be used in the coolant.  Such an approach proves computationally unfeasible as</w:t>
      </w:r>
      <w:r w:rsidR="009B2B50">
        <w:t xml:space="preserve"> the model’s degrees of freedom </w:t>
      </w:r>
      <w:r>
        <w:t xml:space="preserve">increases drastically due to the </w:t>
      </w:r>
      <w:r w:rsidR="004A1E12">
        <w:t xml:space="preserve">required </w:t>
      </w:r>
      <w:r>
        <w:t xml:space="preserve">resolution of the boundary layer mesh.  It is thus simpler and more expedient to increase the mesh </w:t>
      </w:r>
      <w:r w:rsidR="00D0516F">
        <w:t>resolution</w:t>
      </w:r>
      <w:r>
        <w:t xml:space="preserve"> in the fuel meat and use linear</w:t>
      </w:r>
      <w:r w:rsidR="001F3814">
        <w:t xml:space="preserve"> elements throughout the model.</w:t>
      </w:r>
      <w:r w:rsidR="00F41A69">
        <w:br w:type="page"/>
      </w:r>
    </w:p>
    <w:p w14:paraId="393331EA" w14:textId="77777777" w:rsidR="00F359EF" w:rsidRDefault="00F41A69" w:rsidP="0038463A">
      <w:pPr>
        <w:pStyle w:val="Heading1"/>
        <w:ind w:firstLine="0"/>
        <w:rPr>
          <w:rStyle w:val="SubtitleChar"/>
        </w:rPr>
      </w:pPr>
      <w:r>
        <w:lastRenderedPageBreak/>
        <w:fldChar w:fldCharType="begin"/>
      </w:r>
      <w:r>
        <w:instrText xml:space="preserve"> LISTNUM CHAP \l 1</w:instrText>
      </w:r>
      <w:bookmarkStart w:id="196" w:name="_Toc382921546"/>
      <w:r>
        <w:fldChar w:fldCharType="end"/>
      </w:r>
      <w:r>
        <w:t xml:space="preserve">    Coupled Model</w:t>
      </w:r>
      <w:bookmarkEnd w:id="196"/>
      <w:r w:rsidRPr="00FF3A17">
        <w:rPr>
          <w:rStyle w:val="SubtitleChar"/>
        </w:rPr>
        <w:t xml:space="preserve"> </w:t>
      </w:r>
    </w:p>
    <w:p w14:paraId="7B246D14" w14:textId="7C0EA629" w:rsidR="00F41A69" w:rsidRPr="00E3342F" w:rsidRDefault="00F41A69" w:rsidP="00F359EF">
      <w:pPr>
        <w:pStyle w:val="Subtitle"/>
      </w:pPr>
      <w:r w:rsidRPr="00FF3A17">
        <w:rPr>
          <w:rStyle w:val="SubtitleChar"/>
        </w:rPr>
        <w:fldChar w:fldCharType="begin"/>
      </w:r>
      <w:r w:rsidRPr="00FF3A17">
        <w:rPr>
          <w:rStyle w:val="SubtitleChar"/>
        </w:rPr>
        <w:instrText xml:space="preserve"> LISTNUM EQN </w:instrText>
      </w:r>
      <w:r w:rsidRPr="00FF3A17">
        <w:rPr>
          <w:rStyle w:val="SubtitleChar"/>
        </w:rPr>
        <w:fldChar w:fldCharType="end"/>
      </w:r>
      <w:r w:rsidRPr="00FF3A17">
        <w:rPr>
          <w:rStyle w:val="SubtitleChar"/>
        </w:rPr>
        <w:fldChar w:fldCharType="begin"/>
      </w:r>
      <w:r w:rsidRPr="00FF3A17">
        <w:rPr>
          <w:rStyle w:val="SubtitleChar"/>
        </w:rPr>
        <w:instrText xml:space="preserve"> LISTNUM FIG </w:instrText>
      </w:r>
      <w:r w:rsidRPr="00FF3A17">
        <w:rPr>
          <w:rStyle w:val="SubtitleChar"/>
        </w:rPr>
        <w:fldChar w:fldCharType="end"/>
      </w:r>
      <w:r w:rsidRPr="00FF3A17">
        <w:rPr>
          <w:rStyle w:val="SubtitleChar"/>
        </w:rPr>
        <w:fldChar w:fldCharType="begin"/>
      </w:r>
      <w:r w:rsidRPr="00FF3A17">
        <w:rPr>
          <w:rStyle w:val="SubtitleChar"/>
        </w:rPr>
        <w:instrText xml:space="preserve">LISTNUM TAB </w:instrText>
      </w:r>
      <w:r w:rsidRPr="00FF3A17">
        <w:rPr>
          <w:rStyle w:val="SubtitleChar"/>
        </w:rPr>
        <w:fldChar w:fldCharType="end"/>
      </w:r>
    </w:p>
    <w:p w14:paraId="4E7CD2B9" w14:textId="3E4352BF" w:rsidR="00765A5C" w:rsidRPr="009358D1" w:rsidRDefault="00765A5C" w:rsidP="00765A5C">
      <w:pPr>
        <w:pStyle w:val="Heading2"/>
      </w:pPr>
      <w:r>
        <w:fldChar w:fldCharType="begin"/>
      </w:r>
      <w:r>
        <w:instrText xml:space="preserve"> LISTNUM CHAP \l 2 </w:instrText>
      </w:r>
      <w:bookmarkStart w:id="197" w:name="_Toc382921547"/>
      <w:r>
        <w:fldChar w:fldCharType="end"/>
      </w:r>
      <w:r>
        <w:t xml:space="preserve">    Construction</w:t>
      </w:r>
      <w:bookmarkEnd w:id="197"/>
    </w:p>
    <w:p w14:paraId="3DDAC969" w14:textId="7B5245B5" w:rsidR="00D6655A" w:rsidRDefault="00E4496C" w:rsidP="00B92FA2">
      <w:r>
        <w:t xml:space="preserve">The three-dimensional fuel meat and fuel plate geometries used in the 3D model </w:t>
      </w:r>
      <w:r w:rsidR="00F013B0">
        <w:t>are</w:t>
      </w:r>
      <w:r>
        <w:t xml:space="preserve"> also used in the coupled model.  The coolant, however, </w:t>
      </w:r>
      <w:r w:rsidR="00F013B0">
        <w:t>is</w:t>
      </w:r>
      <w:r>
        <w:t xml:space="preserve"> represented using a two-dimensional slice in the </w:t>
      </w:r>
      <w:r>
        <w:rPr>
          <w:i/>
        </w:rPr>
        <w:t>t-z</w:t>
      </w:r>
      <w:r>
        <w:rPr>
          <w:i/>
        </w:rPr>
        <w:softHyphen/>
        <w:t xml:space="preserve"> </w:t>
      </w:r>
      <w:r>
        <w:t xml:space="preserve">plane as shown in Fig. </w:t>
      </w:r>
      <w:r w:rsidR="00C30A26">
        <w:fldChar w:fldCharType="begin"/>
      </w:r>
      <w:r w:rsidR="00C30A26">
        <w:instrText xml:space="preserve"> REF _Ref379891971 \r \h </w:instrText>
      </w:r>
      <w:r w:rsidR="00C30A26">
        <w:fldChar w:fldCharType="separate"/>
      </w:r>
      <w:r w:rsidR="001C5EC1">
        <w:t>6.1</w:t>
      </w:r>
      <w:r w:rsidR="00C30A26">
        <w:fldChar w:fldCharType="end"/>
      </w:r>
      <w:r>
        <w:t>.</w:t>
      </w:r>
      <w:r w:rsidR="00457E10">
        <w:t xml:space="preserve">  The axial heights of the entrance and exit coolant regions above and below the fuel plate, respectively, are the same as in the 3D model.  </w:t>
      </w:r>
      <w:r w:rsidR="000C4263">
        <w:t xml:space="preserve">The coolant domain </w:t>
      </w:r>
      <w:r w:rsidR="00D108C4">
        <w:t>is</w:t>
      </w:r>
      <w:r w:rsidR="000C4263">
        <w:t xml:space="preserve"> broken into three components for ease of meshing.</w:t>
      </w:r>
      <w:r w:rsidR="00F64D54">
        <w:t xml:space="preserve">  The coolant domain’s boundaries</w:t>
      </w:r>
      <w:r w:rsidR="00D108C4">
        <w:t xml:space="preserve"> upstream and downstream of the fuel plate</w:t>
      </w:r>
      <w:r w:rsidR="00F64D54">
        <w:t xml:space="preserve"> in the </w:t>
      </w:r>
      <w:r w:rsidR="00F64D54">
        <w:rPr>
          <w:i/>
        </w:rPr>
        <w:t>t</w:t>
      </w:r>
      <w:r w:rsidR="00F64D54">
        <w:t>-direction correspond to the midplane of the adjacent fuel plates.</w:t>
      </w:r>
    </w:p>
    <w:p w14:paraId="427C690E" w14:textId="74D507F2" w:rsidR="00E4496C" w:rsidRDefault="000C6824" w:rsidP="003E0C5E">
      <w:pPr>
        <w:pStyle w:val="PictureSytel"/>
      </w:pPr>
      <w:r>
        <w:rPr>
          <w:noProof/>
        </w:rPr>
        <w:drawing>
          <wp:inline distT="0" distB="0" distL="0" distR="0" wp14:anchorId="6FB8B080" wp14:editId="489801E1">
            <wp:extent cx="5030047" cy="1328280"/>
            <wp:effectExtent l="19050" t="19050" r="18415" b="2476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Adam\Downloads\2D Coolant Diagram.png"/>
                    <pic:cNvPicPr>
                      <a:picLocks noChangeAspect="1" noChangeArrowheads="1"/>
                    </pic:cNvPicPr>
                  </pic:nvPicPr>
                  <pic:blipFill>
                    <a:blip r:embed="rId286">
                      <a:extLst>
                        <a:ext uri="{28A0092B-C50C-407E-A947-70E740481C1C}">
                          <a14:useLocalDpi xmlns:a14="http://schemas.microsoft.com/office/drawing/2010/main" val="0"/>
                        </a:ext>
                      </a:extLst>
                    </a:blip>
                    <a:stretch>
                      <a:fillRect/>
                    </a:stretch>
                  </pic:blipFill>
                  <pic:spPr bwMode="auto">
                    <a:xfrm>
                      <a:off x="0" y="0"/>
                      <a:ext cx="5030047" cy="1328280"/>
                    </a:xfrm>
                    <a:prstGeom prst="rect">
                      <a:avLst/>
                    </a:prstGeom>
                    <a:noFill/>
                    <a:ln>
                      <a:solidFill>
                        <a:schemeClr val="tx1"/>
                      </a:solidFill>
                    </a:ln>
                  </pic:spPr>
                </pic:pic>
              </a:graphicData>
            </a:graphic>
          </wp:inline>
        </w:drawing>
      </w:r>
    </w:p>
    <w:p w14:paraId="06FB72F8" w14:textId="1AD247D9" w:rsidR="008E3C03" w:rsidRPr="000C6824" w:rsidRDefault="00C30A26" w:rsidP="000C6824">
      <w:pPr>
        <w:pStyle w:val="FigTitleStyle"/>
        <w:rPr>
          <w:b w:val="0"/>
        </w:rPr>
      </w:pPr>
      <w:bookmarkStart w:id="198" w:name="_Toc380156121"/>
      <w:bookmarkStart w:id="199" w:name="_Toc380157667"/>
      <w:bookmarkStart w:id="200" w:name="_Toc382920271"/>
      <w:r w:rsidRPr="00F348D2">
        <w:t xml:space="preserve">Fig. </w:t>
      </w:r>
      <w:r w:rsidRPr="00F348D2">
        <w:fldChar w:fldCharType="begin"/>
      </w:r>
      <w:bookmarkStart w:id="201" w:name="_Ref379891971"/>
      <w:bookmarkEnd w:id="201"/>
      <w:r w:rsidRPr="00F348D2">
        <w:instrText xml:space="preserve"> LISTNUM FIG \l 2 </w:instrText>
      </w:r>
      <w:r w:rsidRPr="00F348D2">
        <w:fldChar w:fldCharType="end"/>
      </w:r>
      <w:r w:rsidRPr="00F348D2">
        <w:t xml:space="preserve">.  </w:t>
      </w:r>
      <w:r>
        <w:t>Coupled Model Coolant Domain</w:t>
      </w:r>
      <w:r w:rsidRPr="00F348D2">
        <w:t>.</w:t>
      </w:r>
      <w:r w:rsidR="000C6824">
        <w:rPr>
          <w:b w:val="0"/>
        </w:rPr>
        <w:t xml:space="preserve">  The coolant slice is shown in blue.  The obstructions created by the adjacent fuel plates in the coolant channel are marked with dotted lines.  Note, however, that the fuel plates are not included in the 2D geometry.  The approximate position</w:t>
      </w:r>
      <w:r w:rsidR="00D108C4">
        <w:rPr>
          <w:b w:val="0"/>
        </w:rPr>
        <w:t xml:space="preserve"> of the fuel meat within each fuel plate is</w:t>
      </w:r>
      <w:r w:rsidR="000C6824">
        <w:rPr>
          <w:b w:val="0"/>
        </w:rPr>
        <w:t xml:space="preserve"> shown in orange.  </w:t>
      </w:r>
      <w:r w:rsidR="00395DE8">
        <w:rPr>
          <w:b w:val="0"/>
        </w:rPr>
        <w:t>Flow direction</w:t>
      </w:r>
      <w:r w:rsidR="000C6824">
        <w:rPr>
          <w:b w:val="0"/>
        </w:rPr>
        <w:t xml:space="preserve"> is in the </w:t>
      </w:r>
      <w:r w:rsidR="000C6824" w:rsidRPr="002722F3">
        <w:rPr>
          <w:b w:val="0"/>
          <w:i/>
        </w:rPr>
        <w:softHyphen/>
      </w:r>
      <w:r w:rsidR="000C6824" w:rsidRPr="002722F3">
        <w:rPr>
          <w:b w:val="0"/>
          <w:i/>
        </w:rPr>
        <w:softHyphen/>
      </w:r>
      <w:r w:rsidR="002722F3">
        <w:rPr>
          <w:b w:val="0"/>
          <w:i/>
        </w:rPr>
        <w:t>+</w:t>
      </w:r>
      <w:r w:rsidR="000C6824" w:rsidRPr="002722F3">
        <w:rPr>
          <w:b w:val="0"/>
          <w:i/>
        </w:rPr>
        <w:t>z</w:t>
      </w:r>
      <w:r w:rsidR="000C6824">
        <w:rPr>
          <w:b w:val="0"/>
        </w:rPr>
        <w:t>-direction</w:t>
      </w:r>
      <w:r w:rsidR="00457E10">
        <w:rPr>
          <w:b w:val="0"/>
        </w:rPr>
        <w:t>.  Diagram is not to scale.</w:t>
      </w:r>
      <w:bookmarkEnd w:id="198"/>
      <w:bookmarkEnd w:id="199"/>
      <w:bookmarkEnd w:id="200"/>
    </w:p>
    <w:p w14:paraId="73DA36BD" w14:textId="18893BC1" w:rsidR="00C30A26" w:rsidRDefault="00C30A26" w:rsidP="008E3C03">
      <w:r>
        <w:t xml:space="preserve">  </w:t>
      </w:r>
      <w:r w:rsidR="00457E10">
        <w:t xml:space="preserve">The side plates </w:t>
      </w:r>
      <w:r w:rsidR="00D108C4">
        <w:t>are</w:t>
      </w:r>
      <w:r w:rsidR="00457E10">
        <w:t xml:space="preserve"> not included in the coupled model.  </w:t>
      </w:r>
      <w:r w:rsidR="00D05485">
        <w:t xml:space="preserve">This </w:t>
      </w:r>
      <w:r w:rsidR="00D108C4">
        <w:t>is</w:t>
      </w:r>
      <w:r w:rsidR="00D05485">
        <w:t xml:space="preserve"> due, in part, to the issue of how to include them in the </w:t>
      </w:r>
      <w:r w:rsidR="00D108C4">
        <w:t>model.  The</w:t>
      </w:r>
      <w:r w:rsidR="00D05485">
        <w:t xml:space="preserve"> contact </w:t>
      </w:r>
      <w:r w:rsidR="00D108C4">
        <w:t xml:space="preserve">interface </w:t>
      </w:r>
      <w:r w:rsidR="00D05485">
        <w:t xml:space="preserve">with the fuel plate could easily be appended to the three-dimensional fuel plate domain.  The coolant domain, however, homogenizes the </w:t>
      </w:r>
      <w:r w:rsidR="00D05485">
        <w:rPr>
          <w:i/>
        </w:rPr>
        <w:t>s</w:t>
      </w:r>
      <w:r w:rsidR="00D05485">
        <w:t xml:space="preserve">-direction.  There would be no physically meaningful way to attach them to the coolant domain.  This simplifying decision is validated by the 3D model.  Energy balances performed on the </w:t>
      </w:r>
      <w:r w:rsidR="003626D6">
        <w:t xml:space="preserve">coolant-facing </w:t>
      </w:r>
      <w:r w:rsidR="00D05485">
        <w:t>sur</w:t>
      </w:r>
      <w:r w:rsidR="003626D6">
        <w:t xml:space="preserve">faces of the side plates show that </w:t>
      </w:r>
      <w:r w:rsidR="00D05485">
        <w:t>the heat transfer into both to be minimal compared to</w:t>
      </w:r>
      <w:r w:rsidR="00D108C4">
        <w:t xml:space="preserve"> both</w:t>
      </w:r>
      <w:r w:rsidR="00D05485">
        <w:t xml:space="preserve"> the overall entropy change in the coolant channel and the heat generation in the fuel meat.</w:t>
      </w:r>
    </w:p>
    <w:p w14:paraId="2CC3D3FD" w14:textId="2EB95F49" w:rsidR="00E00122" w:rsidRDefault="00E00122" w:rsidP="008E3C03">
      <w:r>
        <w:lastRenderedPageBreak/>
        <w:t>The use of unions and assemblies—continuous and discontinuous inter-component mesh boundaries—</w:t>
      </w:r>
      <w:r w:rsidR="003626D6">
        <w:t>is</w:t>
      </w:r>
      <w:r>
        <w:t xml:space="preserve"> the same in the fuel plate as in the 3D model.  The coolant domain’s three components </w:t>
      </w:r>
      <w:r w:rsidR="003626D6">
        <w:t>are</w:t>
      </w:r>
      <w:r>
        <w:t xml:space="preserve"> </w:t>
      </w:r>
      <w:r w:rsidR="00CB0A0E">
        <w:t>joined via union resulting in a single continuous mesh throughout.</w:t>
      </w:r>
    </w:p>
    <w:p w14:paraId="25AF0D61" w14:textId="00789847" w:rsidR="00765A5C" w:rsidRPr="009358D1" w:rsidRDefault="00765A5C" w:rsidP="00765A5C">
      <w:pPr>
        <w:pStyle w:val="Heading2"/>
      </w:pPr>
      <w:r>
        <w:fldChar w:fldCharType="begin"/>
      </w:r>
      <w:r>
        <w:instrText xml:space="preserve"> LISTNUM CHAP \l 2 </w:instrText>
      </w:r>
      <w:bookmarkStart w:id="202" w:name="_Toc382921548"/>
      <w:r>
        <w:fldChar w:fldCharType="end"/>
      </w:r>
      <w:r>
        <w:t xml:space="preserve">    Inputs</w:t>
      </w:r>
      <w:bookmarkEnd w:id="202"/>
    </w:p>
    <w:p w14:paraId="74E2B0D1" w14:textId="2111FEC0" w:rsidR="004660BA" w:rsidRDefault="002B3723" w:rsidP="00B92FA2">
      <w:r>
        <w:t xml:space="preserve">The coupled model had the same inputs as the 3D model for initial conditions as well as inlet and exit conditions and nuclear heat generation.  </w:t>
      </w:r>
      <w:r w:rsidR="003F7765">
        <w:t xml:space="preserve">The only </w:t>
      </w:r>
      <w:r w:rsidR="004660BA">
        <w:t xml:space="preserve">major </w:t>
      </w:r>
      <w:r w:rsidR="003F7765">
        <w:t xml:space="preserve">difference </w:t>
      </w:r>
      <w:r w:rsidR="003626D6">
        <w:t>is</w:t>
      </w:r>
      <w:r w:rsidR="003F7765">
        <w:t xml:space="preserve"> the addition of an involute coordinate system which was imported into the model</w:t>
      </w:r>
      <w:r w:rsidR="00684E68">
        <w:t xml:space="preserve"> for use in implementing</w:t>
      </w:r>
      <w:r w:rsidR="00A94F2D">
        <w:t xml:space="preserve"> the interdimensional coupling mechanism</w:t>
      </w:r>
      <w:r w:rsidR="003F7765">
        <w:t>.</w:t>
      </w:r>
      <w:r w:rsidR="005D33ED">
        <w:t xml:space="preserve">  Since there is no direct way to translate from an </w:t>
      </w:r>
      <w:r w:rsidR="005D33ED">
        <w:rPr>
          <w:i/>
        </w:rPr>
        <w:t>x-y</w:t>
      </w:r>
      <w:r w:rsidR="005D33ED">
        <w:rPr>
          <w:i/>
        </w:rPr>
        <w:softHyphen/>
        <w:t xml:space="preserve"> </w:t>
      </w:r>
      <w:r w:rsidR="005D33ED">
        <w:t xml:space="preserve">Cartesian coordinate system to an </w:t>
      </w:r>
      <w:r w:rsidR="005D33ED">
        <w:softHyphen/>
      </w:r>
      <w:r w:rsidR="005D33ED">
        <w:rPr>
          <w:i/>
        </w:rPr>
        <w:t>s-t</w:t>
      </w:r>
      <w:r w:rsidR="005D33ED">
        <w:t xml:space="preserve"> involute coordinate system, the impromptu coordinate had to be generated via a contour plot.  A table of points with structured </w:t>
      </w:r>
      <w:r w:rsidR="005D33ED" w:rsidRPr="005D33ED">
        <w:rPr>
          <w:i/>
        </w:rPr>
        <w:t>θ</w:t>
      </w:r>
      <w:r w:rsidR="005D33ED">
        <w:t xml:space="preserve"> and </w:t>
      </w:r>
      <w:r w:rsidR="005D33ED">
        <w:rPr>
          <w:i/>
        </w:rPr>
        <w:t>t</w:t>
      </w:r>
      <w:r w:rsidR="005D33ED">
        <w:t xml:space="preserve"> values was created in Matlab.  </w:t>
      </w:r>
      <w:r w:rsidR="00AF672A">
        <w:t xml:space="preserve">The </w:t>
      </w:r>
      <w:r w:rsidR="00AF672A">
        <w:rPr>
          <w:i/>
        </w:rPr>
        <w:t>x</w:t>
      </w:r>
      <w:r w:rsidR="00AF672A">
        <w:t xml:space="preserve">- and </w:t>
      </w:r>
      <w:r w:rsidR="00AF672A">
        <w:rPr>
          <w:i/>
        </w:rPr>
        <w:t>y</w:t>
      </w:r>
      <w:r w:rsidR="00AF672A">
        <w:t>-coordinates were then calculated for each point and stored</w:t>
      </w:r>
      <w:r w:rsidR="003626D6">
        <w:t xml:space="preserve"> in a matrix</w:t>
      </w:r>
      <w:r w:rsidR="00AF672A">
        <w:t>.  The grid that this produces</w:t>
      </w:r>
      <w:r w:rsidR="004660BA">
        <w:t xml:space="preserve"> is shown in Fig. </w:t>
      </w:r>
      <w:r w:rsidR="004660BA">
        <w:fldChar w:fldCharType="begin"/>
      </w:r>
      <w:r w:rsidR="004660BA">
        <w:instrText xml:space="preserve"> REF _Ref379961880 \r \h </w:instrText>
      </w:r>
      <w:r w:rsidR="004660BA">
        <w:fldChar w:fldCharType="separate"/>
      </w:r>
      <w:r w:rsidR="001C5EC1">
        <w:t>6.2</w:t>
      </w:r>
      <w:r w:rsidR="004660BA">
        <w:fldChar w:fldCharType="end"/>
      </w:r>
      <w:r w:rsidR="004660BA">
        <w:t>.</w:t>
      </w:r>
    </w:p>
    <w:p w14:paraId="006BFBEE" w14:textId="50074054" w:rsidR="004660BA" w:rsidRDefault="001C5EC1" w:rsidP="003E0C5E">
      <w:pPr>
        <w:pStyle w:val="PictureSytel"/>
      </w:pPr>
      <w:r>
        <w:rPr>
          <w:noProof/>
        </w:rPr>
        <w:pict w14:anchorId="06385002">
          <v:shape id="_x0000_i1151" type="#_x0000_t75" style="width:397.6pt;height:242.85pt" o:bordertopcolor="this" o:borderleftcolor="this" o:borderbottomcolor="this" o:borderrightcolor="this">
            <v:imagedata r:id="rId287" o:title="Involute_Scatter_Large" croptop="1740f" cropbottom="1044f" cropleft="5680f" cropright="3997f"/>
            <w10:bordertop type="single" width="4"/>
            <w10:borderleft type="single" width="4"/>
            <w10:borderbottom type="single" width="4"/>
            <w10:borderright type="single" width="4"/>
          </v:shape>
        </w:pict>
      </w:r>
    </w:p>
    <w:p w14:paraId="4063B579" w14:textId="1F4C4B93" w:rsidR="004660BA" w:rsidRPr="007B062A" w:rsidRDefault="004660BA" w:rsidP="004660BA">
      <w:pPr>
        <w:pStyle w:val="FigTitleStyle"/>
        <w:rPr>
          <w:b w:val="0"/>
        </w:rPr>
      </w:pPr>
      <w:bookmarkStart w:id="203" w:name="_Toc380156122"/>
      <w:bookmarkStart w:id="204" w:name="_Toc380157668"/>
      <w:bookmarkStart w:id="205" w:name="_Toc382920272"/>
      <w:r w:rsidRPr="00F348D2">
        <w:t xml:space="preserve">Fig. </w:t>
      </w:r>
      <w:r w:rsidRPr="00F348D2">
        <w:fldChar w:fldCharType="begin"/>
      </w:r>
      <w:bookmarkStart w:id="206" w:name="_Ref379961880"/>
      <w:bookmarkEnd w:id="206"/>
      <w:r w:rsidRPr="00F348D2">
        <w:instrText xml:space="preserve"> LISTNUM FIG \l 2 </w:instrText>
      </w:r>
      <w:r w:rsidRPr="00F348D2">
        <w:fldChar w:fldCharType="end"/>
      </w:r>
      <w:r w:rsidRPr="00F348D2">
        <w:t xml:space="preserve">.  </w:t>
      </w:r>
      <w:r>
        <w:t>Involute Coordinate Contour Grid Points.</w:t>
      </w:r>
      <w:r w:rsidR="00AF672A">
        <w:t xml:space="preserve">  </w:t>
      </w:r>
      <w:r w:rsidR="00AF672A">
        <w:rPr>
          <w:b w:val="0"/>
        </w:rPr>
        <w:t xml:space="preserve">Each group of colored markers is associated with a constant </w:t>
      </w:r>
      <w:r w:rsidR="00AF672A">
        <w:rPr>
          <w:b w:val="0"/>
          <w:i/>
        </w:rPr>
        <w:t>t</w:t>
      </w:r>
      <w:r w:rsidR="00AF672A">
        <w:rPr>
          <w:b w:val="0"/>
        </w:rPr>
        <w:t xml:space="preserve"> value in which </w:t>
      </w:r>
      <w:r w:rsidR="00AF672A">
        <w:rPr>
          <w:b w:val="0"/>
          <w:i/>
        </w:rPr>
        <w:t>t</w:t>
      </w:r>
      <w:r w:rsidR="007B062A">
        <w:t xml:space="preserve"> </w:t>
      </w:r>
      <w:r w:rsidR="007B062A">
        <w:rPr>
          <w:b w:val="0"/>
        </w:rPr>
        <w:t>(in)</w:t>
      </w:r>
      <w:r w:rsidR="00AF672A">
        <w:rPr>
          <w:b w:val="0"/>
        </w:rPr>
        <w:t xml:space="preserve"> = -0.12, -0.11, -0.06, -0.01, 0.04, 0.09, 0.14, 0.15.</w:t>
      </w:r>
      <w:r w:rsidR="007B062A">
        <w:rPr>
          <w:b w:val="0"/>
        </w:rPr>
        <w:t xml:space="preserve">  </w:t>
      </w:r>
      <w:r w:rsidR="007B062A" w:rsidRPr="007B062A">
        <w:rPr>
          <w:b w:val="0"/>
          <w:i/>
        </w:rPr>
        <w:t>θ</w:t>
      </w:r>
      <w:r w:rsidR="007B062A">
        <w:rPr>
          <w:b w:val="0"/>
        </w:rPr>
        <w:t xml:space="preserve"> = 0.00 to 1.65 by 0.01 radian increments for each group.</w:t>
      </w:r>
      <w:bookmarkEnd w:id="203"/>
      <w:bookmarkEnd w:id="204"/>
      <w:bookmarkEnd w:id="205"/>
    </w:p>
    <w:p w14:paraId="0D6D85EF" w14:textId="7C0DACE0" w:rsidR="00D6655A" w:rsidRDefault="004660BA" w:rsidP="00B92FA2">
      <w:r>
        <w:lastRenderedPageBreak/>
        <w:t>All four coordinate values (</w:t>
      </w:r>
      <w:r>
        <w:rPr>
          <w:i/>
        </w:rPr>
        <w:t>x</w:t>
      </w:r>
      <w:r>
        <w:t xml:space="preserve">, </w:t>
      </w:r>
      <w:r>
        <w:rPr>
          <w:i/>
        </w:rPr>
        <w:t>y</w:t>
      </w:r>
      <w:r>
        <w:t xml:space="preserve">, </w:t>
      </w:r>
      <w:r>
        <w:rPr>
          <w:i/>
        </w:rPr>
        <w:t>θ</w:t>
      </w:r>
      <w:r>
        <w:t xml:space="preserve">, and </w:t>
      </w:r>
      <w:r>
        <w:rPr>
          <w:i/>
        </w:rPr>
        <w:t>t</w:t>
      </w:r>
      <w:r>
        <w:t xml:space="preserve">) were then imported into COMSOL.  The </w:t>
      </w:r>
      <w:r>
        <w:rPr>
          <w:i/>
        </w:rPr>
        <w:t>x-</w:t>
      </w:r>
      <w:r>
        <w:t xml:space="preserve"> and </w:t>
      </w:r>
      <w:r>
        <w:rPr>
          <w:i/>
        </w:rPr>
        <w:t>y</w:t>
      </w:r>
      <w:r>
        <w:t xml:space="preserve">-coordinates were treated as independent variables while </w:t>
      </w:r>
      <w:r>
        <w:rPr>
          <w:i/>
        </w:rPr>
        <w:t>θ</w:t>
      </w:r>
      <w:r>
        <w:t xml:space="preserve"> and </w:t>
      </w:r>
      <w:r>
        <w:rPr>
          <w:i/>
        </w:rPr>
        <w:t>t</w:t>
      </w:r>
      <w:r>
        <w:t xml:space="preserve"> were treated as</w:t>
      </w:r>
      <w:r w:rsidR="00AF672A">
        <w:t xml:space="preserve"> dependent functions.  This allowed for a contour map of each involute coordinate to be created.  These are shown in Fig</w:t>
      </w:r>
      <w:r w:rsidR="00A40645">
        <w:t>s</w:t>
      </w:r>
      <w:r w:rsidR="00AF672A">
        <w:t xml:space="preserve">. </w:t>
      </w:r>
      <w:r w:rsidR="00AF672A">
        <w:fldChar w:fldCharType="begin"/>
      </w:r>
      <w:r w:rsidR="00AF672A">
        <w:instrText xml:space="preserve"> REF _Ref379964329 \r \h </w:instrText>
      </w:r>
      <w:r w:rsidR="00AF672A">
        <w:fldChar w:fldCharType="separate"/>
      </w:r>
      <w:r w:rsidR="001C5EC1">
        <w:t>6.3</w:t>
      </w:r>
      <w:r w:rsidR="00AF672A">
        <w:fldChar w:fldCharType="end"/>
      </w:r>
      <w:r w:rsidR="000E7D24">
        <w:t xml:space="preserve"> an</w:t>
      </w:r>
      <w:r w:rsidR="00A40645">
        <w:t xml:space="preserve">d </w:t>
      </w:r>
      <w:r w:rsidR="000E7D24">
        <w:fldChar w:fldCharType="begin"/>
      </w:r>
      <w:r w:rsidR="000E7D24">
        <w:instrText xml:space="preserve"> REF _Ref379966799 \r \h </w:instrText>
      </w:r>
      <w:r w:rsidR="000E7D24">
        <w:fldChar w:fldCharType="separate"/>
      </w:r>
      <w:r w:rsidR="001C5EC1">
        <w:t>6.4</w:t>
      </w:r>
      <w:r w:rsidR="000E7D24">
        <w:fldChar w:fldCharType="end"/>
      </w:r>
      <w:r w:rsidR="00AF672A">
        <w:t>.</w:t>
      </w:r>
    </w:p>
    <w:p w14:paraId="0E4B5D26" w14:textId="47733F94" w:rsidR="00AF672A" w:rsidRDefault="00A40645" w:rsidP="003E0C5E">
      <w:pPr>
        <w:pStyle w:val="PictureSytel"/>
      </w:pPr>
      <w:r>
        <w:rPr>
          <w:noProof/>
        </w:rPr>
        <w:drawing>
          <wp:inline distT="0" distB="0" distL="0" distR="0" wp14:anchorId="2B5ADFF7" wp14:editId="44207D86">
            <wp:extent cx="4999990" cy="4038600"/>
            <wp:effectExtent l="19050" t="19050" r="10160" b="190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theta_coord_map[1].png"/>
                    <pic:cNvPicPr/>
                  </pic:nvPicPr>
                  <pic:blipFill rotWithShape="1">
                    <a:blip r:embed="rId288">
                      <a:extLst>
                        <a:ext uri="{28A0092B-C50C-407E-A947-70E740481C1C}">
                          <a14:useLocalDpi xmlns:a14="http://schemas.microsoft.com/office/drawing/2010/main" val="0"/>
                        </a:ext>
                      </a:extLst>
                    </a:blip>
                    <a:srcRect t="4338" b="3700"/>
                    <a:stretch/>
                  </pic:blipFill>
                  <pic:spPr bwMode="auto">
                    <a:xfrm>
                      <a:off x="0" y="0"/>
                      <a:ext cx="5007463" cy="404463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E314AE8" w14:textId="5B509EA1" w:rsidR="00AF672A" w:rsidRPr="000E7D24" w:rsidRDefault="00AF672A" w:rsidP="007B6F26">
      <w:pPr>
        <w:pStyle w:val="FigTitleStyle"/>
        <w:spacing w:after="0"/>
        <w:rPr>
          <w:b w:val="0"/>
        </w:rPr>
      </w:pPr>
      <w:bookmarkStart w:id="207" w:name="_Toc380156123"/>
      <w:bookmarkStart w:id="208" w:name="_Toc380157669"/>
      <w:bookmarkStart w:id="209" w:name="_Toc382920273"/>
      <w:r w:rsidRPr="00F348D2">
        <w:t xml:space="preserve">Fig. </w:t>
      </w:r>
      <w:r w:rsidRPr="00F348D2">
        <w:fldChar w:fldCharType="begin"/>
      </w:r>
      <w:bookmarkStart w:id="210" w:name="_Ref379964329"/>
      <w:bookmarkEnd w:id="210"/>
      <w:r w:rsidRPr="00F348D2">
        <w:instrText xml:space="preserve"> LISTNUM FIG \l 2 </w:instrText>
      </w:r>
      <w:r w:rsidRPr="00F348D2">
        <w:fldChar w:fldCharType="end"/>
      </w:r>
      <w:r w:rsidRPr="00F348D2">
        <w:t xml:space="preserve">.  </w:t>
      </w:r>
      <w:r w:rsidR="00A40645" w:rsidRPr="00A40645">
        <w:rPr>
          <w:i/>
        </w:rPr>
        <w:t>θ</w:t>
      </w:r>
      <w:r w:rsidR="00A40645">
        <w:t>-</w:t>
      </w:r>
      <w:r>
        <w:t>Coordina</w:t>
      </w:r>
      <w:r w:rsidR="00A40645">
        <w:t>te Contour Map</w:t>
      </w:r>
      <w:r>
        <w:t>.</w:t>
      </w:r>
      <w:r w:rsidR="000E7D24">
        <w:t xml:space="preserve">  </w:t>
      </w:r>
      <w:r w:rsidR="000E7D24">
        <w:rPr>
          <w:b w:val="0"/>
        </w:rPr>
        <w:t>The involute geometry is shown for reference.</w:t>
      </w:r>
      <w:bookmarkEnd w:id="207"/>
      <w:bookmarkEnd w:id="208"/>
      <w:bookmarkEnd w:id="209"/>
    </w:p>
    <w:p w14:paraId="38E5AAEF" w14:textId="6F1076BC" w:rsidR="00AF672A" w:rsidRDefault="00A40645" w:rsidP="003E0C5E">
      <w:pPr>
        <w:pStyle w:val="PictureSytel"/>
      </w:pPr>
      <w:r>
        <w:rPr>
          <w:noProof/>
        </w:rPr>
        <w:lastRenderedPageBreak/>
        <w:drawing>
          <wp:inline distT="0" distB="0" distL="0" distR="0" wp14:anchorId="65A7F0B9" wp14:editId="1D04CB5E">
            <wp:extent cx="5020783" cy="4276725"/>
            <wp:effectExtent l="19050" t="19050" r="2794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t_coord_map[1].png"/>
                    <pic:cNvPicPr/>
                  </pic:nvPicPr>
                  <pic:blipFill rotWithShape="1">
                    <a:blip r:embed="rId289">
                      <a:extLst>
                        <a:ext uri="{28A0092B-C50C-407E-A947-70E740481C1C}">
                          <a14:useLocalDpi xmlns:a14="http://schemas.microsoft.com/office/drawing/2010/main" val="0"/>
                        </a:ext>
                      </a:extLst>
                    </a:blip>
                    <a:srcRect t="5123" b="2842"/>
                    <a:stretch/>
                  </pic:blipFill>
                  <pic:spPr bwMode="auto">
                    <a:xfrm>
                      <a:off x="0" y="0"/>
                      <a:ext cx="5026786" cy="4281838"/>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42906A4" w14:textId="106D8779" w:rsidR="00A40645" w:rsidRPr="000E7D24" w:rsidRDefault="00A40645" w:rsidP="00A40645">
      <w:pPr>
        <w:pStyle w:val="FigTitleStyle"/>
        <w:rPr>
          <w:b w:val="0"/>
        </w:rPr>
      </w:pPr>
      <w:bookmarkStart w:id="211" w:name="_Toc380156124"/>
      <w:bookmarkStart w:id="212" w:name="_Toc380157670"/>
      <w:bookmarkStart w:id="213" w:name="_Toc382920274"/>
      <w:r w:rsidRPr="00F348D2">
        <w:t xml:space="preserve">Fig. </w:t>
      </w:r>
      <w:r w:rsidRPr="00F348D2">
        <w:fldChar w:fldCharType="begin"/>
      </w:r>
      <w:bookmarkStart w:id="214" w:name="_Ref379966799"/>
      <w:bookmarkEnd w:id="214"/>
      <w:r w:rsidRPr="00F348D2">
        <w:instrText xml:space="preserve"> LISTNUM FIG \l 2 </w:instrText>
      </w:r>
      <w:r w:rsidRPr="00F348D2">
        <w:fldChar w:fldCharType="end"/>
      </w:r>
      <w:r w:rsidRPr="00F348D2">
        <w:t xml:space="preserve">.  </w:t>
      </w:r>
      <w:r>
        <w:rPr>
          <w:i/>
        </w:rPr>
        <w:t>t</w:t>
      </w:r>
      <w:r>
        <w:t>-</w:t>
      </w:r>
      <w:r w:rsidRPr="00A40645">
        <w:t>Coordinate</w:t>
      </w:r>
      <w:r>
        <w:t xml:space="preserve"> Contour Map.</w:t>
      </w:r>
      <w:r w:rsidR="000E7D24">
        <w:t xml:space="preserve">  </w:t>
      </w:r>
      <w:r w:rsidR="000E7D24">
        <w:rPr>
          <w:b w:val="0"/>
        </w:rPr>
        <w:t>The involute geometry is shown for reference.</w:t>
      </w:r>
      <w:bookmarkEnd w:id="211"/>
      <w:bookmarkEnd w:id="212"/>
      <w:bookmarkEnd w:id="213"/>
    </w:p>
    <w:p w14:paraId="1E0996E4" w14:textId="4A66C718" w:rsidR="00351BF4" w:rsidRDefault="000E7D24" w:rsidP="007F0D0C">
      <w:r w:rsidRPr="000E7D24">
        <w:t>Each coordinate map was made much larger than the involute geometry</w:t>
      </w:r>
      <w:r w:rsidR="003626D6">
        <w:t>,</w:t>
      </w:r>
      <w:r w:rsidRPr="000E7D24">
        <w:t xml:space="preserve"> which is shown underlain for reference.  This was due primarily to the jaggedness of the contours on the edges of the maps where the coordinate grid ends.  In order to prevent these discrepancies from infiltrating into the solution domain the boundaries were expanded to ensure smooth contours throughout.</w:t>
      </w:r>
      <w:r w:rsidR="007F0D0C">
        <w:t xml:space="preserve">  </w:t>
      </w:r>
      <w:r w:rsidR="00B75E08">
        <w:t xml:space="preserve">Once the functions </w:t>
      </w:r>
      <w:r w:rsidR="00B75E08" w:rsidRPr="00B75E08">
        <w:rPr>
          <w:i/>
        </w:rPr>
        <w:t>θ</w:t>
      </w:r>
      <w:r w:rsidR="00B75E08">
        <w:t>(</w:t>
      </w:r>
      <w:r w:rsidR="00B75E08">
        <w:rPr>
          <w:i/>
        </w:rPr>
        <w:t>x,y</w:t>
      </w:r>
      <w:r w:rsidR="00B75E08">
        <w:t xml:space="preserve">) and </w:t>
      </w:r>
      <w:r w:rsidR="00B75E08">
        <w:rPr>
          <w:i/>
        </w:rPr>
        <w:t>t</w:t>
      </w:r>
      <w:r w:rsidR="00B75E08">
        <w:t>(</w:t>
      </w:r>
      <w:r w:rsidR="00B75E08">
        <w:rPr>
          <w:i/>
        </w:rPr>
        <w:t>x,y</w:t>
      </w:r>
      <w:r w:rsidR="00B75E08">
        <w:t xml:space="preserve">) exist they can be referenced in COMSOL the same as a coordinate.  The involute coordinate function </w:t>
      </w:r>
      <w:r w:rsidR="00B75E08">
        <w:rPr>
          <w:i/>
        </w:rPr>
        <w:t>s</w:t>
      </w:r>
      <w:r w:rsidR="00B75E08">
        <w:t>(</w:t>
      </w:r>
      <w:r w:rsidR="00B75E08">
        <w:rPr>
          <w:i/>
        </w:rPr>
        <w:t>θ,t</w:t>
      </w:r>
      <w:r w:rsidR="00B75E08">
        <w:t xml:space="preserve">) was created using Eqn. </w:t>
      </w:r>
      <w:r w:rsidR="00B75E08">
        <w:fldChar w:fldCharType="begin"/>
      </w:r>
      <w:r w:rsidR="00B75E08">
        <w:instrText xml:space="preserve"> REF _Ref363560844 \r \h </w:instrText>
      </w:r>
      <w:r w:rsidR="00B75E08">
        <w:fldChar w:fldCharType="separate"/>
      </w:r>
      <w:r w:rsidR="001C5EC1">
        <w:t>(3.17</w:t>
      </w:r>
      <w:r w:rsidR="00B75E08">
        <w:fldChar w:fldCharType="end"/>
      </w:r>
      <w:r w:rsidR="00B75E08">
        <w:t>).</w:t>
      </w:r>
    </w:p>
    <w:p w14:paraId="56BCD782" w14:textId="7E9804F8" w:rsidR="003E0C5E" w:rsidRDefault="007F0D0C" w:rsidP="007F0D0C">
      <w:r>
        <w:t>The other additional model inpu</w:t>
      </w:r>
      <w:r w:rsidR="003626D6">
        <w:t>t is</w:t>
      </w:r>
      <w:r w:rsidR="007863BD">
        <w:t xml:space="preserve"> the channel width</w:t>
      </w:r>
      <w:r>
        <w:t xml:space="preserve"> as a function of axial position</w:t>
      </w:r>
      <w:r w:rsidR="003626D6">
        <w:t xml:space="preserve">, </w:t>
      </w:r>
      <w:r w:rsidR="003626D6">
        <w:rPr>
          <w:i/>
        </w:rPr>
        <w:t>w</w:t>
      </w:r>
      <w:r w:rsidR="003626D6">
        <w:rPr>
          <w:i/>
          <w:vertAlign w:val="subscript"/>
        </w:rPr>
        <w:t>c</w:t>
      </w:r>
      <w:r w:rsidR="003626D6">
        <w:t>(</w:t>
      </w:r>
      <w:r w:rsidR="003626D6">
        <w:rPr>
          <w:i/>
        </w:rPr>
        <w:t>z</w:t>
      </w:r>
      <w:r w:rsidR="003626D6">
        <w:t>)</w:t>
      </w:r>
      <w:r>
        <w:t>.</w:t>
      </w:r>
      <w:r w:rsidR="007863BD">
        <w:t xml:space="preserve">  It </w:t>
      </w:r>
      <w:r w:rsidR="003626D6">
        <w:t>is</w:t>
      </w:r>
      <w:r w:rsidR="007863BD">
        <w:t xml:space="preserve"> used in averaging flow properties across the width of the 2D channel slice.  The channel width is constant for the length of the entire fuel plate except at the rounded leading edge</w:t>
      </w:r>
      <w:r w:rsidR="005E3819">
        <w:t xml:space="preserve"> (the right-hand side of coolant region 1 in Fig. </w:t>
      </w:r>
      <w:r w:rsidR="005E3819">
        <w:fldChar w:fldCharType="begin"/>
      </w:r>
      <w:r w:rsidR="005E3819">
        <w:instrText xml:space="preserve"> REF _Ref379891971 \r \h </w:instrText>
      </w:r>
      <w:r w:rsidR="005E3819">
        <w:fldChar w:fldCharType="separate"/>
      </w:r>
      <w:r w:rsidR="001C5EC1">
        <w:t>6.1</w:t>
      </w:r>
      <w:r w:rsidR="005E3819">
        <w:fldChar w:fldCharType="end"/>
      </w:r>
      <w:r w:rsidR="005E3819">
        <w:t>)</w:t>
      </w:r>
      <w:r w:rsidR="003626D6">
        <w:t xml:space="preserve">.  </w:t>
      </w:r>
      <w:r w:rsidR="007863BD">
        <w:t>Therefore, the channel width function defines the axially-varying width along the length of the rounded leading edge.  Co</w:t>
      </w:r>
      <w:r w:rsidR="003626D6">
        <w:t>nstant-value extrapolations</w:t>
      </w:r>
      <w:r w:rsidR="007863BD">
        <w:t xml:space="preserve"> </w:t>
      </w:r>
      <w:r w:rsidR="003626D6">
        <w:t xml:space="preserve">are </w:t>
      </w:r>
      <w:r w:rsidR="007863BD">
        <w:t>used from the boundary values of the function to define the constant width along the rest of the length of the fuel plate.</w:t>
      </w:r>
    </w:p>
    <w:p w14:paraId="2FDE2333" w14:textId="1E5369D1" w:rsidR="003E0C5E" w:rsidRDefault="008F0DE1" w:rsidP="003E0C5E">
      <w:r>
        <w:lastRenderedPageBreak/>
        <w:t xml:space="preserve">The </w:t>
      </w:r>
      <w:r w:rsidR="003E0C5E">
        <w:t xml:space="preserve">width of </w:t>
      </w:r>
      <w:r w:rsidR="00F132E1">
        <w:t>one-half</w:t>
      </w:r>
      <w:r w:rsidR="003E0C5E">
        <w:t xml:space="preserve"> of the rounded leading edge, </w:t>
      </w:r>
      <w:r w:rsidR="003E0C5E">
        <w:rPr>
          <w:i/>
        </w:rPr>
        <w:t>w</w:t>
      </w:r>
      <w:r w:rsidR="003E0C5E">
        <w:rPr>
          <w:i/>
          <w:vertAlign w:val="subscript"/>
        </w:rPr>
        <w:t>r</w:t>
      </w:r>
      <w:r w:rsidR="00DD7D1D">
        <w:t>, is</w:t>
      </w:r>
      <w:r w:rsidR="003E0C5E">
        <w:t xml:space="preserve"> given as a function of its axial position:</w:t>
      </w:r>
    </w:p>
    <w:p w14:paraId="37FCAFCF" w14:textId="77777777" w:rsidR="008F0DE1" w:rsidRDefault="008F0DE1" w:rsidP="008F0DE1">
      <w:pPr>
        <w:pStyle w:val="numberedeqnstyle"/>
      </w:pPr>
      <w:r w:rsidRPr="00A025AE">
        <w:tab/>
      </w:r>
      <w:r w:rsidR="00DD7D1D" w:rsidRPr="003E0C5E">
        <w:rPr>
          <w:position w:val="-12"/>
        </w:rPr>
        <w:object w:dxaOrig="1780" w:dyaOrig="420" w14:anchorId="09E8832B">
          <v:shape id="_x0000_i1152" type="#_x0000_t75" style="width:89.75pt;height:19.9pt" o:ole="">
            <v:imagedata r:id="rId290" o:title=""/>
          </v:shape>
          <o:OLEObject Type="Embed" ProgID="Equation.3" ShapeID="_x0000_i1152" DrawAspect="Content" ObjectID="_1457171803" r:id="rId291"/>
        </w:object>
      </w:r>
      <w:r>
        <w:tab/>
      </w:r>
      <w:r>
        <w:fldChar w:fldCharType="begin"/>
      </w:r>
      <w:r>
        <w:instrText xml:space="preserve"> LISTNUM EQN \l 2 </w:instrText>
      </w:r>
      <w:r>
        <w:fldChar w:fldCharType="end"/>
      </w:r>
      <w:r>
        <w:t>)</w:t>
      </w:r>
    </w:p>
    <w:p w14:paraId="29841000" w14:textId="29039395" w:rsidR="003E0C5E" w:rsidRDefault="003E0C5E" w:rsidP="003E0C5E">
      <w:pPr>
        <w:ind w:firstLine="0"/>
      </w:pPr>
      <w:r>
        <w:t xml:space="preserve">where </w:t>
      </w:r>
      <w:r>
        <w:rPr>
          <w:i/>
        </w:rPr>
        <w:t>r</w:t>
      </w:r>
      <w:r>
        <w:rPr>
          <w:i/>
          <w:vertAlign w:val="subscript"/>
        </w:rPr>
        <w:t>c</w:t>
      </w:r>
      <w:r>
        <w:t xml:space="preserve"> is the radius of the rounded leading edge and </w:t>
      </w:r>
      <w:r>
        <w:rPr>
          <w:i/>
        </w:rPr>
        <w:t>z</w:t>
      </w:r>
      <w:r>
        <w:rPr>
          <w:i/>
          <w:vertAlign w:val="subscript"/>
        </w:rPr>
        <w:t>o</w:t>
      </w:r>
      <w:r>
        <w:t xml:space="preserve"> is the leading edge segment’s</w:t>
      </w:r>
      <w:r w:rsidR="003626D6">
        <w:t xml:space="preserve"> axial</w:t>
      </w:r>
      <w:r>
        <w:t xml:space="preserve"> center of rotation.  The function</w:t>
      </w:r>
      <w:r w:rsidR="00694A7E">
        <w:t xml:space="preserve"> this produces is shown in Fig. </w:t>
      </w:r>
      <w:r>
        <w:fldChar w:fldCharType="begin"/>
      </w:r>
      <w:r>
        <w:instrText xml:space="preserve"> REF _Ref379975218 \r \h </w:instrText>
      </w:r>
      <w:r>
        <w:fldChar w:fldCharType="separate"/>
      </w:r>
      <w:r w:rsidR="001C5EC1">
        <w:t>6.5</w:t>
      </w:r>
      <w:r>
        <w:fldChar w:fldCharType="end"/>
      </w:r>
      <w:r>
        <w:t>.</w:t>
      </w:r>
    </w:p>
    <w:p w14:paraId="1BE580E8" w14:textId="16B1563B" w:rsidR="003E0C5E" w:rsidRPr="003E0C5E" w:rsidRDefault="004B585A" w:rsidP="003E0C5E">
      <w:pPr>
        <w:pStyle w:val="PictureSytel"/>
      </w:pPr>
      <w:r>
        <w:rPr>
          <w:noProof/>
        </w:rPr>
        <w:drawing>
          <wp:inline distT="0" distB="0" distL="0" distR="0" wp14:anchorId="2C45E1F0" wp14:editId="1D085672">
            <wp:extent cx="5036440" cy="4056390"/>
            <wp:effectExtent l="19050" t="19050" r="12065" b="203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_r_plot.png"/>
                    <pic:cNvPicPr/>
                  </pic:nvPicPr>
                  <pic:blipFill rotWithShape="1">
                    <a:blip r:embed="rId292">
                      <a:extLst>
                        <a:ext uri="{28A0092B-C50C-407E-A947-70E740481C1C}">
                          <a14:useLocalDpi xmlns:a14="http://schemas.microsoft.com/office/drawing/2010/main" val="0"/>
                        </a:ext>
                      </a:extLst>
                    </a:blip>
                    <a:srcRect l="3954" t="4591" r="7360"/>
                    <a:stretch/>
                  </pic:blipFill>
                  <pic:spPr bwMode="auto">
                    <a:xfrm>
                      <a:off x="0" y="0"/>
                      <a:ext cx="5053508" cy="4070137"/>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CEEE8B8" w14:textId="1B7A7BE6" w:rsidR="003E0C5E" w:rsidRPr="004B26F6" w:rsidRDefault="003E0C5E" w:rsidP="003E0C5E">
      <w:pPr>
        <w:pStyle w:val="FigTitleStyle"/>
        <w:rPr>
          <w:b w:val="0"/>
        </w:rPr>
      </w:pPr>
      <w:bookmarkStart w:id="215" w:name="_Toc380156125"/>
      <w:bookmarkStart w:id="216" w:name="_Toc380157671"/>
      <w:bookmarkStart w:id="217" w:name="_Toc382920275"/>
      <w:r w:rsidRPr="00F348D2">
        <w:t xml:space="preserve">Fig. </w:t>
      </w:r>
      <w:r w:rsidRPr="00F348D2">
        <w:fldChar w:fldCharType="begin"/>
      </w:r>
      <w:bookmarkStart w:id="218" w:name="_Ref379975218"/>
      <w:bookmarkEnd w:id="218"/>
      <w:r w:rsidRPr="00F348D2">
        <w:instrText xml:space="preserve"> LISTNUM FIG \l 2 </w:instrText>
      </w:r>
      <w:r w:rsidRPr="00F348D2">
        <w:fldChar w:fldCharType="end"/>
      </w:r>
      <w:r w:rsidRPr="00F348D2">
        <w:t xml:space="preserve">.  </w:t>
      </w:r>
      <w:r>
        <w:t xml:space="preserve">Axially-Dependent Leading Edge Width.  </w:t>
      </w:r>
      <w:r>
        <w:rPr>
          <w:b w:val="0"/>
          <w:i/>
        </w:rPr>
        <w:t>r</w:t>
      </w:r>
      <w:r>
        <w:rPr>
          <w:b w:val="0"/>
          <w:i/>
          <w:vertAlign w:val="subscript"/>
        </w:rPr>
        <w:t>c</w:t>
      </w:r>
      <w:r>
        <w:rPr>
          <w:b w:val="0"/>
        </w:rPr>
        <w:t xml:space="preserve"> is set to 1 and </w:t>
      </w:r>
      <w:r>
        <w:rPr>
          <w:b w:val="0"/>
          <w:i/>
        </w:rPr>
        <w:t>z</w:t>
      </w:r>
      <w:r>
        <w:rPr>
          <w:b w:val="0"/>
          <w:i/>
          <w:vertAlign w:val="subscript"/>
        </w:rPr>
        <w:t>o</w:t>
      </w:r>
      <w:r>
        <w:rPr>
          <w:b w:val="0"/>
        </w:rPr>
        <w:t xml:space="preserve"> to 0.</w:t>
      </w:r>
      <w:r>
        <w:t xml:space="preserve">  </w:t>
      </w:r>
      <w:r w:rsidR="004B26F6">
        <w:rPr>
          <w:b w:val="0"/>
        </w:rPr>
        <w:t xml:space="preserve">Flow direction is in </w:t>
      </w:r>
      <w:r w:rsidR="004B26F6" w:rsidRPr="00AF4952">
        <w:rPr>
          <w:b w:val="0"/>
        </w:rPr>
        <w:t xml:space="preserve">the </w:t>
      </w:r>
      <w:r w:rsidR="004B26F6" w:rsidRPr="00AF4952">
        <w:rPr>
          <w:b w:val="0"/>
          <w:i/>
        </w:rPr>
        <w:t>–z</w:t>
      </w:r>
      <w:r w:rsidR="004B26F6" w:rsidRPr="00AF4952">
        <w:rPr>
          <w:b w:val="0"/>
        </w:rPr>
        <w:t>-direction.</w:t>
      </w:r>
      <w:bookmarkEnd w:id="215"/>
      <w:bookmarkEnd w:id="216"/>
      <w:bookmarkEnd w:id="217"/>
    </w:p>
    <w:p w14:paraId="0561702E" w14:textId="14E2BAC5" w:rsidR="008F0DE1" w:rsidRDefault="00A023B7" w:rsidP="007F0D0C">
      <w:r>
        <w:t xml:space="preserve">The inverse of this width, the void width, </w:t>
      </w:r>
      <w:r>
        <w:rPr>
          <w:i/>
        </w:rPr>
        <w:t>w</w:t>
      </w:r>
      <w:r>
        <w:rPr>
          <w:i/>
          <w:vertAlign w:val="subscript"/>
        </w:rPr>
        <w:t>v</w:t>
      </w:r>
      <w:r w:rsidR="00DD7D1D">
        <w:t>, is</w:t>
      </w:r>
      <w:r>
        <w:t xml:space="preserve"> calculated by</w:t>
      </w:r>
    </w:p>
    <w:p w14:paraId="64A7A0DC" w14:textId="333ED1B2" w:rsidR="00A023B7" w:rsidRDefault="00A023B7" w:rsidP="00A023B7">
      <w:pPr>
        <w:pStyle w:val="numberedeqnstyle"/>
      </w:pPr>
      <w:r w:rsidRPr="00A025AE">
        <w:tab/>
      </w:r>
      <w:r w:rsidRPr="00A023B7">
        <w:rPr>
          <w:position w:val="-10"/>
        </w:rPr>
        <w:object w:dxaOrig="1080" w:dyaOrig="300" w14:anchorId="36B54F15">
          <v:shape id="_x0000_i1153" type="#_x0000_t75" style="width:54.25pt;height:14.5pt" o:ole="">
            <v:imagedata r:id="rId293" o:title=""/>
          </v:shape>
          <o:OLEObject Type="Embed" ProgID="Equation.3" ShapeID="_x0000_i1153" DrawAspect="Content" ObjectID="_1457171804" r:id="rId294"/>
        </w:object>
      </w:r>
      <w:r w:rsidR="00D91726">
        <w:t>.</w:t>
      </w:r>
      <w:r>
        <w:tab/>
      </w:r>
      <w:r>
        <w:fldChar w:fldCharType="begin"/>
      </w:r>
      <w:r>
        <w:instrText xml:space="preserve"> LISTNUM EQN \l 2 </w:instrText>
      </w:r>
      <w:r>
        <w:fldChar w:fldCharType="end"/>
      </w:r>
      <w:r>
        <w:t>)</w:t>
      </w:r>
    </w:p>
    <w:p w14:paraId="5D017AE5" w14:textId="48D2A631" w:rsidR="00A023B7" w:rsidRDefault="00A023B7" w:rsidP="007F0D0C">
      <w:r>
        <w:t>This is</w:t>
      </w:r>
      <w:r w:rsidR="00694A7E">
        <w:t xml:space="preserve"> shown in Fig. </w:t>
      </w:r>
      <w:r w:rsidR="00D91726">
        <w:fldChar w:fldCharType="begin"/>
      </w:r>
      <w:r w:rsidR="00D91726">
        <w:instrText xml:space="preserve"> REF _Ref379975427 \r \h </w:instrText>
      </w:r>
      <w:r w:rsidR="00D91726">
        <w:fldChar w:fldCharType="separate"/>
      </w:r>
      <w:r w:rsidR="001C5EC1">
        <w:t>6.6</w:t>
      </w:r>
      <w:r w:rsidR="00D91726">
        <w:fldChar w:fldCharType="end"/>
      </w:r>
      <w:r>
        <w:t>.</w:t>
      </w:r>
    </w:p>
    <w:p w14:paraId="7B659706" w14:textId="6CE6B6E5" w:rsidR="00A023B7" w:rsidRDefault="004B585A" w:rsidP="00A023B7">
      <w:pPr>
        <w:pStyle w:val="PictureSytel"/>
      </w:pPr>
      <w:r>
        <w:rPr>
          <w:noProof/>
        </w:rPr>
        <w:lastRenderedPageBreak/>
        <w:drawing>
          <wp:inline distT="0" distB="0" distL="0" distR="0" wp14:anchorId="6A0370F7" wp14:editId="33E437A3">
            <wp:extent cx="4992954" cy="4103482"/>
            <wp:effectExtent l="19050" t="19050" r="17780" b="1143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_v_plot.png"/>
                    <pic:cNvPicPr/>
                  </pic:nvPicPr>
                  <pic:blipFill rotWithShape="1">
                    <a:blip r:embed="rId295">
                      <a:extLst>
                        <a:ext uri="{28A0092B-C50C-407E-A947-70E740481C1C}">
                          <a14:useLocalDpi xmlns:a14="http://schemas.microsoft.com/office/drawing/2010/main" val="0"/>
                        </a:ext>
                      </a:extLst>
                    </a:blip>
                    <a:srcRect l="4656" t="3449" r="7234"/>
                    <a:stretch/>
                  </pic:blipFill>
                  <pic:spPr bwMode="auto">
                    <a:xfrm>
                      <a:off x="0" y="0"/>
                      <a:ext cx="5015610" cy="4122102"/>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F393721" w14:textId="04BC07F9" w:rsidR="00A023B7" w:rsidRDefault="00A023B7" w:rsidP="00A023B7">
      <w:pPr>
        <w:pStyle w:val="FigTitleStyle"/>
        <w:rPr>
          <w:b w:val="0"/>
        </w:rPr>
      </w:pPr>
      <w:bookmarkStart w:id="219" w:name="_Toc380156126"/>
      <w:bookmarkStart w:id="220" w:name="_Toc380157672"/>
      <w:bookmarkStart w:id="221" w:name="_Toc382920276"/>
      <w:r w:rsidRPr="00F348D2">
        <w:t xml:space="preserve">Fig. </w:t>
      </w:r>
      <w:r w:rsidRPr="00F348D2">
        <w:fldChar w:fldCharType="begin"/>
      </w:r>
      <w:bookmarkStart w:id="222" w:name="_Ref379975427"/>
      <w:bookmarkEnd w:id="222"/>
      <w:r w:rsidRPr="00F348D2">
        <w:instrText xml:space="preserve"> LISTNUM FIG \l 2 </w:instrText>
      </w:r>
      <w:r w:rsidRPr="00F348D2">
        <w:fldChar w:fldCharType="end"/>
      </w:r>
      <w:r w:rsidRPr="00F348D2">
        <w:t xml:space="preserve">.  </w:t>
      </w:r>
      <w:r>
        <w:t xml:space="preserve">Axially-Dependent Leading Edge Void Width.  </w:t>
      </w:r>
      <w:r w:rsidR="004B26F6">
        <w:rPr>
          <w:b w:val="0"/>
        </w:rPr>
        <w:t xml:space="preserve">Flow direction is in </w:t>
      </w:r>
      <w:r w:rsidR="004B26F6" w:rsidRPr="00AF4952">
        <w:rPr>
          <w:b w:val="0"/>
        </w:rPr>
        <w:t xml:space="preserve">the </w:t>
      </w:r>
      <w:r w:rsidR="004B26F6" w:rsidRPr="00AF4952">
        <w:rPr>
          <w:b w:val="0"/>
          <w:i/>
        </w:rPr>
        <w:t>–z</w:t>
      </w:r>
      <w:r w:rsidR="004B26F6" w:rsidRPr="00AF4952">
        <w:rPr>
          <w:b w:val="0"/>
        </w:rPr>
        <w:t>-direction.</w:t>
      </w:r>
      <w:bookmarkEnd w:id="219"/>
      <w:bookmarkEnd w:id="220"/>
      <w:bookmarkEnd w:id="221"/>
    </w:p>
    <w:p w14:paraId="17AB7C91" w14:textId="010D0439" w:rsidR="00DD7D1D" w:rsidRDefault="00DD7D1D" w:rsidP="00DD7D1D">
      <w:r>
        <w:t>At its widest (at the stagnation point at the very tip o</w:t>
      </w:r>
      <w:r w:rsidR="00D3357D">
        <w:t>f the rounded leading edge) the void</w:t>
      </w:r>
      <w:r>
        <w:t xml:space="preserve"> width is 4</w:t>
      </w:r>
      <w:r>
        <w:rPr>
          <w:i/>
        </w:rPr>
        <w:t>r</w:t>
      </w:r>
      <w:r>
        <w:rPr>
          <w:i/>
          <w:vertAlign w:val="subscript"/>
        </w:rPr>
        <w:t>c</w:t>
      </w:r>
      <w:r>
        <w:t>.  At its narrowest (once the rounded leading edge has reached the axially-constant width that it will maintain for the length of the fuel plate) this width is 2</w:t>
      </w:r>
      <w:r>
        <w:rPr>
          <w:i/>
        </w:rPr>
        <w:t>r</w:t>
      </w:r>
      <w:r>
        <w:rPr>
          <w:i/>
          <w:vertAlign w:val="subscript"/>
        </w:rPr>
        <w:t>c</w:t>
      </w:r>
      <w:r>
        <w:t>.  The channel width in cm is thus provided by</w:t>
      </w:r>
    </w:p>
    <w:p w14:paraId="3A9CEF15" w14:textId="3373798A" w:rsidR="00DD7D1D" w:rsidRDefault="00DD7D1D" w:rsidP="00DD7D1D">
      <w:pPr>
        <w:pStyle w:val="numberedeqnstyle"/>
      </w:pPr>
      <w:r w:rsidRPr="00A025AE">
        <w:tab/>
      </w:r>
      <w:r w:rsidR="00E9566A" w:rsidRPr="00DD7D1D">
        <w:rPr>
          <w:position w:val="-12"/>
        </w:rPr>
        <w:object w:dxaOrig="4520" w:dyaOrig="499" w14:anchorId="67EE4369">
          <v:shape id="_x0000_i1154" type="#_x0000_t75" style="width:227.8pt;height:23.65pt" o:ole="">
            <v:imagedata r:id="rId296" o:title=""/>
          </v:shape>
          <o:OLEObject Type="Embed" ProgID="Equation.3" ShapeID="_x0000_i1154" DrawAspect="Content" ObjectID="_1457171805" r:id="rId297"/>
        </w:object>
      </w:r>
      <w:r>
        <w:tab/>
      </w:r>
      <w:r>
        <w:fldChar w:fldCharType="begin"/>
      </w:r>
      <w:r>
        <w:instrText xml:space="preserve"> LISTNUM EQN \l 2 </w:instrText>
      </w:r>
      <w:r>
        <w:fldChar w:fldCharType="end"/>
      </w:r>
      <w:r>
        <w:t>)</w:t>
      </w:r>
    </w:p>
    <w:p w14:paraId="3840C355" w14:textId="161F7D4E" w:rsidR="00DD7D1D" w:rsidRDefault="007649A1" w:rsidP="007649A1">
      <w:pPr>
        <w:ind w:firstLine="0"/>
      </w:pPr>
      <w:r>
        <w:t xml:space="preserve">where </w:t>
      </w:r>
      <w:r>
        <w:rPr>
          <w:i/>
        </w:rPr>
        <w:t>z</w:t>
      </w:r>
      <w:r>
        <w:rPr>
          <w:i/>
          <w:vertAlign w:val="subscript"/>
        </w:rPr>
        <w:t>o</w:t>
      </w:r>
      <w:r w:rsidR="001628CB">
        <w:t xml:space="preserve"> equals -5.0165</w:t>
      </w:r>
      <w:r>
        <w:t xml:space="preserve"> cm.</w:t>
      </w:r>
      <w:r w:rsidR="002F3395">
        <w:t xml:space="preserve">  The channel width is only applicable for axial positions bounded by </w:t>
      </w:r>
      <w:r w:rsidR="002D5152">
        <w:t xml:space="preserve">the </w:t>
      </w:r>
      <w:r w:rsidR="002F3395">
        <w:t>fuel plate.  Even though the function returns values in the entrance and exit coolant regions, they are irrelevant.</w:t>
      </w:r>
      <w:r w:rsidR="004B585A">
        <w:t xml:space="preserve">  The final function is shown in Fig. </w:t>
      </w:r>
      <w:r w:rsidR="004B585A">
        <w:fldChar w:fldCharType="begin"/>
      </w:r>
      <w:r w:rsidR="004B585A">
        <w:instrText xml:space="preserve"> REF _Ref379976146 \r \h </w:instrText>
      </w:r>
      <w:r w:rsidR="004B585A">
        <w:fldChar w:fldCharType="separate"/>
      </w:r>
      <w:r w:rsidR="001C5EC1">
        <w:t>6.7</w:t>
      </w:r>
      <w:r w:rsidR="004B585A">
        <w:fldChar w:fldCharType="end"/>
      </w:r>
      <w:r w:rsidR="004B585A">
        <w:t>.</w:t>
      </w:r>
    </w:p>
    <w:p w14:paraId="24BC47FE" w14:textId="6DD5A418" w:rsidR="004B585A" w:rsidRDefault="00045DD7" w:rsidP="004B585A">
      <w:pPr>
        <w:pStyle w:val="PictureSytel"/>
      </w:pPr>
      <w:r>
        <w:rPr>
          <w:noProof/>
        </w:rPr>
        <w:lastRenderedPageBreak/>
        <w:drawing>
          <wp:inline distT="0" distB="0" distL="0" distR="0" wp14:anchorId="380510C0" wp14:editId="4F13A799">
            <wp:extent cx="5017273" cy="2545623"/>
            <wp:effectExtent l="19050" t="19050" r="12065" b="266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n_w fig.png"/>
                    <pic:cNvPicPr/>
                  </pic:nvPicPr>
                  <pic:blipFill>
                    <a:blip r:embed="rId298">
                      <a:extLst>
                        <a:ext uri="{28A0092B-C50C-407E-A947-70E740481C1C}">
                          <a14:useLocalDpi xmlns:a14="http://schemas.microsoft.com/office/drawing/2010/main" val="0"/>
                        </a:ext>
                      </a:extLst>
                    </a:blip>
                    <a:stretch>
                      <a:fillRect/>
                    </a:stretch>
                  </pic:blipFill>
                  <pic:spPr>
                    <a:xfrm>
                      <a:off x="0" y="0"/>
                      <a:ext cx="5020544" cy="2547283"/>
                    </a:xfrm>
                    <a:prstGeom prst="rect">
                      <a:avLst/>
                    </a:prstGeom>
                    <a:ln>
                      <a:solidFill>
                        <a:schemeClr val="tx1"/>
                      </a:solidFill>
                    </a:ln>
                  </pic:spPr>
                </pic:pic>
              </a:graphicData>
            </a:graphic>
          </wp:inline>
        </w:drawing>
      </w:r>
    </w:p>
    <w:p w14:paraId="59E76999" w14:textId="20210980" w:rsidR="004B585A" w:rsidRPr="00045DD7" w:rsidRDefault="004B585A" w:rsidP="00045DD7">
      <w:pPr>
        <w:pStyle w:val="FigTitleStyle"/>
        <w:rPr>
          <w:b w:val="0"/>
        </w:rPr>
      </w:pPr>
      <w:bookmarkStart w:id="223" w:name="_Toc380156127"/>
      <w:bookmarkStart w:id="224" w:name="_Toc380157673"/>
      <w:bookmarkStart w:id="225" w:name="_Toc382920277"/>
      <w:r w:rsidRPr="00F348D2">
        <w:t xml:space="preserve">Fig. </w:t>
      </w:r>
      <w:r w:rsidRPr="00F348D2">
        <w:fldChar w:fldCharType="begin"/>
      </w:r>
      <w:bookmarkStart w:id="226" w:name="_Ref379976146"/>
      <w:bookmarkEnd w:id="226"/>
      <w:r w:rsidRPr="00F348D2">
        <w:instrText xml:space="preserve"> LISTNUM FIG \l 2 </w:instrText>
      </w:r>
      <w:r w:rsidRPr="00F348D2">
        <w:fldChar w:fldCharType="end"/>
      </w:r>
      <w:r w:rsidRPr="00F348D2">
        <w:t xml:space="preserve">.  </w:t>
      </w:r>
      <w:r>
        <w:t xml:space="preserve">Channel Width Input Function.  </w:t>
      </w:r>
      <w:r>
        <w:rPr>
          <w:b w:val="0"/>
        </w:rPr>
        <w:t xml:space="preserve">Flow direction is in </w:t>
      </w:r>
      <w:r w:rsidRPr="00045DD7">
        <w:rPr>
          <w:b w:val="0"/>
        </w:rPr>
        <w:t xml:space="preserve">the </w:t>
      </w:r>
      <w:r w:rsidR="00045DD7" w:rsidRPr="00045DD7">
        <w:rPr>
          <w:b w:val="0"/>
          <w:i/>
        </w:rPr>
        <w:t>+</w:t>
      </w:r>
      <w:r w:rsidRPr="00045DD7">
        <w:rPr>
          <w:b w:val="0"/>
          <w:i/>
        </w:rPr>
        <w:t>z</w:t>
      </w:r>
      <w:r w:rsidRPr="00045DD7">
        <w:rPr>
          <w:b w:val="0"/>
        </w:rPr>
        <w:t>-direction.</w:t>
      </w:r>
      <w:bookmarkEnd w:id="223"/>
      <w:bookmarkEnd w:id="224"/>
      <w:r w:rsidR="00045DD7">
        <w:rPr>
          <w:b w:val="0"/>
        </w:rPr>
        <w:t xml:space="preserve">  The </w:t>
      </w:r>
      <w:r w:rsidR="00045DD7">
        <w:rPr>
          <w:b w:val="0"/>
          <w:i/>
        </w:rPr>
        <w:t>z</w:t>
      </w:r>
      <w:r w:rsidR="00045DD7">
        <w:rPr>
          <w:b w:val="0"/>
        </w:rPr>
        <w:t xml:space="preserve">-coordinate in the figure is a localized coordinate system, not the global </w:t>
      </w:r>
      <w:r w:rsidR="00045DD7">
        <w:rPr>
          <w:b w:val="0"/>
          <w:i/>
        </w:rPr>
        <w:t>s</w:t>
      </w:r>
      <w:r w:rsidR="00045DD7">
        <w:rPr>
          <w:b w:val="0"/>
        </w:rPr>
        <w:t>-</w:t>
      </w:r>
      <w:r w:rsidR="00045DD7">
        <w:rPr>
          <w:b w:val="0"/>
          <w:i/>
        </w:rPr>
        <w:t>t</w:t>
      </w:r>
      <w:r w:rsidR="00045DD7">
        <w:rPr>
          <w:b w:val="0"/>
        </w:rPr>
        <w:t>-</w:t>
      </w:r>
      <w:r w:rsidR="00045DD7">
        <w:rPr>
          <w:b w:val="0"/>
          <w:i/>
        </w:rPr>
        <w:t>z</w:t>
      </w:r>
      <w:r w:rsidR="00045DD7">
        <w:rPr>
          <w:b w:val="0"/>
        </w:rPr>
        <w:t xml:space="preserve"> system.</w:t>
      </w:r>
      <w:bookmarkEnd w:id="225"/>
    </w:p>
    <w:p w14:paraId="2D769544" w14:textId="5E7FB36A" w:rsidR="00765A5C" w:rsidRDefault="00765A5C" w:rsidP="002549B4">
      <w:pPr>
        <w:pStyle w:val="Heading2"/>
        <w:ind w:left="1440" w:hanging="1440"/>
      </w:pPr>
      <w:r>
        <w:fldChar w:fldCharType="begin"/>
      </w:r>
      <w:r>
        <w:instrText xml:space="preserve"> LISTNUM CHAP \l 2 </w:instrText>
      </w:r>
      <w:bookmarkStart w:id="227" w:name="_Toc382921549"/>
      <w:r>
        <w:fldChar w:fldCharType="end"/>
      </w:r>
      <w:r>
        <w:t xml:space="preserve">    </w:t>
      </w:r>
      <w:r w:rsidR="00007B7B">
        <w:t>Interdimensional Model Coupling</w:t>
      </w:r>
      <w:bookmarkEnd w:id="227"/>
    </w:p>
    <w:p w14:paraId="67358ADB" w14:textId="476BC6F1" w:rsidR="0005247B" w:rsidRDefault="000B6505" w:rsidP="00765A5C">
      <w:r>
        <w:t xml:space="preserve">The </w:t>
      </w:r>
      <w:r w:rsidR="00357791">
        <w:t xml:space="preserve">interdimensional </w:t>
      </w:r>
      <w:r>
        <w:t xml:space="preserve">model coupling mechanism functions in two directions:  from the surface of the fuel plate to the surface of the coolant channel </w:t>
      </w:r>
      <w:r w:rsidR="0005247B">
        <w:t xml:space="preserve">(3D-to-2D) </w:t>
      </w:r>
      <w:r>
        <w:t>and from bulk values in the coolant channel back to the surface of the fuel plate</w:t>
      </w:r>
      <w:r w:rsidR="0005247B">
        <w:t xml:space="preserve"> (2D-to-3D)</w:t>
      </w:r>
      <w:r>
        <w:t>.  In this way it produces a looped dependency between the two models</w:t>
      </w:r>
      <w:r w:rsidR="006D197C">
        <w:t xml:space="preserve"> in which their respective outputs and inputs are iteratively solved along with the domains to which they belong until the coupled system reaches a satisfactory equilibrium state</w:t>
      </w:r>
      <w:r>
        <w:t>.</w:t>
      </w:r>
    </w:p>
    <w:p w14:paraId="7BD8E594" w14:textId="14BF5776" w:rsidR="00CE1AAF" w:rsidRDefault="0005247B" w:rsidP="00765A5C">
      <w:r>
        <w:t>Labeling the respective coupling mechanisms as such</w:t>
      </w:r>
      <w:r w:rsidR="00910D99">
        <w:t xml:space="preserve"> (3D-to-2D and 2D-to-3D)</w:t>
      </w:r>
      <w:r>
        <w:t xml:space="preserve"> can be slightly misleading.  The fuel plate-to-coolant channel coupling, for instance, involves the collection of variables on a 2D surface boundary</w:t>
      </w:r>
      <w:r w:rsidR="00CE1AAF">
        <w:t xml:space="preserve"> (</w:t>
      </w:r>
      <w:r w:rsidR="00CE1AAF">
        <w:rPr>
          <w:i/>
        </w:rPr>
        <w:t>s</w:t>
      </w:r>
      <w:r w:rsidR="00CE1AAF">
        <w:t>-</w:t>
      </w:r>
      <w:r w:rsidR="00CE1AAF">
        <w:rPr>
          <w:i/>
        </w:rPr>
        <w:t>z</w:t>
      </w:r>
      <w:r w:rsidR="00CE1AAF">
        <w:t xml:space="preserve"> plane)</w:t>
      </w:r>
      <w:r>
        <w:t xml:space="preserve"> that are then reformatted and applied to a 1D edge boundary</w:t>
      </w:r>
      <w:r w:rsidR="00CE1AAF">
        <w:t xml:space="preserve"> (</w:t>
      </w:r>
      <w:r w:rsidR="00CE1AAF">
        <w:rPr>
          <w:i/>
        </w:rPr>
        <w:t>t</w:t>
      </w:r>
      <w:r w:rsidR="00CE1AAF">
        <w:t>-</w:t>
      </w:r>
      <w:r w:rsidR="00CE1AAF">
        <w:rPr>
          <w:i/>
        </w:rPr>
        <w:t>z</w:t>
      </w:r>
      <w:r w:rsidR="00CE1AAF">
        <w:t xml:space="preserve"> plane)</w:t>
      </w:r>
      <w:r>
        <w:t>.</w:t>
      </w:r>
      <w:r w:rsidR="00CE1AAF">
        <w:t xml:space="preserve">  I</w:t>
      </w:r>
      <w:r>
        <w:t xml:space="preserve">t would </w:t>
      </w:r>
      <w:r w:rsidR="00CE1AAF">
        <w:t>not be incorrect to think of this</w:t>
      </w:r>
      <w:r>
        <w:t xml:space="preserve"> as a 2D-to-1D coupling</w:t>
      </w:r>
      <w:r w:rsidR="00CE1AAF">
        <w:t xml:space="preserve"> based on the dimensions of the collected and applied coupling variables</w:t>
      </w:r>
      <w:r w:rsidR="00910D99">
        <w:t>.</w:t>
      </w:r>
    </w:p>
    <w:p w14:paraId="7838832E" w14:textId="1417146A" w:rsidR="0005247B" w:rsidRDefault="0005247B" w:rsidP="001A022A">
      <w:r>
        <w:t>The reverse coupling mechanism, however, involves the collection of fluid properties that are inherently 2D that are then reformatted and applied to a 2D surface.</w:t>
      </w:r>
      <w:r w:rsidR="00CE1AAF">
        <w:t xml:space="preserve">  </w:t>
      </w:r>
      <w:r w:rsidR="00910D99">
        <w:t>The</w:t>
      </w:r>
      <w:r w:rsidR="00CE1AAF">
        <w:t xml:space="preserve"> destination surface exists in the </w:t>
      </w:r>
      <w:r w:rsidR="00CE1AAF">
        <w:rPr>
          <w:i/>
        </w:rPr>
        <w:t>s</w:t>
      </w:r>
      <w:r w:rsidR="00CE1AAF">
        <w:t>-</w:t>
      </w:r>
      <w:r w:rsidR="00CE1AAF">
        <w:rPr>
          <w:i/>
        </w:rPr>
        <w:t>z</w:t>
      </w:r>
      <w:r w:rsidR="00CE1AAF">
        <w:t xml:space="preserve"> plane and the coolant channel in the </w:t>
      </w:r>
      <w:r w:rsidR="00CE1AAF">
        <w:rPr>
          <w:i/>
        </w:rPr>
        <w:t>t</w:t>
      </w:r>
      <w:r w:rsidR="00CE1AAF">
        <w:t>-</w:t>
      </w:r>
      <w:r w:rsidR="00CE1AAF">
        <w:rPr>
          <w:i/>
        </w:rPr>
        <w:t>z</w:t>
      </w:r>
      <w:r w:rsidR="00910D99">
        <w:t xml:space="preserve"> plane, however.  Coupling variables can only be passed in a dimension that is shared between the two domains.  In this case the axial dimension </w:t>
      </w:r>
      <w:r w:rsidR="00910D99">
        <w:rPr>
          <w:i/>
        </w:rPr>
        <w:t>z</w:t>
      </w:r>
      <w:r w:rsidR="00CE1AAF">
        <w:t xml:space="preserve"> is the only common dimension shared between the two.  </w:t>
      </w:r>
      <w:r w:rsidR="001A022A">
        <w:t xml:space="preserve">As with the first coupling mechanism, the result is a 2D-to-1D coupling.  </w:t>
      </w:r>
      <w:r>
        <w:t>The respective coupling mechanisms are therefore most easily identified based on the dimensionality of the two respective domains, fuel plate (3D) and coolant channel (2D).</w:t>
      </w:r>
    </w:p>
    <w:p w14:paraId="56498283" w14:textId="24529BA8" w:rsidR="00765A5C" w:rsidRDefault="00EC4635" w:rsidP="00765A5C">
      <w:r>
        <w:lastRenderedPageBreak/>
        <w:t>T</w:t>
      </w:r>
      <w:r w:rsidR="000B6505">
        <w:t>he</w:t>
      </w:r>
      <w:r>
        <w:t xml:space="preserve"> 3D-to-2D coupling</w:t>
      </w:r>
      <w:r w:rsidR="000B6505">
        <w:t xml:space="preserve"> will be considered</w:t>
      </w:r>
      <w:r>
        <w:t xml:space="preserve"> first</w:t>
      </w:r>
      <w:r w:rsidR="000B6505">
        <w:t>.</w:t>
      </w:r>
      <w:r>
        <w:t xml:space="preserve">  In many ways it is the simpler of the two couplings.  </w:t>
      </w:r>
      <w:r w:rsidR="006D3AB4">
        <w:t xml:space="preserve">Chiefly, only a single variable, versus four in the reverse direction, is being coupled.  Additionally, the manner in which the reformatted variable is applied to its destination domain is the simpler of the two.  </w:t>
      </w:r>
      <w:r w:rsidR="0027133D">
        <w:t xml:space="preserve">The only communication from the fuel plate to the coolant channel is in the passing of surface temperature values, </w:t>
      </w:r>
      <w:r w:rsidR="0027133D">
        <w:rPr>
          <w:i/>
        </w:rPr>
        <w:t>T</w:t>
      </w:r>
      <w:r w:rsidR="0027133D">
        <w:rPr>
          <w:i/>
          <w:vertAlign w:val="subscript"/>
        </w:rPr>
        <w:t>surf</w:t>
      </w:r>
      <w:r w:rsidR="0027133D">
        <w:t xml:space="preserve">.  Inherently, surface temperature is a function of </w:t>
      </w:r>
      <w:r w:rsidR="0027133D">
        <w:rPr>
          <w:i/>
        </w:rPr>
        <w:t>s</w:t>
      </w:r>
      <w:r w:rsidR="0027133D">
        <w:t xml:space="preserve"> and </w:t>
      </w:r>
      <w:r w:rsidR="0027133D">
        <w:rPr>
          <w:i/>
        </w:rPr>
        <w:t>z</w:t>
      </w:r>
      <w:r w:rsidR="0027133D">
        <w:rPr>
          <w:i/>
          <w:vertAlign w:val="subscript"/>
        </w:rPr>
        <w:t>p</w:t>
      </w:r>
      <w:r w:rsidR="0027133D">
        <w:t xml:space="preserve">, where a subscript </w:t>
      </w:r>
      <w:r w:rsidR="0027133D">
        <w:rPr>
          <w:i/>
        </w:rPr>
        <w:t>p</w:t>
      </w:r>
      <w:r w:rsidR="0027133D">
        <w:t xml:space="preserve"> denotes </w:t>
      </w:r>
      <w:r w:rsidR="00910D99">
        <w:t>a</w:t>
      </w:r>
      <w:r w:rsidR="0027133D">
        <w:t xml:space="preserve"> coordinate in the fuel plate domain.  </w:t>
      </w:r>
      <w:r w:rsidR="00997D70">
        <w:t>The original surface temperature variable is given by</w:t>
      </w:r>
    </w:p>
    <w:p w14:paraId="058EC042" w14:textId="51FEEC4B" w:rsidR="00997D70" w:rsidRDefault="00997D70" w:rsidP="00997D70">
      <w:pPr>
        <w:pStyle w:val="numberedeqnstyle"/>
      </w:pPr>
      <w:r w:rsidRPr="00A025AE">
        <w:tab/>
      </w:r>
      <w:r w:rsidRPr="00997D70">
        <w:rPr>
          <w:position w:val="-14"/>
        </w:rPr>
        <w:object w:dxaOrig="1340" w:dyaOrig="360" w14:anchorId="55ED2419">
          <v:shape id="_x0000_i1155" type="#_x0000_t75" style="width:67.15pt;height:16.1pt" o:ole="">
            <v:imagedata r:id="rId299" o:title=""/>
          </v:shape>
          <o:OLEObject Type="Embed" ProgID="Equation.3" ShapeID="_x0000_i1155" DrawAspect="Content" ObjectID="_1457171806" r:id="rId300"/>
        </w:object>
      </w:r>
      <w:r w:rsidR="00920B2B">
        <w:t>.</w:t>
      </w:r>
      <w:r>
        <w:tab/>
      </w:r>
      <w:r>
        <w:fldChar w:fldCharType="begin"/>
      </w:r>
      <w:r>
        <w:instrText xml:space="preserve"> LISTNUM EQN \l 2 </w:instrText>
      </w:r>
      <w:r>
        <w:fldChar w:fldCharType="end"/>
      </w:r>
      <w:r>
        <w:t>)</w:t>
      </w:r>
    </w:p>
    <w:p w14:paraId="39D87CD8" w14:textId="102A5161" w:rsidR="00997D70" w:rsidRDefault="00997D70" w:rsidP="00765A5C">
      <w:r>
        <w:t xml:space="preserve">The two-dimensional axial surfaces in the fuel plate domain become one-dimensional axial edges in the coolant domain.  The </w:t>
      </w:r>
      <w:r>
        <w:rPr>
          <w:i/>
        </w:rPr>
        <w:t>T</w:t>
      </w:r>
      <w:r>
        <w:rPr>
          <w:i/>
          <w:vertAlign w:val="subscript"/>
        </w:rPr>
        <w:t>surf</w:t>
      </w:r>
      <w:r>
        <w:t xml:space="preserve"> variable must have its dependency in the </w:t>
      </w:r>
      <w:r>
        <w:rPr>
          <w:i/>
        </w:rPr>
        <w:t>s</w:t>
      </w:r>
      <w:r>
        <w:t>-direction removed</w:t>
      </w:r>
      <w:r w:rsidR="00910D99">
        <w:t xml:space="preserve"> in order to be applied to these edge boundaries</w:t>
      </w:r>
      <w:r w:rsidR="006C674B">
        <w:t xml:space="preserve">.  This can be achieved by integrating in the </w:t>
      </w:r>
      <w:r w:rsidR="006C674B">
        <w:rPr>
          <w:i/>
        </w:rPr>
        <w:t>s</w:t>
      </w:r>
      <w:r w:rsidR="006C674B">
        <w:t xml:space="preserve">-direction to produce a new variable, </w:t>
      </w:r>
      <w:r w:rsidR="002C6461">
        <w:rPr>
          <w:i/>
        </w:rPr>
        <w:t>η</w:t>
      </w:r>
      <w:r w:rsidR="006C674B">
        <w:rPr>
          <w:i/>
          <w:vertAlign w:val="subscript"/>
        </w:rPr>
        <w:t>T</w:t>
      </w:r>
      <w:r w:rsidR="006C674B">
        <w:t>, given by</w:t>
      </w:r>
    </w:p>
    <w:p w14:paraId="63CF38D4" w14:textId="305C8394" w:rsidR="006C674B" w:rsidRDefault="006C674B" w:rsidP="006C674B">
      <w:pPr>
        <w:pStyle w:val="numberedeqnstyle"/>
      </w:pPr>
      <w:r w:rsidRPr="00A025AE">
        <w:tab/>
      </w:r>
      <w:r w:rsidR="002C6461" w:rsidRPr="006C674B">
        <w:rPr>
          <w:position w:val="-32"/>
        </w:rPr>
        <w:object w:dxaOrig="2100" w:dyaOrig="600" w14:anchorId="5ED9C7B4">
          <v:shape id="_x0000_i1156" type="#_x0000_t75" style="width:105.85pt;height:27.95pt" o:ole="">
            <v:imagedata r:id="rId301" o:title=""/>
          </v:shape>
          <o:OLEObject Type="Embed" ProgID="Equation.3" ShapeID="_x0000_i1156" DrawAspect="Content" ObjectID="_1457171807" r:id="rId302"/>
        </w:object>
      </w:r>
      <w:r w:rsidR="00920B2B">
        <w:t>.</w:t>
      </w:r>
      <w:r>
        <w:tab/>
      </w:r>
      <w:r>
        <w:fldChar w:fldCharType="begin"/>
      </w:r>
      <w:bookmarkStart w:id="228" w:name="_Ref380675512"/>
      <w:bookmarkEnd w:id="228"/>
      <w:r>
        <w:instrText xml:space="preserve"> LISTNUM EQN \l 2 </w:instrText>
      </w:r>
      <w:r>
        <w:fldChar w:fldCharType="end"/>
      </w:r>
      <w:r>
        <w:t>)</w:t>
      </w:r>
    </w:p>
    <w:p w14:paraId="43B5826D" w14:textId="20A5EA4E" w:rsidR="006C674B" w:rsidRDefault="006C674B" w:rsidP="00765A5C">
      <w:r>
        <w:t>This new variable has the correct spatial dependency but not the correct units—K-m versus the desired K.  To rectify this</w:t>
      </w:r>
      <w:r w:rsidR="00473A93">
        <w:t>, it is divided by the length it was integrated over.  This produces a variable of spanwise-averaged surface temperature values as a function of axia</w:t>
      </w:r>
      <w:r w:rsidR="0025185C">
        <w:t>l position:</w:t>
      </w:r>
    </w:p>
    <w:p w14:paraId="47423894" w14:textId="77777777" w:rsidR="0025185C" w:rsidRDefault="0025185C" w:rsidP="0025185C">
      <w:pPr>
        <w:pStyle w:val="numberedeqnstyle"/>
      </w:pPr>
      <w:r w:rsidRPr="00A025AE">
        <w:tab/>
      </w:r>
      <w:r w:rsidR="002C6461" w:rsidRPr="0025185C">
        <w:rPr>
          <w:position w:val="-22"/>
        </w:rPr>
        <w:object w:dxaOrig="1640" w:dyaOrig="600" w14:anchorId="76EB9864">
          <v:shape id="_x0000_i1157" type="#_x0000_t75" style="width:82.2pt;height:27.95pt" o:ole="">
            <v:imagedata r:id="rId303" o:title=""/>
          </v:shape>
          <o:OLEObject Type="Embed" ProgID="Equation.3" ShapeID="_x0000_i1157" DrawAspect="Content" ObjectID="_1457171808" r:id="rId304"/>
        </w:object>
      </w:r>
      <w:r>
        <w:tab/>
      </w:r>
      <w:r>
        <w:fldChar w:fldCharType="begin"/>
      </w:r>
      <w:r>
        <w:instrText xml:space="preserve"> LISTNUM EQN \l 2 </w:instrText>
      </w:r>
      <w:r>
        <w:fldChar w:fldCharType="end"/>
      </w:r>
      <w:r>
        <w:t>)</w:t>
      </w:r>
    </w:p>
    <w:p w14:paraId="3C1C318E" w14:textId="30BC64C1" w:rsidR="0025185C" w:rsidRDefault="0025185C" w:rsidP="0025185C">
      <w:pPr>
        <w:ind w:firstLine="0"/>
      </w:pPr>
      <w:r>
        <w:t>where Δ</w:t>
      </w:r>
      <w:r>
        <w:rPr>
          <w:i/>
        </w:rPr>
        <w:t>s</w:t>
      </w:r>
      <w:r>
        <w:t xml:space="preserve"> is </w:t>
      </w:r>
      <w:r w:rsidR="00702DE3">
        <w:t>the span of the fuel plate.  This spanwise-averaged temperature variable is then applied directly to the coolant domain boundaries such that</w:t>
      </w:r>
    </w:p>
    <w:p w14:paraId="4BA7DC32" w14:textId="77777777" w:rsidR="00702DE3" w:rsidRDefault="00702DE3" w:rsidP="00702DE3">
      <w:pPr>
        <w:pStyle w:val="numberedeqnstyle"/>
      </w:pPr>
      <w:r w:rsidRPr="00A025AE">
        <w:tab/>
      </w:r>
      <w:r w:rsidRPr="00702DE3">
        <w:rPr>
          <w:position w:val="-14"/>
        </w:rPr>
        <w:object w:dxaOrig="1740" w:dyaOrig="380" w14:anchorId="54A7FD28">
          <v:shape id="_x0000_i1158" type="#_x0000_t75" style="width:87.6pt;height:17.75pt" o:ole="">
            <v:imagedata r:id="rId305" o:title=""/>
          </v:shape>
          <o:OLEObject Type="Embed" ProgID="Equation.3" ShapeID="_x0000_i1158" DrawAspect="Content" ObjectID="_1457171809" r:id="rId306"/>
        </w:object>
      </w:r>
      <w:r>
        <w:tab/>
      </w:r>
      <w:r>
        <w:fldChar w:fldCharType="begin"/>
      </w:r>
      <w:r>
        <w:instrText xml:space="preserve"> LISTNUM EQN \l 2 </w:instrText>
      </w:r>
      <w:r>
        <w:fldChar w:fldCharType="end"/>
      </w:r>
      <w:r>
        <w:t>)</w:t>
      </w:r>
    </w:p>
    <w:p w14:paraId="7B135BF9" w14:textId="0F6FCEB3" w:rsidR="00702DE3" w:rsidRDefault="00702DE3" w:rsidP="0025185C">
      <w:pPr>
        <w:ind w:firstLine="0"/>
      </w:pPr>
      <w:r>
        <w:t xml:space="preserve">where a subscript </w:t>
      </w:r>
      <w:r>
        <w:rPr>
          <w:i/>
        </w:rPr>
        <w:t>c</w:t>
      </w:r>
      <w:r>
        <w:t xml:space="preserve"> denotes </w:t>
      </w:r>
      <w:r w:rsidR="00282438">
        <w:t>a</w:t>
      </w:r>
      <w:r>
        <w:t xml:space="preserve"> coordinate in the coolant channel domain.</w:t>
      </w:r>
      <w:r w:rsidR="002E28FF">
        <w:t xml:space="preserve">  The entire process is shown in the flow chart in Fig. </w:t>
      </w:r>
      <w:r w:rsidR="002F11F9">
        <w:fldChar w:fldCharType="begin"/>
      </w:r>
      <w:r w:rsidR="002F11F9">
        <w:instrText xml:space="preserve"> REF _Ref380591103 \r \h </w:instrText>
      </w:r>
      <w:r w:rsidR="002F11F9">
        <w:fldChar w:fldCharType="separate"/>
      </w:r>
      <w:r w:rsidR="001C5EC1">
        <w:t>6.8</w:t>
      </w:r>
      <w:r w:rsidR="002F11F9">
        <w:fldChar w:fldCharType="end"/>
      </w:r>
      <w:r w:rsidR="002E28FF">
        <w:t>.</w:t>
      </w:r>
    </w:p>
    <w:p w14:paraId="0C1CD6F6" w14:textId="5E93F67B" w:rsidR="002E28FF" w:rsidRDefault="002E28FF" w:rsidP="002E28FF">
      <w:pPr>
        <w:pStyle w:val="PictureSytel"/>
      </w:pPr>
      <w:r>
        <w:rPr>
          <w:noProof/>
        </w:rPr>
        <w:lastRenderedPageBreak/>
        <w:drawing>
          <wp:inline distT="0" distB="0" distL="0" distR="0" wp14:anchorId="6D63AB8A" wp14:editId="25D02C5A">
            <wp:extent cx="5008392" cy="1186817"/>
            <wp:effectExtent l="19050" t="19050" r="20955" b="133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pling 1 Flow Chart.png"/>
                    <pic:cNvPicPr/>
                  </pic:nvPicPr>
                  <pic:blipFill>
                    <a:blip r:embed="rId307">
                      <a:extLst>
                        <a:ext uri="{28A0092B-C50C-407E-A947-70E740481C1C}">
                          <a14:useLocalDpi xmlns:a14="http://schemas.microsoft.com/office/drawing/2010/main" val="0"/>
                        </a:ext>
                      </a:extLst>
                    </a:blip>
                    <a:stretch>
                      <a:fillRect/>
                    </a:stretch>
                  </pic:blipFill>
                  <pic:spPr>
                    <a:xfrm>
                      <a:off x="0" y="0"/>
                      <a:ext cx="5020090" cy="1189589"/>
                    </a:xfrm>
                    <a:prstGeom prst="rect">
                      <a:avLst/>
                    </a:prstGeom>
                    <a:ln>
                      <a:solidFill>
                        <a:schemeClr val="tx1"/>
                      </a:solidFill>
                    </a:ln>
                  </pic:spPr>
                </pic:pic>
              </a:graphicData>
            </a:graphic>
          </wp:inline>
        </w:drawing>
      </w:r>
    </w:p>
    <w:p w14:paraId="0CB52F2D" w14:textId="5D0896CD" w:rsidR="002E28FF" w:rsidRDefault="002E28FF" w:rsidP="002E28FF">
      <w:pPr>
        <w:pStyle w:val="FigTitleStyle"/>
      </w:pPr>
      <w:bookmarkStart w:id="229" w:name="_Toc382920278"/>
      <w:r w:rsidRPr="00F348D2">
        <w:t xml:space="preserve">Fig. </w:t>
      </w:r>
      <w:r w:rsidRPr="00F348D2">
        <w:fldChar w:fldCharType="begin"/>
      </w:r>
      <w:bookmarkStart w:id="230" w:name="_Ref380591103"/>
      <w:bookmarkEnd w:id="230"/>
      <w:r w:rsidRPr="00F348D2">
        <w:instrText xml:space="preserve"> LISTNUM FIG \l 2 </w:instrText>
      </w:r>
      <w:r w:rsidRPr="00F348D2">
        <w:fldChar w:fldCharType="end"/>
      </w:r>
      <w:r w:rsidRPr="00F348D2">
        <w:t xml:space="preserve">.  </w:t>
      </w:r>
      <w:r>
        <w:t>3D-to-2D Coupling Mechanism Flow Chart.</w:t>
      </w:r>
      <w:bookmarkEnd w:id="229"/>
      <w:r>
        <w:t xml:space="preserve">  </w:t>
      </w:r>
    </w:p>
    <w:p w14:paraId="5DD6E3F9" w14:textId="13C93CA4" w:rsidR="00BF0867" w:rsidRDefault="002F11F9" w:rsidP="002F11F9">
      <w:r>
        <w:t xml:space="preserve">This procedure is applicable for every axial surface on the fuel plate, including the rounded leading edge.  Returning to Fig. </w:t>
      </w:r>
      <w:r>
        <w:fldChar w:fldCharType="begin"/>
      </w:r>
      <w:r>
        <w:instrText xml:space="preserve"> REF _Ref379891971 \r \h </w:instrText>
      </w:r>
      <w:r>
        <w:fldChar w:fldCharType="separate"/>
      </w:r>
      <w:r w:rsidR="001C5EC1">
        <w:t>6.1</w:t>
      </w:r>
      <w:r>
        <w:fldChar w:fldCharType="end"/>
      </w:r>
      <w:r w:rsidR="00282438">
        <w:t xml:space="preserve"> </w:t>
      </w:r>
      <w:r>
        <w:t>shows</w:t>
      </w:r>
      <w:r w:rsidR="00282438">
        <w:t>, however,</w:t>
      </w:r>
      <w:r>
        <w:t xml:space="preserve"> that the trailing edge of the fuel plate</w:t>
      </w:r>
      <w:r w:rsidR="00282438">
        <w:t xml:space="preserve"> (in the fuel plate domain)</w:t>
      </w:r>
      <w:r>
        <w:t xml:space="preserve"> is confined to the </w:t>
      </w:r>
      <w:r>
        <w:rPr>
          <w:i/>
        </w:rPr>
        <w:t>s</w:t>
      </w:r>
      <w:r>
        <w:t>-</w:t>
      </w:r>
      <w:r>
        <w:rPr>
          <w:i/>
        </w:rPr>
        <w:t>t</w:t>
      </w:r>
      <w:r>
        <w:t xml:space="preserve"> plane.  Surface temperatures are thus given as a function of </w:t>
      </w:r>
      <w:r>
        <w:rPr>
          <w:i/>
        </w:rPr>
        <w:t>s</w:t>
      </w:r>
      <w:r>
        <w:t xml:space="preserve"> and </w:t>
      </w:r>
      <w:r>
        <w:rPr>
          <w:i/>
        </w:rPr>
        <w:t>t</w:t>
      </w:r>
      <w:r>
        <w:t xml:space="preserve"> instead of </w:t>
      </w:r>
      <w:r>
        <w:rPr>
          <w:i/>
        </w:rPr>
        <w:t>s</w:t>
      </w:r>
      <w:r>
        <w:t xml:space="preserve"> and </w:t>
      </w:r>
      <w:r>
        <w:rPr>
          <w:i/>
        </w:rPr>
        <w:t>z</w:t>
      </w:r>
      <w:r>
        <w:t>:</w:t>
      </w:r>
    </w:p>
    <w:p w14:paraId="6B830D7F" w14:textId="463A0BFD" w:rsidR="002F11F9" w:rsidRDefault="002F11F9" w:rsidP="002F11F9">
      <w:pPr>
        <w:pStyle w:val="numberedeqnstyle"/>
      </w:pPr>
      <w:r w:rsidRPr="00A025AE">
        <w:tab/>
      </w:r>
      <w:r w:rsidR="00F723DE" w:rsidRPr="002F11F9">
        <w:rPr>
          <w:position w:val="-14"/>
        </w:rPr>
        <w:object w:dxaOrig="1300" w:dyaOrig="360" w14:anchorId="08BD917D">
          <v:shape id="_x0000_i1159" type="#_x0000_t75" style="width:65pt;height:16.1pt" o:ole="">
            <v:imagedata r:id="rId308" o:title=""/>
          </v:shape>
          <o:OLEObject Type="Embed" ProgID="Equation.3" ShapeID="_x0000_i1159" DrawAspect="Content" ObjectID="_1457171810" r:id="rId309"/>
        </w:object>
      </w:r>
      <w:r w:rsidR="00920B2B">
        <w:t>.</w:t>
      </w:r>
      <w:r>
        <w:tab/>
      </w:r>
      <w:r>
        <w:fldChar w:fldCharType="begin"/>
      </w:r>
      <w:r>
        <w:instrText xml:space="preserve"> LISTNUM EQN \l 2 </w:instrText>
      </w:r>
      <w:r>
        <w:fldChar w:fldCharType="end"/>
      </w:r>
      <w:r>
        <w:t>)</w:t>
      </w:r>
    </w:p>
    <w:p w14:paraId="7425CC93" w14:textId="4F69CDF0" w:rsidR="002F11F9" w:rsidRDefault="002F11F9" w:rsidP="002F11F9">
      <w:r>
        <w:t xml:space="preserve">The </w:t>
      </w:r>
      <w:r>
        <w:rPr>
          <w:i/>
        </w:rPr>
        <w:t>t</w:t>
      </w:r>
      <w:r>
        <w:t xml:space="preserve">-coordinate is now the common coordinate shared between the two domains.  The Surface temperature values are once again averaged along the span of the plate and stored as a function of </w:t>
      </w:r>
      <w:r>
        <w:rPr>
          <w:i/>
        </w:rPr>
        <w:t>t</w:t>
      </w:r>
      <w:r>
        <w:t>.</w:t>
      </w:r>
      <w:r w:rsidR="00F723DE">
        <w:t xml:space="preserve">  The final application then takes on the form</w:t>
      </w:r>
    </w:p>
    <w:p w14:paraId="5A9DDFF4" w14:textId="353C9243" w:rsidR="00F723DE" w:rsidRDefault="00F723DE" w:rsidP="00F723DE">
      <w:pPr>
        <w:pStyle w:val="numberedeqnstyle"/>
      </w:pPr>
      <w:r w:rsidRPr="00A025AE">
        <w:tab/>
      </w:r>
      <w:r w:rsidRPr="00702DE3">
        <w:rPr>
          <w:position w:val="-14"/>
        </w:rPr>
        <w:object w:dxaOrig="1660" w:dyaOrig="380" w14:anchorId="4D052D0B">
          <v:shape id="_x0000_i1160" type="#_x0000_t75" style="width:83.8pt;height:17.75pt" o:ole="">
            <v:imagedata r:id="rId310" o:title=""/>
          </v:shape>
          <o:OLEObject Type="Embed" ProgID="Equation.3" ShapeID="_x0000_i1160" DrawAspect="Content" ObjectID="_1457171811" r:id="rId311"/>
        </w:object>
      </w:r>
      <w:r w:rsidR="00920B2B">
        <w:t>.</w:t>
      </w:r>
      <w:r>
        <w:tab/>
      </w:r>
      <w:r>
        <w:fldChar w:fldCharType="begin"/>
      </w:r>
      <w:r>
        <w:instrText xml:space="preserve"> LISTNUM EQN \l 2 </w:instrText>
      </w:r>
      <w:r>
        <w:fldChar w:fldCharType="end"/>
      </w:r>
      <w:r>
        <w:t>)</w:t>
      </w:r>
    </w:p>
    <w:p w14:paraId="26596AFA" w14:textId="7F34EFAB" w:rsidR="00F723DE" w:rsidRDefault="00DC7B82" w:rsidP="002F11F9">
      <w:r>
        <w:t>Additionally, the coupling of the convex and the concave sides must be kept separate so that they are allowed to vary independently of one another.  Technically there are thus two 3D-to-2D coupling variables, one for each side of the fuel plate.</w:t>
      </w:r>
    </w:p>
    <w:p w14:paraId="327AC14B" w14:textId="3CDBC6F5" w:rsidR="00E9030D" w:rsidRDefault="00800AF6" w:rsidP="002F11F9">
      <w:r>
        <w:t>Surface temperature values are applied to the coolant channel edge boundaries via Dirichlet conditions.  The coupling process, however, also inherently passes the first derivative of the coupled variable</w:t>
      </w:r>
      <w:r w:rsidR="003F45FD">
        <w:t xml:space="preserve"> such that</w:t>
      </w:r>
    </w:p>
    <w:p w14:paraId="711A03D4" w14:textId="461DB64E" w:rsidR="00920B2B" w:rsidRDefault="00920B2B" w:rsidP="00920B2B">
      <w:pPr>
        <w:pStyle w:val="numberedeqnstyle"/>
      </w:pPr>
      <w:r w:rsidRPr="00A025AE">
        <w:tab/>
      </w:r>
      <w:r w:rsidRPr="00920B2B">
        <w:rPr>
          <w:position w:val="-26"/>
        </w:rPr>
        <w:object w:dxaOrig="1719" w:dyaOrig="620" w14:anchorId="7350780A">
          <v:shape id="_x0000_i1161" type="#_x0000_t75" style="width:85.95pt;height:29pt" o:ole="">
            <v:imagedata r:id="rId312" o:title=""/>
          </v:shape>
          <o:OLEObject Type="Embed" ProgID="Equation.3" ShapeID="_x0000_i1161" DrawAspect="Content" ObjectID="_1457171812" r:id="rId313"/>
        </w:object>
      </w:r>
      <w:r>
        <w:t>,</w:t>
      </w:r>
      <w:r>
        <w:tab/>
      </w:r>
      <w:r>
        <w:fldChar w:fldCharType="begin"/>
      </w:r>
      <w:r>
        <w:instrText xml:space="preserve"> LISTNUM EQN \l 2 </w:instrText>
      </w:r>
      <w:r>
        <w:fldChar w:fldCharType="end"/>
      </w:r>
      <w:r>
        <w:t>)</w:t>
      </w:r>
    </w:p>
    <w:p w14:paraId="00F3B448" w14:textId="7F3E16D1" w:rsidR="00920B2B" w:rsidRDefault="00920B2B" w:rsidP="00920B2B">
      <w:pPr>
        <w:pStyle w:val="numberedeqnstyle"/>
      </w:pPr>
      <w:r w:rsidRPr="00A025AE">
        <w:tab/>
      </w:r>
      <w:r w:rsidR="002C6461" w:rsidRPr="006C674B">
        <w:rPr>
          <w:position w:val="-32"/>
        </w:rPr>
        <w:object w:dxaOrig="2400" w:dyaOrig="680" w14:anchorId="176E63B4">
          <v:shape id="_x0000_i1162" type="#_x0000_t75" style="width:120.9pt;height:31.15pt" o:ole="">
            <v:imagedata r:id="rId314" o:title=""/>
          </v:shape>
          <o:OLEObject Type="Embed" ProgID="Equation.3" ShapeID="_x0000_i1162" DrawAspect="Content" ObjectID="_1457171813" r:id="rId315"/>
        </w:object>
      </w:r>
      <w:r>
        <w:t>,</w:t>
      </w:r>
      <w:r>
        <w:tab/>
      </w:r>
      <w:r>
        <w:fldChar w:fldCharType="begin"/>
      </w:r>
      <w:r>
        <w:instrText xml:space="preserve"> LISTNUM EQN \l 2 </w:instrText>
      </w:r>
      <w:r>
        <w:fldChar w:fldCharType="end"/>
      </w:r>
      <w:r>
        <w:t>)</w:t>
      </w:r>
    </w:p>
    <w:p w14:paraId="799158E6" w14:textId="6B2E5B80" w:rsidR="00920B2B" w:rsidRDefault="00920B2B" w:rsidP="00920B2B">
      <w:pPr>
        <w:pStyle w:val="numberedeqnstyle"/>
      </w:pPr>
      <w:r w:rsidRPr="00A025AE">
        <w:tab/>
      </w:r>
      <w:r w:rsidR="002C6461" w:rsidRPr="00920B2B">
        <w:rPr>
          <w:position w:val="-26"/>
        </w:rPr>
        <w:object w:dxaOrig="1939" w:dyaOrig="660" w14:anchorId="4B9A4D39">
          <v:shape id="_x0000_i1163" type="#_x0000_t75" style="width:97.8pt;height:31.15pt" o:ole="">
            <v:imagedata r:id="rId316" o:title=""/>
          </v:shape>
          <o:OLEObject Type="Embed" ProgID="Equation.3" ShapeID="_x0000_i1163" DrawAspect="Content" ObjectID="_1457171814" r:id="rId317"/>
        </w:object>
      </w:r>
      <w:r>
        <w:t>,</w:t>
      </w:r>
      <w:r>
        <w:tab/>
      </w:r>
      <w:r>
        <w:fldChar w:fldCharType="begin"/>
      </w:r>
      <w:r>
        <w:instrText xml:space="preserve"> LISTNUM EQN \l 2 </w:instrText>
      </w:r>
      <w:r>
        <w:fldChar w:fldCharType="end"/>
      </w:r>
      <w:r>
        <w:t>)</w:t>
      </w:r>
    </w:p>
    <w:p w14:paraId="2B2E75B2" w14:textId="17702826" w:rsidR="00920B2B" w:rsidRDefault="00920B2B" w:rsidP="00920B2B">
      <w:pPr>
        <w:ind w:firstLine="0"/>
      </w:pPr>
      <w:r>
        <w:lastRenderedPageBreak/>
        <w:t>and</w:t>
      </w:r>
    </w:p>
    <w:p w14:paraId="22BD15B1" w14:textId="62964E4A" w:rsidR="00920B2B" w:rsidRDefault="00920B2B" w:rsidP="00920B2B">
      <w:pPr>
        <w:pStyle w:val="numberedeqnstyle"/>
      </w:pPr>
      <w:r w:rsidRPr="00A025AE">
        <w:tab/>
      </w:r>
      <w:r w:rsidR="00592EC9" w:rsidRPr="00920B2B">
        <w:rPr>
          <w:position w:val="-26"/>
        </w:rPr>
        <w:object w:dxaOrig="2180" w:dyaOrig="660" w14:anchorId="62B05BC2">
          <v:shape id="_x0000_i1164" type="#_x0000_t75" style="width:109.05pt;height:31.15pt" o:ole="">
            <v:imagedata r:id="rId318" o:title=""/>
          </v:shape>
          <o:OLEObject Type="Embed" ProgID="Equation.3" ShapeID="_x0000_i1164" DrawAspect="Content" ObjectID="_1457171815" r:id="rId319"/>
        </w:object>
      </w:r>
      <w:r>
        <w:tab/>
      </w:r>
      <w:r>
        <w:fldChar w:fldCharType="begin"/>
      </w:r>
      <w:r>
        <w:instrText xml:space="preserve"> LISTNUM EQN \l 2 </w:instrText>
      </w:r>
      <w:r>
        <w:fldChar w:fldCharType="end"/>
      </w:r>
      <w:r>
        <w:t>)</w:t>
      </w:r>
    </w:p>
    <w:p w14:paraId="18B29E50" w14:textId="6E8B7EB2" w:rsidR="00920B2B" w:rsidRDefault="00C611D1" w:rsidP="00C611D1">
      <w:pPr>
        <w:ind w:firstLine="0"/>
      </w:pPr>
      <w:r>
        <w:t xml:space="preserve">where the derivative </w:t>
      </w:r>
      <w:r>
        <w:rPr>
          <w:i/>
        </w:rPr>
        <w:t>d</w:t>
      </w:r>
      <w:r>
        <w:t>/</w:t>
      </w:r>
      <w:r>
        <w:rPr>
          <w:i/>
        </w:rPr>
        <w:t>dt</w:t>
      </w:r>
      <w:r>
        <w:t xml:space="preserve"> is with respect to the</w:t>
      </w:r>
      <w:r w:rsidR="005F3A97">
        <w:t xml:space="preserve"> involute</w:t>
      </w:r>
      <w:r>
        <w:t xml:space="preserve"> </w:t>
      </w:r>
      <w:r>
        <w:rPr>
          <w:i/>
        </w:rPr>
        <w:t>t</w:t>
      </w:r>
      <w:r w:rsidR="0000751E">
        <w:t>-dimension,</w:t>
      </w:r>
      <w:r>
        <w:t xml:space="preserve"> not time.  T</w:t>
      </w:r>
      <w:r w:rsidR="00592EC9">
        <w:t xml:space="preserve">emperature derivatives are passed on the trailing edge in the same manner but with appropriate reversals for the </w:t>
      </w:r>
      <w:r w:rsidR="00592EC9">
        <w:rPr>
          <w:i/>
        </w:rPr>
        <w:t>z</w:t>
      </w:r>
      <w:r w:rsidR="00592EC9">
        <w:t xml:space="preserve">- and </w:t>
      </w:r>
      <w:r w:rsidR="00592EC9">
        <w:rPr>
          <w:i/>
        </w:rPr>
        <w:t>t</w:t>
      </w:r>
      <w:r w:rsidR="00592EC9">
        <w:t>-coordinates.</w:t>
      </w:r>
      <w:r w:rsidR="000721DA">
        <w:t xml:space="preserve">  The inclusion of the temperature derivative in the boundary condition as an additional Neumann condition ensures that all of the energy leaving the fuel plate is conserved as it enters the coolant channel.</w:t>
      </w:r>
    </w:p>
    <w:p w14:paraId="2EA3ABEB" w14:textId="396EBCAF" w:rsidR="005F3A97" w:rsidRDefault="00573BEF" w:rsidP="00592EC9">
      <w:r>
        <w:t>The reverse coupling mechanism is the 2D-to-3D coupling in which coupling variables are passed from the coolant to the fuel plate in order to complete the feedback loop.</w:t>
      </w:r>
      <w:r w:rsidR="004F40E6">
        <w:t xml:space="preserve">  By mere merit of its construction as a two-dimensional </w:t>
      </w:r>
      <w:r w:rsidR="004F40E6">
        <w:rPr>
          <w:i/>
        </w:rPr>
        <w:t>t</w:t>
      </w:r>
      <w:r w:rsidR="004F40E6">
        <w:t>-</w:t>
      </w:r>
      <w:r w:rsidR="004F40E6">
        <w:rPr>
          <w:i/>
        </w:rPr>
        <w:t>z</w:t>
      </w:r>
      <w:r w:rsidR="004F40E6">
        <w:t xml:space="preserve"> slice, the coola</w:t>
      </w:r>
      <w:r w:rsidR="00CE1AAF">
        <w:t>nt channel is, in essence, already</w:t>
      </w:r>
      <w:r w:rsidR="004F40E6">
        <w:t xml:space="preserve"> representative of bulk flow properties in the </w:t>
      </w:r>
      <w:r w:rsidR="004F40E6">
        <w:rPr>
          <w:i/>
        </w:rPr>
        <w:t>s</w:t>
      </w:r>
      <w:r w:rsidR="004F40E6">
        <w:t>-direction.</w:t>
      </w:r>
      <w:r w:rsidR="00CE1AAF">
        <w:t xml:space="preserve">  </w:t>
      </w:r>
      <w:r w:rsidR="00EF5439">
        <w:t>Given the coolant channel (</w:t>
      </w:r>
      <w:r w:rsidR="00EF5439">
        <w:rPr>
          <w:i/>
        </w:rPr>
        <w:t>t</w:t>
      </w:r>
      <w:r w:rsidR="00EF5439">
        <w:t>-</w:t>
      </w:r>
      <w:r w:rsidR="00EF5439">
        <w:rPr>
          <w:i/>
        </w:rPr>
        <w:t>z</w:t>
      </w:r>
      <w:r w:rsidR="00EF5439">
        <w:t>) and the fuel plate surfaces (</w:t>
      </w:r>
      <w:r w:rsidR="00EF5439">
        <w:rPr>
          <w:i/>
        </w:rPr>
        <w:t>s</w:t>
      </w:r>
      <w:r w:rsidR="00EF5439">
        <w:t>-</w:t>
      </w:r>
      <w:r w:rsidR="00EF5439">
        <w:rPr>
          <w:i/>
        </w:rPr>
        <w:t>z</w:t>
      </w:r>
      <w:r w:rsidR="00EF5439">
        <w:t xml:space="preserve">), the only common variable is again the axial coordinate </w:t>
      </w:r>
      <w:r w:rsidR="00EF5439">
        <w:rPr>
          <w:i/>
        </w:rPr>
        <w:t>z</w:t>
      </w:r>
      <w:r w:rsidR="00EF5439">
        <w:t xml:space="preserve">.  </w:t>
      </w:r>
      <w:r w:rsidR="001D3029">
        <w:t xml:space="preserve">In order to remove the </w:t>
      </w:r>
      <w:r w:rsidR="001D3029">
        <w:rPr>
          <w:i/>
        </w:rPr>
        <w:t>t</w:t>
      </w:r>
      <w:r w:rsidR="001D3029">
        <w:t xml:space="preserve">-coordinate dependency from the coolant channel flow variables, bulk values are taken in the </w:t>
      </w:r>
      <w:r w:rsidR="001D3029">
        <w:rPr>
          <w:i/>
        </w:rPr>
        <w:t>t</w:t>
      </w:r>
      <w:r w:rsidR="001D3029">
        <w:t xml:space="preserve">-direction as a function of </w:t>
      </w:r>
      <w:r w:rsidR="001D3029">
        <w:rPr>
          <w:i/>
        </w:rPr>
        <w:t>z</w:t>
      </w:r>
      <w:r w:rsidR="001D3029">
        <w:t>.</w:t>
      </w:r>
      <w:r w:rsidR="005F3A97">
        <w:t xml:space="preserve">  The four coupling variables are </w:t>
      </w:r>
      <w:r w:rsidR="005F3A97">
        <w:rPr>
          <w:i/>
        </w:rPr>
        <w:t>T</w:t>
      </w:r>
      <w:r w:rsidR="005F3A97">
        <w:t xml:space="preserve">, </w:t>
      </w:r>
      <w:r w:rsidR="005F3A97">
        <w:rPr>
          <w:i/>
        </w:rPr>
        <w:t>ρ</w:t>
      </w:r>
      <w:r w:rsidR="005F3A97">
        <w:t xml:space="preserve">, </w:t>
      </w:r>
      <w:r w:rsidR="005F3A97">
        <w:rPr>
          <w:i/>
        </w:rPr>
        <w:t>μ</w:t>
      </w:r>
      <w:r w:rsidR="005F3A97">
        <w:t>, and Pr.</w:t>
      </w:r>
    </w:p>
    <w:p w14:paraId="324717B9" w14:textId="2F7278A6" w:rsidR="00DC1C45" w:rsidRDefault="00DC1C45" w:rsidP="00DC1C45">
      <w:r>
        <w:t xml:space="preserve">The definition for bulk temperature in a flow </w:t>
      </w:r>
      <w:r w:rsidR="00C90AED">
        <w:t>is</w:t>
      </w:r>
    </w:p>
    <w:p w14:paraId="723C1D0E" w14:textId="0F484994" w:rsidR="00DC1C45" w:rsidRDefault="00DC1C45" w:rsidP="00DC1C45">
      <w:pPr>
        <w:pStyle w:val="numberedeqnstyle"/>
      </w:pPr>
      <w:r w:rsidRPr="00A025AE">
        <w:tab/>
      </w:r>
      <w:r w:rsidR="00847093" w:rsidRPr="00827F62">
        <w:rPr>
          <w:position w:val="-28"/>
        </w:rPr>
        <w:object w:dxaOrig="3000" w:dyaOrig="660" w14:anchorId="2EB85FB3">
          <v:shape id="_x0000_i1165" type="#_x0000_t75" style="width:151pt;height:30.65pt" o:ole="">
            <v:imagedata r:id="rId320" o:title=""/>
          </v:shape>
          <o:OLEObject Type="Embed" ProgID="Equation.3" ShapeID="_x0000_i1165" DrawAspect="Content" ObjectID="_1457171816" r:id="rId321"/>
        </w:object>
      </w:r>
      <w:r w:rsidR="00ED56EA">
        <w:t>.</w:t>
      </w:r>
      <w:r>
        <w:tab/>
      </w:r>
      <w:r>
        <w:fldChar w:fldCharType="begin"/>
      </w:r>
      <w:r>
        <w:instrText xml:space="preserve"> LISTNUM EQN \l 2 </w:instrText>
      </w:r>
      <w:r>
        <w:fldChar w:fldCharType="end"/>
      </w:r>
      <w:r>
        <w:t>)</w:t>
      </w:r>
    </w:p>
    <w:p w14:paraId="28684F64" w14:textId="43E5AAC3" w:rsidR="00DC1C45" w:rsidRDefault="00ED56EA" w:rsidP="00DC1C45">
      <w:r>
        <w:t xml:space="preserve">In the </w:t>
      </w:r>
      <w:r>
        <w:rPr>
          <w:i/>
        </w:rPr>
        <w:t>t</w:t>
      </w:r>
      <w:r>
        <w:t>-</w:t>
      </w:r>
      <w:r>
        <w:rPr>
          <w:i/>
        </w:rPr>
        <w:t>z</w:t>
      </w:r>
      <w:r>
        <w:t xml:space="preserve"> coolant channel</w:t>
      </w:r>
      <w:r w:rsidR="00C90AED">
        <w:t xml:space="preserve">, for variable-property flow, </w:t>
      </w:r>
      <w:r>
        <w:t>this take</w:t>
      </w:r>
      <w:r w:rsidR="00C90AED">
        <w:t>s</w:t>
      </w:r>
      <w:r>
        <w:t xml:space="preserve"> on the form</w:t>
      </w:r>
      <w:r w:rsidR="00983EE0">
        <w:rPr>
          <w:rStyle w:val="EndnoteReference"/>
        </w:rPr>
        <w:endnoteReference w:id="61"/>
      </w:r>
    </w:p>
    <w:p w14:paraId="2E99813B" w14:textId="77777777" w:rsidR="00ED56EA" w:rsidRDefault="00ED56EA" w:rsidP="00ED56EA">
      <w:pPr>
        <w:pStyle w:val="numberedeqnstyle"/>
      </w:pPr>
      <w:r w:rsidRPr="00A025AE">
        <w:tab/>
      </w:r>
      <w:r w:rsidR="009C2456" w:rsidRPr="0087415D">
        <w:rPr>
          <w:position w:val="-52"/>
        </w:rPr>
        <w:object w:dxaOrig="1800" w:dyaOrig="1160" w14:anchorId="12284987">
          <v:shape id="_x0000_i1166" type="#_x0000_t75" style="width:90.8pt;height:55.9pt" o:ole="">
            <v:imagedata r:id="rId322" o:title=""/>
          </v:shape>
          <o:OLEObject Type="Embed" ProgID="Equation.3" ShapeID="_x0000_i1166" DrawAspect="Content" ObjectID="_1457171817" r:id="rId323"/>
        </w:object>
      </w:r>
      <w:r>
        <w:t>.</w:t>
      </w:r>
      <w:r>
        <w:tab/>
      </w:r>
      <w:r>
        <w:fldChar w:fldCharType="begin"/>
      </w:r>
      <w:r>
        <w:instrText xml:space="preserve"> LISTNUM EQN \l 2 </w:instrText>
      </w:r>
      <w:r>
        <w:fldChar w:fldCharType="end"/>
      </w:r>
      <w:r>
        <w:t>)</w:t>
      </w:r>
    </w:p>
    <w:p w14:paraId="65E49521" w14:textId="5CD4C5EB" w:rsidR="00ED56EA" w:rsidRDefault="008165D8" w:rsidP="00DC1C45">
      <w:r>
        <w:t xml:space="preserve">This operation, however, is extremely expensive in that each integral requires its own coupling mechanism.  Every </w:t>
      </w:r>
      <w:r w:rsidR="00832738">
        <w:t>additional</w:t>
      </w:r>
      <w:r>
        <w:t xml:space="preserve"> coupling mechanism in the model increases the solution time by a nontrivial fraction.  </w:t>
      </w:r>
      <w:r w:rsidR="00832738">
        <w:t xml:space="preserve">This is especially true of the two mechanisms contained in this formulation given the relatively large number of operations contained within (compared to the coupling mechanism in Eqn. </w:t>
      </w:r>
      <w:r w:rsidR="00832738">
        <w:fldChar w:fldCharType="begin"/>
      </w:r>
      <w:r w:rsidR="00832738">
        <w:instrText xml:space="preserve"> REF _Ref380675512 \r \h </w:instrText>
      </w:r>
      <w:r w:rsidR="00832738">
        <w:fldChar w:fldCharType="separate"/>
      </w:r>
      <w:r w:rsidR="001C5EC1">
        <w:t>(6.5</w:t>
      </w:r>
      <w:r w:rsidR="00832738">
        <w:fldChar w:fldCharType="end"/>
      </w:r>
      <w:r w:rsidR="00832738">
        <w:t>) in which only a single variable is collected)</w:t>
      </w:r>
      <w:r w:rsidR="007E1047">
        <w:t>.</w:t>
      </w:r>
      <w:r w:rsidR="007D78EB">
        <w:t xml:space="preserve">  It is more computationally efficient to calculate bulk temperature in the same manner as surface temperature</w:t>
      </w:r>
      <w:r w:rsidR="0039163F">
        <w:t>.  While less accurate, the difference in passed bulk temperature values is small enough that the</w:t>
      </w:r>
      <w:r w:rsidR="00E47C99">
        <w:t xml:space="preserve"> use of the</w:t>
      </w:r>
      <w:r w:rsidR="0039163F">
        <w:t xml:space="preserve"> more rigorously physical formulation is not warranted.</w:t>
      </w:r>
    </w:p>
    <w:p w14:paraId="7B65DDF0" w14:textId="5B42390C" w:rsidR="00E47C99" w:rsidRDefault="00E47C99" w:rsidP="00DC1C45">
      <w:r>
        <w:lastRenderedPageBreak/>
        <w:t>In this simplified formulation, bulk temperature, or any</w:t>
      </w:r>
      <w:r w:rsidR="00FA6898">
        <w:t xml:space="preserve"> coupling</w:t>
      </w:r>
      <w:r>
        <w:t xml:space="preserve"> flow variable, </w:t>
      </w:r>
      <w:r>
        <w:rPr>
          <w:i/>
        </w:rPr>
        <w:t>ϕ</w:t>
      </w:r>
      <w:r w:rsidR="00B21E77">
        <w:t>,</w:t>
      </w:r>
      <w:r w:rsidR="00B51F5C">
        <w:t xml:space="preserve"> represented by</w:t>
      </w:r>
    </w:p>
    <w:p w14:paraId="68F0FC33" w14:textId="77777777" w:rsidR="00D46786" w:rsidRDefault="00D46786" w:rsidP="00D46786">
      <w:pPr>
        <w:pStyle w:val="numberedeqnstyle"/>
      </w:pPr>
      <w:r w:rsidRPr="00A025AE">
        <w:tab/>
      </w:r>
      <w:r w:rsidR="00827F62" w:rsidRPr="00D46786">
        <w:rPr>
          <w:position w:val="-10"/>
        </w:rPr>
        <w:object w:dxaOrig="1020" w:dyaOrig="320" w14:anchorId="2847E38A">
          <v:shape id="_x0000_i1167" type="#_x0000_t75" style="width:51.05pt;height:15.05pt" o:ole="">
            <v:imagedata r:id="rId324" o:title=""/>
          </v:shape>
          <o:OLEObject Type="Embed" ProgID="Equation.3" ShapeID="_x0000_i1167" DrawAspect="Content" ObjectID="_1457171818" r:id="rId325"/>
        </w:object>
      </w:r>
      <w:r>
        <w:t>.</w:t>
      </w:r>
      <w:r>
        <w:tab/>
      </w:r>
      <w:r>
        <w:fldChar w:fldCharType="begin"/>
      </w:r>
      <w:r>
        <w:instrText xml:space="preserve"> LISTNUM EQN \l 2 </w:instrText>
      </w:r>
      <w:r>
        <w:fldChar w:fldCharType="end"/>
      </w:r>
      <w:r>
        <w:t>)</w:t>
      </w:r>
    </w:p>
    <w:p w14:paraId="44C3F4AF" w14:textId="2D74F713" w:rsidR="00B51F5C" w:rsidRDefault="00C500C3" w:rsidP="00C500C3">
      <w:pPr>
        <w:ind w:firstLine="0"/>
      </w:pPr>
      <w:r>
        <w:t xml:space="preserve">can be </w:t>
      </w:r>
      <w:r w:rsidR="00FA6898">
        <w:t>passed</w:t>
      </w:r>
      <w:r>
        <w:t xml:space="preserve"> according to</w:t>
      </w:r>
    </w:p>
    <w:p w14:paraId="6A407FCB" w14:textId="451DFDEE" w:rsidR="001E0416" w:rsidRDefault="00100B6B" w:rsidP="00007B7B">
      <w:pPr>
        <w:pStyle w:val="numberedeqnstyle"/>
      </w:pPr>
      <w:r w:rsidRPr="00A025AE">
        <w:tab/>
      </w:r>
      <w:r w:rsidR="002C6461" w:rsidRPr="006C674B">
        <w:rPr>
          <w:position w:val="-32"/>
        </w:rPr>
        <w:object w:dxaOrig="1760" w:dyaOrig="600" w14:anchorId="6D1E7D82">
          <v:shape id="_x0000_i1168" type="#_x0000_t75" style="width:87.6pt;height:27.95pt" o:ole="">
            <v:imagedata r:id="rId326" o:title=""/>
          </v:shape>
          <o:OLEObject Type="Embed" ProgID="Equation.3" ShapeID="_x0000_i1168" DrawAspect="Content" ObjectID="_1457171819" r:id="rId327"/>
        </w:object>
      </w:r>
      <w:r w:rsidR="00007B7B">
        <w:t>,</w:t>
      </w:r>
      <w:r>
        <w:tab/>
      </w:r>
      <w:r>
        <w:fldChar w:fldCharType="begin"/>
      </w:r>
      <w:r>
        <w:instrText xml:space="preserve"> LISTNUM EQN \l 2 </w:instrText>
      </w:r>
      <w:r>
        <w:fldChar w:fldCharType="end"/>
      </w:r>
      <w:r>
        <w:t>)</w:t>
      </w:r>
    </w:p>
    <w:p w14:paraId="23E8CF40" w14:textId="2AA37758" w:rsidR="00CD4EA6" w:rsidRDefault="00CD4EA6" w:rsidP="00CD4EA6">
      <w:pPr>
        <w:pStyle w:val="numberedeqnstyle"/>
      </w:pPr>
      <w:r w:rsidRPr="00A025AE">
        <w:tab/>
      </w:r>
      <w:r w:rsidR="00007B7B" w:rsidRPr="00007B7B">
        <w:rPr>
          <w:position w:val="-28"/>
        </w:rPr>
        <w:object w:dxaOrig="1460" w:dyaOrig="660" w14:anchorId="0A8ED0B1">
          <v:shape id="_x0000_i1169" type="#_x0000_t75" style="width:72.55pt;height:30.1pt" o:ole="">
            <v:imagedata r:id="rId328" o:title=""/>
          </v:shape>
          <o:OLEObject Type="Embed" ProgID="Equation.3" ShapeID="_x0000_i1169" DrawAspect="Content" ObjectID="_1457171820" r:id="rId329"/>
        </w:object>
      </w:r>
      <w:r w:rsidR="00007B7B">
        <w:t>,</w:t>
      </w:r>
      <w:r>
        <w:tab/>
      </w:r>
      <w:r>
        <w:fldChar w:fldCharType="begin"/>
      </w:r>
      <w:r>
        <w:instrText xml:space="preserve"> LISTNUM EQN \l 2 </w:instrText>
      </w:r>
      <w:r>
        <w:fldChar w:fldCharType="end"/>
      </w:r>
      <w:r>
        <w:t>)</w:t>
      </w:r>
    </w:p>
    <w:p w14:paraId="71E4CD48" w14:textId="7F8C97C9" w:rsidR="00067DE5" w:rsidRDefault="00007B7B" w:rsidP="00067DE5">
      <w:pPr>
        <w:ind w:firstLine="0"/>
      </w:pPr>
      <w:r>
        <w:t>and</w:t>
      </w:r>
    </w:p>
    <w:p w14:paraId="4B7253E8" w14:textId="55644D36" w:rsidR="00CD4EA6" w:rsidRDefault="00CD4EA6" w:rsidP="00CD4EA6">
      <w:pPr>
        <w:pStyle w:val="numberedeqnstyle"/>
      </w:pPr>
      <w:r w:rsidRPr="00A025AE">
        <w:tab/>
      </w:r>
      <w:r w:rsidR="00827F62" w:rsidRPr="00702DE3">
        <w:rPr>
          <w:position w:val="-14"/>
        </w:rPr>
        <w:object w:dxaOrig="1400" w:dyaOrig="360" w14:anchorId="7811518C">
          <v:shape id="_x0000_i1170" type="#_x0000_t75" style="width:70.4pt;height:16.1pt" o:ole="">
            <v:imagedata r:id="rId330" o:title=""/>
          </v:shape>
          <o:OLEObject Type="Embed" ProgID="Equation.3" ShapeID="_x0000_i1170" DrawAspect="Content" ObjectID="_1457171821" r:id="rId331"/>
        </w:object>
      </w:r>
      <w:r w:rsidR="00333B84">
        <w:t>.</w:t>
      </w:r>
      <w:r>
        <w:tab/>
      </w:r>
      <w:r>
        <w:fldChar w:fldCharType="begin"/>
      </w:r>
      <w:r>
        <w:instrText xml:space="preserve"> LISTNUM EQN \l 2 </w:instrText>
      </w:r>
      <w:r>
        <w:fldChar w:fldCharType="end"/>
      </w:r>
      <w:r>
        <w:t>)</w:t>
      </w:r>
    </w:p>
    <w:p w14:paraId="02674501" w14:textId="30B8F24B" w:rsidR="00E47C99" w:rsidRDefault="00BB5765" w:rsidP="00DC1C45">
      <w:r>
        <w:t xml:space="preserve">The 2D-to-3D coupling process is shown in Fig. </w:t>
      </w:r>
      <w:r>
        <w:fldChar w:fldCharType="begin"/>
      </w:r>
      <w:r>
        <w:instrText xml:space="preserve"> REF _Ref380746111 \r \h </w:instrText>
      </w:r>
      <w:r>
        <w:fldChar w:fldCharType="separate"/>
      </w:r>
      <w:r w:rsidR="001C5EC1">
        <w:t>6.9</w:t>
      </w:r>
      <w:r>
        <w:fldChar w:fldCharType="end"/>
      </w:r>
      <w:r>
        <w:t>.</w:t>
      </w:r>
    </w:p>
    <w:p w14:paraId="4C9410A0" w14:textId="3B97AF13" w:rsidR="00BB5765" w:rsidRDefault="00BB5765" w:rsidP="00BB5765">
      <w:pPr>
        <w:pStyle w:val="PictureSytel"/>
      </w:pPr>
      <w:r>
        <w:rPr>
          <w:noProof/>
        </w:rPr>
        <w:drawing>
          <wp:inline distT="0" distB="0" distL="0" distR="0" wp14:anchorId="45242DFD" wp14:editId="5939FA16">
            <wp:extent cx="4969566" cy="1177617"/>
            <wp:effectExtent l="19050" t="19050" r="21590" b="2286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pling 2 Flow Chart.png"/>
                    <pic:cNvPicPr/>
                  </pic:nvPicPr>
                  <pic:blipFill>
                    <a:blip r:embed="rId332">
                      <a:extLst>
                        <a:ext uri="{28A0092B-C50C-407E-A947-70E740481C1C}">
                          <a14:useLocalDpi xmlns:a14="http://schemas.microsoft.com/office/drawing/2010/main" val="0"/>
                        </a:ext>
                      </a:extLst>
                    </a:blip>
                    <a:stretch>
                      <a:fillRect/>
                    </a:stretch>
                  </pic:blipFill>
                  <pic:spPr>
                    <a:xfrm>
                      <a:off x="0" y="0"/>
                      <a:ext cx="4972859" cy="1178397"/>
                    </a:xfrm>
                    <a:prstGeom prst="rect">
                      <a:avLst/>
                    </a:prstGeom>
                    <a:ln>
                      <a:solidFill>
                        <a:schemeClr val="tx1"/>
                      </a:solidFill>
                    </a:ln>
                  </pic:spPr>
                </pic:pic>
              </a:graphicData>
            </a:graphic>
          </wp:inline>
        </w:drawing>
      </w:r>
    </w:p>
    <w:p w14:paraId="12CD5E7D" w14:textId="76A2C4C3" w:rsidR="00BB5765" w:rsidRDefault="00BB5765" w:rsidP="00BB5765">
      <w:pPr>
        <w:pStyle w:val="FigTitleStyle"/>
      </w:pPr>
      <w:bookmarkStart w:id="231" w:name="_Toc382920279"/>
      <w:r w:rsidRPr="00F348D2">
        <w:t xml:space="preserve">Fig. </w:t>
      </w:r>
      <w:r w:rsidRPr="00F348D2">
        <w:fldChar w:fldCharType="begin"/>
      </w:r>
      <w:bookmarkStart w:id="232" w:name="_Ref380746111"/>
      <w:bookmarkEnd w:id="232"/>
      <w:r w:rsidRPr="00F348D2">
        <w:instrText xml:space="preserve"> LISTNUM FIG \l 2 </w:instrText>
      </w:r>
      <w:r w:rsidRPr="00F348D2">
        <w:fldChar w:fldCharType="end"/>
      </w:r>
      <w:r w:rsidRPr="00F348D2">
        <w:t xml:space="preserve">.  </w:t>
      </w:r>
      <w:r>
        <w:t>2D-to-3D Coupling Mechanism Flow Chart.</w:t>
      </w:r>
      <w:bookmarkEnd w:id="231"/>
      <w:r>
        <w:t xml:space="preserve">  </w:t>
      </w:r>
    </w:p>
    <w:p w14:paraId="17B24809" w14:textId="6F317E22" w:rsidR="00BB5765" w:rsidRDefault="00163436" w:rsidP="00BB5765">
      <w:r>
        <w:t>U</w:t>
      </w:r>
      <w:r w:rsidR="00333B84">
        <w:t xml:space="preserve">nlike the 3D-to-2D coupling, the process of collecting and passing variables from the trailing edge in the coolant domain to the fuel plate domain is unchanged.  Flow properties across both surfaces are still averaged in the </w:t>
      </w:r>
      <w:r w:rsidR="00333B84">
        <w:rPr>
          <w:i/>
        </w:rPr>
        <w:t>t</w:t>
      </w:r>
      <w:r w:rsidR="003F30FB">
        <w:t xml:space="preserve">-direction and stored as a function of </w:t>
      </w:r>
      <w:r w:rsidR="003F30FB">
        <w:rPr>
          <w:i/>
        </w:rPr>
        <w:t>z</w:t>
      </w:r>
      <w:r w:rsidR="003F30FB">
        <w:t xml:space="preserve">.  </w:t>
      </w:r>
      <w:r w:rsidR="00076771">
        <w:t>Therefore, a single value for each flow property is applied to the entire trailing edge.</w:t>
      </w:r>
    </w:p>
    <w:p w14:paraId="5AE4EEB0" w14:textId="5C616D56" w:rsidR="000872F4" w:rsidRDefault="000872F4" w:rsidP="00BB5765">
      <w:r>
        <w:t xml:space="preserve">The coupled flow properties are applied to the fuel plate surface via </w:t>
      </w:r>
      <w:r w:rsidR="00E768E2">
        <w:t>a simple convective boundary condition:</w:t>
      </w:r>
    </w:p>
    <w:p w14:paraId="48182D91" w14:textId="6EB267DB" w:rsidR="00E768E2" w:rsidRDefault="00E768E2" w:rsidP="00E768E2">
      <w:pPr>
        <w:pStyle w:val="numberedeqnstyle"/>
      </w:pPr>
      <w:r w:rsidRPr="00A025AE">
        <w:tab/>
      </w:r>
      <w:r w:rsidR="00827F62" w:rsidRPr="00A81014">
        <w:rPr>
          <w:position w:val="-14"/>
        </w:rPr>
        <w:object w:dxaOrig="1920" w:dyaOrig="360" w14:anchorId="690A3821">
          <v:shape id="_x0000_i1171" type="#_x0000_t75" style="width:97.8pt;height:16.1pt" o:ole="">
            <v:imagedata r:id="rId333" o:title=""/>
          </v:shape>
          <o:OLEObject Type="Embed" ProgID="Equation.3" ShapeID="_x0000_i1171" DrawAspect="Content" ObjectID="_1457171822" r:id="rId334"/>
        </w:object>
      </w:r>
      <w:r>
        <w:tab/>
      </w:r>
      <w:r>
        <w:fldChar w:fldCharType="begin"/>
      </w:r>
      <w:r>
        <w:instrText xml:space="preserve"> LISTNUM EQN \l 2 </w:instrText>
      </w:r>
      <w:r>
        <w:fldChar w:fldCharType="end"/>
      </w:r>
      <w:r>
        <w:t>)</w:t>
      </w:r>
    </w:p>
    <w:p w14:paraId="1B19EEAD" w14:textId="0675C27A" w:rsidR="00DC1C45" w:rsidRDefault="00966585" w:rsidP="00966585">
      <w:pPr>
        <w:ind w:firstLine="0"/>
      </w:pPr>
      <w:r>
        <w:t xml:space="preserve">where the heat transfer coefficient, </w:t>
      </w:r>
      <w:r>
        <w:rPr>
          <w:i/>
        </w:rPr>
        <w:t>h</w:t>
      </w:r>
      <w:r>
        <w:t>, is given as</w:t>
      </w:r>
    </w:p>
    <w:p w14:paraId="50DEAC70" w14:textId="77777777" w:rsidR="00966585" w:rsidRDefault="00966585" w:rsidP="00966585">
      <w:pPr>
        <w:pStyle w:val="numberedeqnstyle"/>
      </w:pPr>
      <w:r w:rsidRPr="00A025AE">
        <w:lastRenderedPageBreak/>
        <w:tab/>
      </w:r>
      <w:r w:rsidR="00357791" w:rsidRPr="00357791">
        <w:rPr>
          <w:position w:val="-28"/>
        </w:rPr>
        <w:object w:dxaOrig="1400" w:dyaOrig="639" w14:anchorId="29703645">
          <v:shape id="_x0000_i1172" type="#_x0000_t75" style="width:69.3pt;height:28.5pt" o:ole="">
            <v:imagedata r:id="rId335" o:title=""/>
          </v:shape>
          <o:OLEObject Type="Embed" ProgID="Equation.3" ShapeID="_x0000_i1172" DrawAspect="Content" ObjectID="_1457171823" r:id="rId336"/>
        </w:object>
      </w:r>
      <w:r>
        <w:tab/>
      </w:r>
      <w:r>
        <w:fldChar w:fldCharType="begin"/>
      </w:r>
      <w:r>
        <w:instrText xml:space="preserve"> LISTNUM EQN \l 2 </w:instrText>
      </w:r>
      <w:r>
        <w:fldChar w:fldCharType="end"/>
      </w:r>
      <w:r>
        <w:t>)</w:t>
      </w:r>
    </w:p>
    <w:p w14:paraId="44FF0529" w14:textId="3658957B" w:rsidR="00966585" w:rsidRPr="00966585" w:rsidRDefault="00966585" w:rsidP="00966585">
      <w:pPr>
        <w:ind w:firstLine="0"/>
      </w:pPr>
      <w:r>
        <w:t xml:space="preserve">where </w:t>
      </w:r>
      <w:r>
        <w:rPr>
          <w:i/>
        </w:rPr>
        <w:t>D</w:t>
      </w:r>
      <w:r>
        <w:rPr>
          <w:i/>
          <w:vertAlign w:val="subscript"/>
        </w:rPr>
        <w:t>h</w:t>
      </w:r>
      <w:r>
        <w:t xml:space="preserve"> is the hydraulic diameter and the Nusselt number, Nu, comes from a modified form of the Hausen correlation.  The original Hausen correlation is given as</w:t>
      </w:r>
    </w:p>
    <w:p w14:paraId="505F4057" w14:textId="77777777" w:rsidR="00966585" w:rsidRDefault="00966585" w:rsidP="00966585">
      <w:pPr>
        <w:pStyle w:val="numberedeqnstyle"/>
      </w:pPr>
      <w:r w:rsidRPr="00A025AE">
        <w:tab/>
      </w:r>
      <w:r w:rsidR="00B65B93" w:rsidRPr="00B65B93">
        <w:rPr>
          <w:position w:val="-36"/>
        </w:rPr>
        <w:object w:dxaOrig="4840" w:dyaOrig="840" w14:anchorId="327868F5">
          <v:shape id="_x0000_i1173" type="#_x0000_t75" style="width:243.4pt;height:38.7pt" o:ole="">
            <v:imagedata r:id="rId337" o:title=""/>
          </v:shape>
          <o:OLEObject Type="Embed" ProgID="Equation.3" ShapeID="_x0000_i1173" DrawAspect="Content" ObjectID="_1457171824" r:id="rId338"/>
        </w:object>
      </w:r>
      <w:r>
        <w:tab/>
      </w:r>
      <w:r>
        <w:fldChar w:fldCharType="begin"/>
      </w:r>
      <w:bookmarkStart w:id="233" w:name="_Ref380764408"/>
      <w:bookmarkEnd w:id="233"/>
      <w:r>
        <w:instrText xml:space="preserve"> LISTNUM EQN \l 2 </w:instrText>
      </w:r>
      <w:r>
        <w:fldChar w:fldCharType="end"/>
      </w:r>
      <w:r>
        <w:t>)</w:t>
      </w:r>
    </w:p>
    <w:p w14:paraId="5B5B84B6" w14:textId="4473A4F7" w:rsidR="00420515" w:rsidRDefault="00847093" w:rsidP="00F0508E">
      <w:pPr>
        <w:spacing w:after="720"/>
        <w:ind w:firstLine="0"/>
      </w:pPr>
      <w:r>
        <w:t>where</w:t>
      </w:r>
      <w:r w:rsidR="00025780">
        <w:t xml:space="preserve"> </w:t>
      </w:r>
      <w:r w:rsidR="00025780">
        <w:rPr>
          <w:i/>
        </w:rPr>
        <w:t>L</w:t>
      </w:r>
      <w:r w:rsidR="00025780">
        <w:rPr>
          <w:i/>
          <w:vertAlign w:val="subscript"/>
        </w:rPr>
        <w:t>h</w:t>
      </w:r>
      <w:r w:rsidR="00025780">
        <w:t xml:space="preserve"> is heated length,</w:t>
      </w:r>
      <w:r>
        <w:t xml:space="preserve"> a subscript </w:t>
      </w:r>
      <w:r>
        <w:rPr>
          <w:i/>
        </w:rPr>
        <w:t>m</w:t>
      </w:r>
      <w:r>
        <w:t xml:space="preserve"> denotes a mean axial value, and a subscript </w:t>
      </w:r>
      <w:r>
        <w:rPr>
          <w:i/>
        </w:rPr>
        <w:t>w</w:t>
      </w:r>
      <w:r>
        <w:t xml:space="preserve"> denotes a wall value.  </w:t>
      </w:r>
      <w:r w:rsidR="004C0084">
        <w:t>The original Hausen correlation is valid in both the turbulent and transition flow regimes.</w:t>
      </w:r>
      <w:r w:rsidR="004C0084">
        <w:rPr>
          <w:rStyle w:val="EndnoteReference"/>
        </w:rPr>
        <w:endnoteReference w:id="62"/>
      </w:r>
      <w:r w:rsidR="00947AC1">
        <w:t xml:space="preserve">  The modified Hausen correlation was derived by Gambill and Bundy</w:t>
      </w:r>
      <w:r w:rsidR="00947AC1">
        <w:rPr>
          <w:rStyle w:val="EndnoteReference"/>
        </w:rPr>
        <w:endnoteReference w:id="63"/>
      </w:r>
      <w:r w:rsidR="007415DD">
        <w:t xml:space="preserve"> as a result of experimental work performed in the study of turbulent flow in thin rectangular channels</w:t>
      </w:r>
      <w:r w:rsidR="00025780">
        <w:t>.</w:t>
      </w:r>
      <w:r w:rsidR="00DB78B8">
        <w:t xml:space="preserve">  The range of conditions over which Gambill and Bundy experimentally verified the applicability of the modified Hausen correlation is shown </w:t>
      </w:r>
      <w:r w:rsidR="00DB78B8" w:rsidRPr="00F0508E">
        <w:rPr>
          <w:rStyle w:val="NormalBeforeTableChar"/>
        </w:rPr>
        <w:t>in Table</w:t>
      </w:r>
      <w:r w:rsidR="0016258F" w:rsidRPr="00F0508E">
        <w:rPr>
          <w:rStyle w:val="NormalBeforeTableChar"/>
        </w:rPr>
        <w:t xml:space="preserve"> </w:t>
      </w:r>
      <w:r w:rsidR="0016258F" w:rsidRPr="00F0508E">
        <w:rPr>
          <w:rStyle w:val="NormalBeforeTableChar"/>
        </w:rPr>
        <w:fldChar w:fldCharType="begin"/>
      </w:r>
      <w:r w:rsidR="0016258F" w:rsidRPr="00F0508E">
        <w:rPr>
          <w:rStyle w:val="NormalBeforeTableChar"/>
        </w:rPr>
        <w:instrText xml:space="preserve"> REF _Ref381871189 \r \h </w:instrText>
      </w:r>
      <w:r w:rsidR="00F0508E">
        <w:rPr>
          <w:rStyle w:val="NormalBeforeTableChar"/>
        </w:rPr>
        <w:instrText xml:space="preserve"> \* MERGEFORMAT </w:instrText>
      </w:r>
      <w:r w:rsidR="0016258F" w:rsidRPr="00F0508E">
        <w:rPr>
          <w:rStyle w:val="NormalBeforeTableChar"/>
        </w:rPr>
      </w:r>
      <w:r w:rsidR="0016258F" w:rsidRPr="00F0508E">
        <w:rPr>
          <w:rStyle w:val="NormalBeforeTableChar"/>
        </w:rPr>
        <w:fldChar w:fldCharType="separate"/>
      </w:r>
      <w:r w:rsidR="001C5EC1">
        <w:rPr>
          <w:rStyle w:val="NormalBeforeTableChar"/>
        </w:rPr>
        <w:t>6.1</w:t>
      </w:r>
      <w:r w:rsidR="0016258F" w:rsidRPr="00F0508E">
        <w:rPr>
          <w:rStyle w:val="NormalBeforeTableChar"/>
        </w:rPr>
        <w:fldChar w:fldCharType="end"/>
      </w:r>
      <w:r w:rsidR="00DB78B8" w:rsidRPr="00F0508E">
        <w:rPr>
          <w:rStyle w:val="NormalBeforeTableChar"/>
        </w:rPr>
        <w:t>.  The range of nominal HFIR operating conditions are also shown for comparison.</w:t>
      </w:r>
    </w:p>
    <w:tbl>
      <w:tblPr>
        <w:tblW w:w="5620" w:type="dxa"/>
        <w:jc w:val="center"/>
        <w:tblLook w:val="04A0" w:firstRow="1" w:lastRow="0" w:firstColumn="1" w:lastColumn="0" w:noHBand="0" w:noVBand="1"/>
      </w:tblPr>
      <w:tblGrid>
        <w:gridCol w:w="1393"/>
        <w:gridCol w:w="2068"/>
        <w:gridCol w:w="2159"/>
      </w:tblGrid>
      <w:tr w:rsidR="00DB78B8" w:rsidRPr="00DB78B8" w14:paraId="25778854" w14:textId="77777777" w:rsidTr="00DB78B8">
        <w:trPr>
          <w:trHeight w:val="300"/>
          <w:jc w:val="center"/>
        </w:trPr>
        <w:tc>
          <w:tcPr>
            <w:tcW w:w="56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48C9EF" w14:textId="5DBBADF1" w:rsidR="00DB78B8" w:rsidRPr="00DB78B8" w:rsidRDefault="00DB78B8" w:rsidP="0016258F">
            <w:pPr>
              <w:pStyle w:val="NoSpacing"/>
            </w:pPr>
            <w:bookmarkStart w:id="234" w:name="_Toc382920198"/>
            <w:r w:rsidRPr="00DB78B8">
              <w:t xml:space="preserve">Table </w:t>
            </w:r>
            <w:r>
              <w:fldChar w:fldCharType="begin"/>
            </w:r>
            <w:bookmarkStart w:id="235" w:name="_Ref381871189"/>
            <w:bookmarkEnd w:id="235"/>
            <w:r>
              <w:instrText xml:space="preserve"> LISTNUM TAB \l 2</w:instrText>
            </w:r>
            <w:r>
              <w:fldChar w:fldCharType="end"/>
            </w:r>
            <w:r w:rsidRPr="00DB78B8">
              <w:t>: Modified Hausen Correlation Verification Range</w:t>
            </w:r>
            <w:bookmarkEnd w:id="234"/>
          </w:p>
        </w:tc>
      </w:tr>
      <w:tr w:rsidR="00DB78B8" w:rsidRPr="00DB78B8" w14:paraId="011E71C5" w14:textId="77777777" w:rsidTr="00DB78B8">
        <w:trPr>
          <w:trHeight w:val="600"/>
          <w:jc w:val="center"/>
        </w:trPr>
        <w:tc>
          <w:tcPr>
            <w:tcW w:w="1393" w:type="dxa"/>
            <w:tcBorders>
              <w:top w:val="nil"/>
              <w:left w:val="single" w:sz="4" w:space="0" w:color="auto"/>
              <w:bottom w:val="single" w:sz="4" w:space="0" w:color="auto"/>
              <w:right w:val="single" w:sz="4" w:space="0" w:color="auto"/>
            </w:tcBorders>
            <w:shd w:val="clear" w:color="000000" w:fill="BFBFBF"/>
            <w:noWrap/>
            <w:vAlign w:val="center"/>
            <w:hideMark/>
          </w:tcPr>
          <w:p w14:paraId="75B5C253" w14:textId="77777777" w:rsidR="00DB78B8" w:rsidRPr="00DB78B8" w:rsidRDefault="00DB78B8" w:rsidP="00DB78B8">
            <w:pPr>
              <w:spacing w:after="0" w:line="240" w:lineRule="auto"/>
              <w:ind w:firstLine="0"/>
              <w:jc w:val="center"/>
              <w:rPr>
                <w:rFonts w:eastAsia="Times New Roman"/>
                <w:color w:val="000000"/>
              </w:rPr>
            </w:pPr>
            <w:r w:rsidRPr="00DB78B8">
              <w:rPr>
                <w:rFonts w:eastAsia="Times New Roman"/>
                <w:color w:val="000000"/>
              </w:rPr>
              <w:t> </w:t>
            </w:r>
          </w:p>
        </w:tc>
        <w:tc>
          <w:tcPr>
            <w:tcW w:w="2068" w:type="dxa"/>
            <w:tcBorders>
              <w:top w:val="nil"/>
              <w:left w:val="nil"/>
              <w:bottom w:val="single" w:sz="4" w:space="0" w:color="auto"/>
              <w:right w:val="single" w:sz="4" w:space="0" w:color="auto"/>
            </w:tcBorders>
            <w:shd w:val="clear" w:color="auto" w:fill="auto"/>
            <w:vAlign w:val="center"/>
            <w:hideMark/>
          </w:tcPr>
          <w:p w14:paraId="58ECD2C0" w14:textId="77777777" w:rsidR="00DB78B8" w:rsidRPr="00DB78B8" w:rsidRDefault="00DB78B8" w:rsidP="00DB78B8">
            <w:pPr>
              <w:spacing w:after="0" w:line="240" w:lineRule="auto"/>
              <w:ind w:firstLine="0"/>
              <w:jc w:val="center"/>
              <w:rPr>
                <w:rFonts w:eastAsia="Times New Roman"/>
                <w:color w:val="000000"/>
              </w:rPr>
            </w:pPr>
            <w:r w:rsidRPr="00DB78B8">
              <w:rPr>
                <w:rFonts w:eastAsia="Times New Roman"/>
                <w:color w:val="000000"/>
              </w:rPr>
              <w:t>Experimental</w:t>
            </w:r>
            <w:r w:rsidRPr="00DB78B8">
              <w:rPr>
                <w:rFonts w:eastAsia="Times New Roman"/>
                <w:color w:val="000000"/>
              </w:rPr>
              <w:br/>
              <w:t>Conditions</w:t>
            </w:r>
          </w:p>
        </w:tc>
        <w:tc>
          <w:tcPr>
            <w:tcW w:w="2159" w:type="dxa"/>
            <w:tcBorders>
              <w:top w:val="nil"/>
              <w:left w:val="nil"/>
              <w:bottom w:val="single" w:sz="4" w:space="0" w:color="auto"/>
              <w:right w:val="single" w:sz="4" w:space="0" w:color="auto"/>
            </w:tcBorders>
            <w:shd w:val="clear" w:color="auto" w:fill="auto"/>
            <w:vAlign w:val="center"/>
            <w:hideMark/>
          </w:tcPr>
          <w:p w14:paraId="105DFF79" w14:textId="615CDC9D" w:rsidR="00DB78B8" w:rsidRPr="00DB78B8" w:rsidRDefault="00DB78B8" w:rsidP="00DB78B8">
            <w:pPr>
              <w:spacing w:after="0" w:line="240" w:lineRule="auto"/>
              <w:ind w:firstLine="0"/>
              <w:jc w:val="center"/>
              <w:rPr>
                <w:rFonts w:eastAsia="Times New Roman"/>
                <w:color w:val="000000"/>
              </w:rPr>
            </w:pPr>
            <w:r>
              <w:rPr>
                <w:rFonts w:eastAsia="Times New Roman"/>
                <w:color w:val="000000"/>
              </w:rPr>
              <w:t xml:space="preserve">Nominal </w:t>
            </w:r>
            <w:r w:rsidRPr="00DB78B8">
              <w:rPr>
                <w:rFonts w:eastAsia="Times New Roman"/>
                <w:color w:val="000000"/>
              </w:rPr>
              <w:t>HFIR</w:t>
            </w:r>
            <w:r w:rsidRPr="00DB78B8">
              <w:rPr>
                <w:rFonts w:eastAsia="Times New Roman"/>
                <w:color w:val="000000"/>
              </w:rPr>
              <w:br/>
              <w:t>Conditions</w:t>
            </w:r>
          </w:p>
        </w:tc>
      </w:tr>
      <w:tr w:rsidR="00DB78B8" w:rsidRPr="00DB78B8" w14:paraId="2DD7A6AA" w14:textId="77777777" w:rsidTr="00DB78B8">
        <w:trPr>
          <w:trHeight w:val="300"/>
          <w:jc w:val="center"/>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07FF3783" w14:textId="139E01E9" w:rsidR="00DB78B8" w:rsidRPr="00DB78B8" w:rsidRDefault="00DB78B8" w:rsidP="00DB78B8">
            <w:pPr>
              <w:spacing w:after="0" w:line="240" w:lineRule="auto"/>
              <w:ind w:firstLine="0"/>
              <w:jc w:val="center"/>
              <w:rPr>
                <w:rFonts w:eastAsia="Times New Roman"/>
                <w:color w:val="000000"/>
              </w:rPr>
            </w:pPr>
            <w:r w:rsidRPr="0050040F">
              <w:rPr>
                <w:rFonts w:eastAsia="Times New Roman"/>
                <w:i/>
                <w:color w:val="000000"/>
              </w:rPr>
              <w:t>q</w:t>
            </w:r>
            <w:r>
              <w:rPr>
                <w:rFonts w:eastAsia="Times New Roman"/>
                <w:color w:val="000000"/>
              </w:rPr>
              <w:t>'' (w/cm</w:t>
            </w:r>
            <w:r>
              <w:rPr>
                <w:rFonts w:eastAsia="Times New Roman"/>
                <w:color w:val="000000"/>
                <w:vertAlign w:val="superscript"/>
              </w:rPr>
              <w:t>2</w:t>
            </w:r>
            <w:r w:rsidRPr="00DB78B8">
              <w:rPr>
                <w:rFonts w:eastAsia="Times New Roman"/>
                <w:color w:val="000000"/>
              </w:rPr>
              <w:t>)</w:t>
            </w:r>
          </w:p>
        </w:tc>
        <w:tc>
          <w:tcPr>
            <w:tcW w:w="2068" w:type="dxa"/>
            <w:tcBorders>
              <w:top w:val="nil"/>
              <w:left w:val="nil"/>
              <w:bottom w:val="single" w:sz="4" w:space="0" w:color="auto"/>
              <w:right w:val="single" w:sz="4" w:space="0" w:color="auto"/>
            </w:tcBorders>
            <w:shd w:val="clear" w:color="auto" w:fill="auto"/>
            <w:noWrap/>
            <w:vAlign w:val="center"/>
            <w:hideMark/>
          </w:tcPr>
          <w:p w14:paraId="65013EC2" w14:textId="77777777" w:rsidR="00DB78B8" w:rsidRPr="00DB78B8" w:rsidRDefault="00DB78B8" w:rsidP="00DB78B8">
            <w:pPr>
              <w:spacing w:after="0" w:line="240" w:lineRule="auto"/>
              <w:ind w:firstLine="0"/>
              <w:jc w:val="center"/>
              <w:rPr>
                <w:rFonts w:eastAsia="Times New Roman"/>
                <w:color w:val="000000"/>
              </w:rPr>
            </w:pPr>
            <w:r w:rsidRPr="00DB78B8">
              <w:rPr>
                <w:rFonts w:eastAsia="Times New Roman"/>
                <w:color w:val="000000"/>
              </w:rPr>
              <w:t>32 - 2334</w:t>
            </w:r>
          </w:p>
        </w:tc>
        <w:tc>
          <w:tcPr>
            <w:tcW w:w="2159" w:type="dxa"/>
            <w:tcBorders>
              <w:top w:val="nil"/>
              <w:left w:val="nil"/>
              <w:bottom w:val="single" w:sz="4" w:space="0" w:color="auto"/>
              <w:right w:val="single" w:sz="4" w:space="0" w:color="auto"/>
            </w:tcBorders>
            <w:shd w:val="clear" w:color="auto" w:fill="auto"/>
            <w:noWrap/>
            <w:vAlign w:val="center"/>
            <w:hideMark/>
          </w:tcPr>
          <w:p w14:paraId="7BD17738" w14:textId="78C43841" w:rsidR="00DB78B8" w:rsidRPr="00DB78B8" w:rsidRDefault="00DB78B8" w:rsidP="00DB78B8">
            <w:pPr>
              <w:spacing w:after="0" w:line="240" w:lineRule="auto"/>
              <w:ind w:firstLine="0"/>
              <w:jc w:val="center"/>
              <w:rPr>
                <w:rFonts w:eastAsia="Times New Roman"/>
                <w:color w:val="000000"/>
              </w:rPr>
            </w:pPr>
            <w:r w:rsidRPr="00DB78B8">
              <w:rPr>
                <w:rFonts w:eastAsia="Times New Roman"/>
                <w:color w:val="000000"/>
              </w:rPr>
              <w:t xml:space="preserve">50 </w:t>
            </w:r>
            <w:r w:rsidR="00883337">
              <w:rPr>
                <w:rFonts w:eastAsia="Times New Roman"/>
                <w:color w:val="000000"/>
              </w:rPr>
              <w:t>–</w:t>
            </w:r>
            <w:r w:rsidRPr="00DB78B8">
              <w:rPr>
                <w:rFonts w:eastAsia="Times New Roman"/>
                <w:color w:val="000000"/>
              </w:rPr>
              <w:t xml:space="preserve"> 500</w:t>
            </w:r>
          </w:p>
        </w:tc>
      </w:tr>
      <w:tr w:rsidR="00DB78B8" w:rsidRPr="00DB78B8" w14:paraId="22577075" w14:textId="77777777" w:rsidTr="00DB78B8">
        <w:trPr>
          <w:trHeight w:val="300"/>
          <w:jc w:val="center"/>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4521A365" w14:textId="73AA1D25" w:rsidR="00DB78B8" w:rsidRPr="00DB78B8" w:rsidRDefault="00DB78B8" w:rsidP="00DB78B8">
            <w:pPr>
              <w:spacing w:after="0" w:line="240" w:lineRule="auto"/>
              <w:ind w:firstLine="0"/>
              <w:jc w:val="center"/>
              <w:rPr>
                <w:rFonts w:eastAsia="Times New Roman"/>
                <w:color w:val="000000"/>
              </w:rPr>
            </w:pPr>
            <w:r w:rsidRPr="0050040F">
              <w:rPr>
                <w:rFonts w:eastAsia="Times New Roman"/>
                <w:i/>
                <w:color w:val="000000"/>
              </w:rPr>
              <w:t>D</w:t>
            </w:r>
            <w:r w:rsidRPr="0050040F">
              <w:rPr>
                <w:rFonts w:eastAsia="Times New Roman"/>
                <w:i/>
                <w:color w:val="000000"/>
                <w:vertAlign w:val="subscript"/>
              </w:rPr>
              <w:t>h</w:t>
            </w:r>
            <w:r w:rsidRPr="00DB78B8">
              <w:rPr>
                <w:rFonts w:eastAsia="Times New Roman"/>
                <w:color w:val="000000"/>
              </w:rPr>
              <w:t xml:space="preserve"> (cm)</w:t>
            </w:r>
          </w:p>
        </w:tc>
        <w:tc>
          <w:tcPr>
            <w:tcW w:w="2068" w:type="dxa"/>
            <w:tcBorders>
              <w:top w:val="nil"/>
              <w:left w:val="nil"/>
              <w:bottom w:val="single" w:sz="4" w:space="0" w:color="auto"/>
              <w:right w:val="single" w:sz="4" w:space="0" w:color="auto"/>
            </w:tcBorders>
            <w:shd w:val="clear" w:color="auto" w:fill="auto"/>
            <w:noWrap/>
            <w:vAlign w:val="center"/>
            <w:hideMark/>
          </w:tcPr>
          <w:p w14:paraId="36863927" w14:textId="77777777" w:rsidR="00DB78B8" w:rsidRPr="00DB78B8" w:rsidRDefault="00DB78B8" w:rsidP="00DB78B8">
            <w:pPr>
              <w:spacing w:after="0" w:line="240" w:lineRule="auto"/>
              <w:ind w:firstLine="0"/>
              <w:jc w:val="center"/>
              <w:rPr>
                <w:rFonts w:eastAsia="Times New Roman"/>
                <w:color w:val="000000"/>
              </w:rPr>
            </w:pPr>
            <w:r w:rsidRPr="00DB78B8">
              <w:rPr>
                <w:rFonts w:eastAsia="Times New Roman"/>
                <w:color w:val="000000"/>
              </w:rPr>
              <w:t>0.191 - 0.267</w:t>
            </w:r>
          </w:p>
        </w:tc>
        <w:tc>
          <w:tcPr>
            <w:tcW w:w="2159" w:type="dxa"/>
            <w:tcBorders>
              <w:top w:val="nil"/>
              <w:left w:val="nil"/>
              <w:bottom w:val="single" w:sz="4" w:space="0" w:color="auto"/>
              <w:right w:val="single" w:sz="4" w:space="0" w:color="auto"/>
            </w:tcBorders>
            <w:shd w:val="clear" w:color="auto" w:fill="auto"/>
            <w:noWrap/>
            <w:vAlign w:val="center"/>
            <w:hideMark/>
          </w:tcPr>
          <w:p w14:paraId="564B5061" w14:textId="77777777" w:rsidR="00DB78B8" w:rsidRPr="00DB78B8" w:rsidRDefault="00DB78B8" w:rsidP="00DB78B8">
            <w:pPr>
              <w:spacing w:after="0" w:line="240" w:lineRule="auto"/>
              <w:ind w:firstLine="0"/>
              <w:jc w:val="center"/>
              <w:rPr>
                <w:rFonts w:eastAsia="Times New Roman"/>
                <w:color w:val="000000"/>
              </w:rPr>
            </w:pPr>
            <w:r w:rsidRPr="00DB78B8">
              <w:rPr>
                <w:rFonts w:eastAsia="Times New Roman"/>
                <w:color w:val="000000"/>
              </w:rPr>
              <w:t>0.249</w:t>
            </w:r>
          </w:p>
        </w:tc>
      </w:tr>
      <w:tr w:rsidR="00DB78B8" w:rsidRPr="00DB78B8" w14:paraId="3D88DC1D" w14:textId="77777777" w:rsidTr="00DB78B8">
        <w:trPr>
          <w:trHeight w:val="300"/>
          <w:jc w:val="center"/>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0F81FC78" w14:textId="77777777" w:rsidR="00DB78B8" w:rsidRPr="00DB78B8" w:rsidRDefault="00DB78B8" w:rsidP="00DB78B8">
            <w:pPr>
              <w:spacing w:after="0" w:line="240" w:lineRule="auto"/>
              <w:ind w:firstLine="0"/>
              <w:jc w:val="center"/>
              <w:rPr>
                <w:rFonts w:eastAsia="Times New Roman"/>
                <w:color w:val="000000"/>
              </w:rPr>
            </w:pPr>
            <w:r w:rsidRPr="0050040F">
              <w:rPr>
                <w:rFonts w:eastAsia="Times New Roman"/>
                <w:i/>
                <w:color w:val="000000"/>
              </w:rPr>
              <w:t>u</w:t>
            </w:r>
            <w:r w:rsidRPr="00DB78B8">
              <w:rPr>
                <w:rFonts w:eastAsia="Times New Roman"/>
                <w:color w:val="000000"/>
              </w:rPr>
              <w:t xml:space="preserve"> (m/s)</w:t>
            </w:r>
          </w:p>
        </w:tc>
        <w:tc>
          <w:tcPr>
            <w:tcW w:w="2068" w:type="dxa"/>
            <w:tcBorders>
              <w:top w:val="nil"/>
              <w:left w:val="nil"/>
              <w:bottom w:val="single" w:sz="4" w:space="0" w:color="auto"/>
              <w:right w:val="single" w:sz="4" w:space="0" w:color="auto"/>
            </w:tcBorders>
            <w:shd w:val="clear" w:color="auto" w:fill="auto"/>
            <w:noWrap/>
            <w:vAlign w:val="center"/>
            <w:hideMark/>
          </w:tcPr>
          <w:p w14:paraId="08BF3168" w14:textId="77777777" w:rsidR="00DB78B8" w:rsidRPr="00DB78B8" w:rsidRDefault="00DB78B8" w:rsidP="00DB78B8">
            <w:pPr>
              <w:spacing w:after="0" w:line="240" w:lineRule="auto"/>
              <w:ind w:firstLine="0"/>
              <w:jc w:val="center"/>
              <w:rPr>
                <w:rFonts w:eastAsia="Times New Roman"/>
                <w:color w:val="000000"/>
              </w:rPr>
            </w:pPr>
            <w:r w:rsidRPr="00DB78B8">
              <w:rPr>
                <w:rFonts w:eastAsia="Times New Roman"/>
                <w:color w:val="000000"/>
              </w:rPr>
              <w:t>3.1 - 26.0</w:t>
            </w:r>
          </w:p>
        </w:tc>
        <w:tc>
          <w:tcPr>
            <w:tcW w:w="2159" w:type="dxa"/>
            <w:tcBorders>
              <w:top w:val="nil"/>
              <w:left w:val="nil"/>
              <w:bottom w:val="single" w:sz="4" w:space="0" w:color="auto"/>
              <w:right w:val="single" w:sz="4" w:space="0" w:color="auto"/>
            </w:tcBorders>
            <w:shd w:val="clear" w:color="auto" w:fill="auto"/>
            <w:noWrap/>
            <w:vAlign w:val="center"/>
            <w:hideMark/>
          </w:tcPr>
          <w:p w14:paraId="29D723E5" w14:textId="77777777" w:rsidR="00DB78B8" w:rsidRPr="00DB78B8" w:rsidRDefault="00DB78B8" w:rsidP="00DB78B8">
            <w:pPr>
              <w:spacing w:after="0" w:line="240" w:lineRule="auto"/>
              <w:ind w:firstLine="0"/>
              <w:jc w:val="center"/>
              <w:rPr>
                <w:rFonts w:eastAsia="Times New Roman"/>
                <w:color w:val="000000"/>
              </w:rPr>
            </w:pPr>
            <w:r w:rsidRPr="00DB78B8">
              <w:rPr>
                <w:rFonts w:eastAsia="Times New Roman"/>
                <w:color w:val="000000"/>
              </w:rPr>
              <w:t>7.8 - 18.0</w:t>
            </w:r>
          </w:p>
        </w:tc>
      </w:tr>
      <w:tr w:rsidR="00DB78B8" w:rsidRPr="00DB78B8" w14:paraId="69639927" w14:textId="77777777" w:rsidTr="00DB78B8">
        <w:trPr>
          <w:trHeight w:val="300"/>
          <w:jc w:val="center"/>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467108CB" w14:textId="0945F7F6" w:rsidR="00DB78B8" w:rsidRPr="00DB78B8" w:rsidRDefault="00DB78B8" w:rsidP="00DB78B8">
            <w:pPr>
              <w:spacing w:after="0" w:line="240" w:lineRule="auto"/>
              <w:ind w:firstLine="0"/>
              <w:jc w:val="center"/>
              <w:rPr>
                <w:rFonts w:eastAsia="Times New Roman"/>
                <w:color w:val="000000"/>
                <w:vertAlign w:val="subscript"/>
              </w:rPr>
            </w:pPr>
            <w:r>
              <w:rPr>
                <w:rFonts w:eastAsia="Times New Roman"/>
                <w:color w:val="000000"/>
              </w:rPr>
              <w:t>Re</w:t>
            </w:r>
            <w:r w:rsidRPr="0050040F">
              <w:rPr>
                <w:rFonts w:eastAsia="Times New Roman"/>
                <w:i/>
                <w:color w:val="000000"/>
                <w:vertAlign w:val="subscript"/>
              </w:rPr>
              <w:t>z</w:t>
            </w:r>
          </w:p>
        </w:tc>
        <w:tc>
          <w:tcPr>
            <w:tcW w:w="2068" w:type="dxa"/>
            <w:tcBorders>
              <w:top w:val="nil"/>
              <w:left w:val="nil"/>
              <w:bottom w:val="single" w:sz="4" w:space="0" w:color="auto"/>
              <w:right w:val="single" w:sz="4" w:space="0" w:color="auto"/>
            </w:tcBorders>
            <w:shd w:val="clear" w:color="auto" w:fill="auto"/>
            <w:noWrap/>
            <w:vAlign w:val="center"/>
            <w:hideMark/>
          </w:tcPr>
          <w:p w14:paraId="796B3FCA" w14:textId="2B0523A9" w:rsidR="00DB78B8" w:rsidRPr="00DB78B8" w:rsidRDefault="00DB78B8" w:rsidP="00DB78B8">
            <w:pPr>
              <w:spacing w:after="0" w:line="240" w:lineRule="auto"/>
              <w:ind w:firstLine="0"/>
              <w:jc w:val="center"/>
              <w:rPr>
                <w:rFonts w:eastAsia="Times New Roman"/>
                <w:color w:val="000000"/>
                <w:vertAlign w:val="superscript"/>
              </w:rPr>
            </w:pPr>
            <w:r>
              <w:rPr>
                <w:rFonts w:eastAsia="Times New Roman"/>
                <w:color w:val="000000"/>
              </w:rPr>
              <w:t>9X10</w:t>
            </w:r>
            <w:r>
              <w:rPr>
                <w:rFonts w:eastAsia="Times New Roman"/>
                <w:color w:val="000000"/>
                <w:vertAlign w:val="superscript"/>
              </w:rPr>
              <w:t>3</w:t>
            </w:r>
            <w:r>
              <w:rPr>
                <w:rFonts w:eastAsia="Times New Roman"/>
                <w:color w:val="000000"/>
              </w:rPr>
              <w:t xml:space="preserve"> - 2.7X10</w:t>
            </w:r>
            <w:r>
              <w:rPr>
                <w:rFonts w:eastAsia="Times New Roman"/>
                <w:color w:val="000000"/>
                <w:vertAlign w:val="superscript"/>
              </w:rPr>
              <w:t>5</w:t>
            </w:r>
          </w:p>
        </w:tc>
        <w:tc>
          <w:tcPr>
            <w:tcW w:w="2159" w:type="dxa"/>
            <w:tcBorders>
              <w:top w:val="nil"/>
              <w:left w:val="nil"/>
              <w:bottom w:val="single" w:sz="4" w:space="0" w:color="auto"/>
              <w:right w:val="single" w:sz="4" w:space="0" w:color="auto"/>
            </w:tcBorders>
            <w:shd w:val="clear" w:color="auto" w:fill="auto"/>
            <w:noWrap/>
            <w:vAlign w:val="center"/>
            <w:hideMark/>
          </w:tcPr>
          <w:p w14:paraId="227B25BD" w14:textId="4A6E7591" w:rsidR="00DB78B8" w:rsidRPr="00DB78B8" w:rsidRDefault="00DB78B8" w:rsidP="00DB78B8">
            <w:pPr>
              <w:spacing w:after="0" w:line="240" w:lineRule="auto"/>
              <w:ind w:firstLine="0"/>
              <w:jc w:val="center"/>
              <w:rPr>
                <w:rFonts w:eastAsia="Times New Roman"/>
                <w:color w:val="000000"/>
                <w:vertAlign w:val="superscript"/>
              </w:rPr>
            </w:pPr>
            <w:r>
              <w:rPr>
                <w:rFonts w:eastAsia="Times New Roman"/>
                <w:color w:val="000000"/>
              </w:rPr>
              <w:t>6.9X10</w:t>
            </w:r>
            <w:r>
              <w:rPr>
                <w:rFonts w:eastAsia="Times New Roman"/>
                <w:color w:val="000000"/>
                <w:vertAlign w:val="superscript"/>
              </w:rPr>
              <w:t>4</w:t>
            </w:r>
            <w:r>
              <w:rPr>
                <w:rFonts w:eastAsia="Times New Roman"/>
                <w:color w:val="000000"/>
              </w:rPr>
              <w:t xml:space="preserve"> - 1.0X10</w:t>
            </w:r>
            <w:r>
              <w:rPr>
                <w:rFonts w:eastAsia="Times New Roman"/>
                <w:color w:val="000000"/>
                <w:vertAlign w:val="superscript"/>
              </w:rPr>
              <w:t>5</w:t>
            </w:r>
          </w:p>
        </w:tc>
      </w:tr>
      <w:tr w:rsidR="00DB78B8" w:rsidRPr="00DB78B8" w14:paraId="2E9598CC" w14:textId="77777777" w:rsidTr="00DB78B8">
        <w:trPr>
          <w:trHeight w:val="300"/>
          <w:jc w:val="center"/>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2CF750AD" w14:textId="5C89044F" w:rsidR="00DB78B8" w:rsidRPr="00DB78B8" w:rsidRDefault="00DB78B8" w:rsidP="00DB78B8">
            <w:pPr>
              <w:spacing w:after="0" w:line="240" w:lineRule="auto"/>
              <w:ind w:firstLine="0"/>
              <w:jc w:val="center"/>
              <w:rPr>
                <w:rFonts w:eastAsia="Times New Roman"/>
                <w:color w:val="000000"/>
              </w:rPr>
            </w:pPr>
            <w:r w:rsidRPr="0050040F">
              <w:rPr>
                <w:rFonts w:eastAsia="Times New Roman"/>
                <w:i/>
                <w:color w:val="000000"/>
              </w:rPr>
              <w:t>p</w:t>
            </w:r>
            <w:r>
              <w:rPr>
                <w:rFonts w:eastAsia="Times New Roman"/>
                <w:color w:val="000000"/>
              </w:rPr>
              <w:t xml:space="preserve"> (MP</w:t>
            </w:r>
            <w:r w:rsidRPr="00DB78B8">
              <w:rPr>
                <w:rFonts w:eastAsia="Times New Roman"/>
                <w:color w:val="000000"/>
              </w:rPr>
              <w:t>a)</w:t>
            </w:r>
          </w:p>
        </w:tc>
        <w:tc>
          <w:tcPr>
            <w:tcW w:w="2068" w:type="dxa"/>
            <w:tcBorders>
              <w:top w:val="nil"/>
              <w:left w:val="nil"/>
              <w:bottom w:val="single" w:sz="4" w:space="0" w:color="auto"/>
              <w:right w:val="single" w:sz="4" w:space="0" w:color="auto"/>
            </w:tcBorders>
            <w:shd w:val="clear" w:color="auto" w:fill="auto"/>
            <w:noWrap/>
            <w:vAlign w:val="center"/>
            <w:hideMark/>
          </w:tcPr>
          <w:p w14:paraId="26DEB8B8" w14:textId="77777777" w:rsidR="00DB78B8" w:rsidRPr="00DB78B8" w:rsidRDefault="00DB78B8" w:rsidP="00DB78B8">
            <w:pPr>
              <w:spacing w:after="0" w:line="240" w:lineRule="auto"/>
              <w:ind w:firstLine="0"/>
              <w:jc w:val="center"/>
              <w:rPr>
                <w:rFonts w:eastAsia="Times New Roman"/>
                <w:color w:val="000000"/>
              </w:rPr>
            </w:pPr>
            <w:r w:rsidRPr="00DB78B8">
              <w:rPr>
                <w:rFonts w:eastAsia="Times New Roman"/>
                <w:color w:val="000000"/>
              </w:rPr>
              <w:t>0.11 - 3.91</w:t>
            </w:r>
          </w:p>
        </w:tc>
        <w:tc>
          <w:tcPr>
            <w:tcW w:w="2159" w:type="dxa"/>
            <w:tcBorders>
              <w:top w:val="nil"/>
              <w:left w:val="nil"/>
              <w:bottom w:val="single" w:sz="4" w:space="0" w:color="auto"/>
              <w:right w:val="single" w:sz="4" w:space="0" w:color="auto"/>
            </w:tcBorders>
            <w:shd w:val="clear" w:color="auto" w:fill="auto"/>
            <w:noWrap/>
            <w:vAlign w:val="center"/>
            <w:hideMark/>
          </w:tcPr>
          <w:p w14:paraId="49612357" w14:textId="77777777" w:rsidR="00DB78B8" w:rsidRPr="00DB78B8" w:rsidRDefault="00DB78B8" w:rsidP="00DB78B8">
            <w:pPr>
              <w:spacing w:after="0" w:line="240" w:lineRule="auto"/>
              <w:ind w:firstLine="0"/>
              <w:jc w:val="center"/>
              <w:rPr>
                <w:rFonts w:eastAsia="Times New Roman"/>
                <w:color w:val="000000"/>
              </w:rPr>
            </w:pPr>
            <w:r w:rsidRPr="00DB78B8">
              <w:rPr>
                <w:rFonts w:eastAsia="Times New Roman"/>
                <w:color w:val="000000"/>
              </w:rPr>
              <w:t>2.51 - 3.17</w:t>
            </w:r>
          </w:p>
        </w:tc>
      </w:tr>
      <w:tr w:rsidR="00DB78B8" w:rsidRPr="00DB78B8" w14:paraId="7F08C1A6" w14:textId="77777777" w:rsidTr="00DB78B8">
        <w:trPr>
          <w:trHeight w:val="300"/>
          <w:jc w:val="center"/>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3C139BEE" w14:textId="519087F2" w:rsidR="00DB78B8" w:rsidRPr="00DB78B8" w:rsidRDefault="00DB78B8" w:rsidP="00DB78B8">
            <w:pPr>
              <w:spacing w:after="0" w:line="240" w:lineRule="auto"/>
              <w:ind w:firstLine="0"/>
              <w:jc w:val="center"/>
              <w:rPr>
                <w:rFonts w:eastAsia="Times New Roman"/>
                <w:color w:val="000000"/>
              </w:rPr>
            </w:pPr>
            <w:r w:rsidRPr="0050040F">
              <w:rPr>
                <w:rFonts w:eastAsia="Times New Roman"/>
                <w:i/>
                <w:color w:val="000000"/>
              </w:rPr>
              <w:t>L</w:t>
            </w:r>
            <w:r w:rsidRPr="0050040F">
              <w:rPr>
                <w:rFonts w:eastAsia="Times New Roman"/>
                <w:i/>
                <w:color w:val="000000"/>
                <w:vertAlign w:val="subscript"/>
              </w:rPr>
              <w:t>h</w:t>
            </w:r>
            <w:r w:rsidRPr="00DB78B8">
              <w:rPr>
                <w:rFonts w:eastAsia="Times New Roman"/>
                <w:color w:val="000000"/>
              </w:rPr>
              <w:t xml:space="preserve"> (cm)</w:t>
            </w:r>
          </w:p>
        </w:tc>
        <w:tc>
          <w:tcPr>
            <w:tcW w:w="2068" w:type="dxa"/>
            <w:tcBorders>
              <w:top w:val="nil"/>
              <w:left w:val="nil"/>
              <w:bottom w:val="single" w:sz="4" w:space="0" w:color="auto"/>
              <w:right w:val="single" w:sz="4" w:space="0" w:color="auto"/>
            </w:tcBorders>
            <w:shd w:val="clear" w:color="auto" w:fill="auto"/>
            <w:noWrap/>
            <w:vAlign w:val="center"/>
            <w:hideMark/>
          </w:tcPr>
          <w:p w14:paraId="5751E0C9" w14:textId="77777777" w:rsidR="00DB78B8" w:rsidRPr="00DB78B8" w:rsidRDefault="00DB78B8" w:rsidP="00DB78B8">
            <w:pPr>
              <w:spacing w:after="0" w:line="240" w:lineRule="auto"/>
              <w:ind w:firstLine="0"/>
              <w:jc w:val="center"/>
              <w:rPr>
                <w:rFonts w:eastAsia="Times New Roman"/>
                <w:color w:val="000000"/>
              </w:rPr>
            </w:pPr>
            <w:r w:rsidRPr="00DB78B8">
              <w:rPr>
                <w:rFonts w:eastAsia="Times New Roman"/>
                <w:color w:val="000000"/>
              </w:rPr>
              <w:t>30.5-45.7</w:t>
            </w:r>
          </w:p>
        </w:tc>
        <w:tc>
          <w:tcPr>
            <w:tcW w:w="2159" w:type="dxa"/>
            <w:tcBorders>
              <w:top w:val="nil"/>
              <w:left w:val="nil"/>
              <w:bottom w:val="single" w:sz="4" w:space="0" w:color="auto"/>
              <w:right w:val="single" w:sz="4" w:space="0" w:color="auto"/>
            </w:tcBorders>
            <w:shd w:val="clear" w:color="auto" w:fill="auto"/>
            <w:noWrap/>
            <w:vAlign w:val="center"/>
            <w:hideMark/>
          </w:tcPr>
          <w:p w14:paraId="7B296B5D" w14:textId="77777777" w:rsidR="00DB78B8" w:rsidRPr="00DB78B8" w:rsidRDefault="00DB78B8" w:rsidP="00DB78B8">
            <w:pPr>
              <w:spacing w:after="0" w:line="240" w:lineRule="auto"/>
              <w:ind w:firstLine="0"/>
              <w:jc w:val="center"/>
              <w:rPr>
                <w:rFonts w:eastAsia="Times New Roman"/>
                <w:color w:val="000000"/>
              </w:rPr>
            </w:pPr>
            <w:r w:rsidRPr="00DB78B8">
              <w:rPr>
                <w:rFonts w:eastAsia="Times New Roman"/>
                <w:color w:val="000000"/>
              </w:rPr>
              <w:t>50.8</w:t>
            </w:r>
          </w:p>
        </w:tc>
      </w:tr>
    </w:tbl>
    <w:p w14:paraId="5B4D3AF6" w14:textId="748E120B" w:rsidR="003F45FD" w:rsidRDefault="00DB78B8" w:rsidP="00F0508E">
      <w:pPr>
        <w:spacing w:before="720"/>
        <w:ind w:firstLine="274"/>
      </w:pPr>
      <w:r w:rsidRPr="00F0508E">
        <w:rPr>
          <w:rStyle w:val="NormalAfterTableChar"/>
        </w:rPr>
        <w:t>The only criteria in which nominal HFIR operating conditions fall outside of the experimentally</w:t>
      </w:r>
      <w:r>
        <w:t xml:space="preserve"> verified range is in the heated length.  But even then the disparity is only 10% of the maximum verified heated length.</w:t>
      </w:r>
    </w:p>
    <w:p w14:paraId="095734B3" w14:textId="07B006B1" w:rsidR="00DB78B8" w:rsidRDefault="00DB78B8" w:rsidP="002F11F9">
      <w:r>
        <w:t xml:space="preserve">The modified Hausen </w:t>
      </w:r>
      <w:r w:rsidR="000A2A64">
        <w:t xml:space="preserve">correlation </w:t>
      </w:r>
      <w:r>
        <w:t xml:space="preserve">provides a local heat transfer coefficient where the original </w:t>
      </w:r>
      <w:r w:rsidR="001C7C2B">
        <w:t>Hausen provides a mean value.  It can be derived by first assuming</w:t>
      </w:r>
      <w:r>
        <w:t xml:space="preserve"> that the mean value is the average of the local values</w:t>
      </w:r>
      <w:r w:rsidR="00AA617C">
        <w:t xml:space="preserve">, </w:t>
      </w:r>
      <w:r w:rsidR="00AA617C">
        <w:rPr>
          <w:i/>
        </w:rPr>
        <w:t>N</w:t>
      </w:r>
      <w:r w:rsidR="00AA617C">
        <w:rPr>
          <w:i/>
          <w:vertAlign w:val="subscript"/>
        </w:rPr>
        <w:t>bz</w:t>
      </w:r>
      <w:r w:rsidR="00AA617C">
        <w:t>,</w:t>
      </w:r>
      <w:r>
        <w:t xml:space="preserve"> for the entire heated length of the plate.  Thus</w:t>
      </w:r>
    </w:p>
    <w:p w14:paraId="01D23BBA" w14:textId="5100A3C3" w:rsidR="00DB78B8" w:rsidRDefault="00DB78B8" w:rsidP="00DB78B8">
      <w:pPr>
        <w:pStyle w:val="numberedeqnstyle"/>
      </w:pPr>
      <w:r w:rsidRPr="00A025AE">
        <w:lastRenderedPageBreak/>
        <w:tab/>
      </w:r>
      <w:r w:rsidR="000A2A64" w:rsidRPr="00DB78B8">
        <w:rPr>
          <w:position w:val="-56"/>
        </w:rPr>
        <w:object w:dxaOrig="2200" w:dyaOrig="1359" w14:anchorId="572A036C">
          <v:shape id="_x0000_i1174" type="#_x0000_t75" style="width:110.7pt;height:62.85pt" o:ole="">
            <v:imagedata r:id="rId339" o:title=""/>
          </v:shape>
          <o:OLEObject Type="Embed" ProgID="Equation.3" ShapeID="_x0000_i1174" DrawAspect="Content" ObjectID="_1457171825" r:id="rId340"/>
        </w:object>
      </w:r>
      <w:r w:rsidR="000A2A64">
        <w:t>.</w:t>
      </w:r>
      <w:r>
        <w:tab/>
      </w:r>
      <w:r>
        <w:fldChar w:fldCharType="begin"/>
      </w:r>
      <w:r>
        <w:instrText xml:space="preserve"> LISTNUM EQN \l 2 </w:instrText>
      </w:r>
      <w:r>
        <w:fldChar w:fldCharType="end"/>
      </w:r>
      <w:r>
        <w:t>)</w:t>
      </w:r>
    </w:p>
    <w:p w14:paraId="467E72C5" w14:textId="3B574B29" w:rsidR="00DB78B8" w:rsidRDefault="000A2A64" w:rsidP="002F11F9">
      <w:r>
        <w:t xml:space="preserve">The modified </w:t>
      </w:r>
      <w:r w:rsidR="007D45A2">
        <w:t>local Hausen correlation</w:t>
      </w:r>
      <w:r>
        <w:t xml:space="preserve"> can then be derived according to</w:t>
      </w:r>
    </w:p>
    <w:p w14:paraId="27ABA64E" w14:textId="71F7F861" w:rsidR="000A2A64" w:rsidRDefault="000A2A64" w:rsidP="000A2A64">
      <w:pPr>
        <w:pStyle w:val="numberedeqnstyle"/>
      </w:pPr>
      <w:r w:rsidRPr="00A025AE">
        <w:tab/>
      </w:r>
      <w:r w:rsidRPr="000A2A64">
        <w:rPr>
          <w:position w:val="-64"/>
        </w:rPr>
        <w:object w:dxaOrig="2120" w:dyaOrig="1440" w14:anchorId="712EB391">
          <v:shape id="_x0000_i1175" type="#_x0000_t75" style="width:106.4pt;height:67.15pt" o:ole="">
            <v:imagedata r:id="rId341" o:title=""/>
          </v:shape>
          <o:OLEObject Type="Embed" ProgID="Equation.3" ShapeID="_x0000_i1175" DrawAspect="Content" ObjectID="_1457171826" r:id="rId342"/>
        </w:object>
      </w:r>
      <w:r>
        <w:t>.</w:t>
      </w:r>
      <w:r>
        <w:tab/>
      </w:r>
      <w:r>
        <w:fldChar w:fldCharType="begin"/>
      </w:r>
      <w:r>
        <w:instrText xml:space="preserve"> LISTNUM EQN \l 2 </w:instrText>
      </w:r>
      <w:r>
        <w:fldChar w:fldCharType="end"/>
      </w:r>
      <w:r>
        <w:t>)</w:t>
      </w:r>
    </w:p>
    <w:p w14:paraId="0C50C3E7" w14:textId="44E9FBB8" w:rsidR="000A2A64" w:rsidRDefault="000A2A64" w:rsidP="002F11F9">
      <w:r>
        <w:t xml:space="preserve">If Eqn. </w:t>
      </w:r>
      <w:r>
        <w:fldChar w:fldCharType="begin"/>
      </w:r>
      <w:r>
        <w:instrText xml:space="preserve"> REF _Ref380764408 \r \h </w:instrText>
      </w:r>
      <w:r>
        <w:fldChar w:fldCharType="separate"/>
      </w:r>
      <w:r w:rsidR="001C5EC1">
        <w:t>(6.22</w:t>
      </w:r>
      <w:r>
        <w:fldChar w:fldCharType="end"/>
      </w:r>
      <w:r>
        <w:t>) is represented</w:t>
      </w:r>
    </w:p>
    <w:p w14:paraId="03606DD7" w14:textId="77777777" w:rsidR="000A2A64" w:rsidRDefault="000A2A64" w:rsidP="000A2A64">
      <w:pPr>
        <w:pStyle w:val="numberedeqnstyle"/>
      </w:pPr>
      <w:r w:rsidRPr="00A025AE">
        <w:tab/>
      </w:r>
      <w:r w:rsidRPr="000A2A64">
        <w:rPr>
          <w:position w:val="-34"/>
        </w:rPr>
        <w:object w:dxaOrig="2260" w:dyaOrig="800" w14:anchorId="217E3FC0">
          <v:shape id="_x0000_i1176" type="#_x0000_t75" style="width:113.9pt;height:36.55pt" o:ole="">
            <v:imagedata r:id="rId343" o:title=""/>
          </v:shape>
          <o:OLEObject Type="Embed" ProgID="Equation.3" ShapeID="_x0000_i1176" DrawAspect="Content" ObjectID="_1457171827" r:id="rId344"/>
        </w:object>
      </w:r>
      <w:r>
        <w:tab/>
      </w:r>
      <w:r>
        <w:fldChar w:fldCharType="begin"/>
      </w:r>
      <w:r>
        <w:instrText xml:space="preserve"> LISTNUM EQN \l 2 </w:instrText>
      </w:r>
      <w:r>
        <w:fldChar w:fldCharType="end"/>
      </w:r>
      <w:r>
        <w:t>)</w:t>
      </w:r>
    </w:p>
    <w:p w14:paraId="6044A7E6" w14:textId="46718F37" w:rsidR="000A2A64" w:rsidRDefault="000A2A64" w:rsidP="000A2A64">
      <w:pPr>
        <w:ind w:firstLine="0"/>
      </w:pPr>
      <w:r>
        <w:t>then the derivative becomes</w:t>
      </w:r>
    </w:p>
    <w:p w14:paraId="71ED51F0" w14:textId="73F898CF" w:rsidR="000A2A64" w:rsidRDefault="000A2A64" w:rsidP="000A2A64">
      <w:pPr>
        <w:pStyle w:val="numberedeqnstyle"/>
      </w:pPr>
      <w:r w:rsidRPr="00A025AE">
        <w:tab/>
      </w:r>
      <w:r w:rsidRPr="000A2A64">
        <w:rPr>
          <w:position w:val="-64"/>
        </w:rPr>
        <w:object w:dxaOrig="3140" w:dyaOrig="1520" w14:anchorId="7E53DA5E">
          <v:shape id="_x0000_i1177" type="#_x0000_t75" style="width:158.5pt;height:70.95pt" o:ole="">
            <v:imagedata r:id="rId345" o:title=""/>
          </v:shape>
          <o:OLEObject Type="Embed" ProgID="Equation.3" ShapeID="_x0000_i1177" DrawAspect="Content" ObjectID="_1457171828" r:id="rId346"/>
        </w:object>
      </w:r>
      <w:r>
        <w:t>.</w:t>
      </w:r>
      <w:r>
        <w:tab/>
      </w:r>
      <w:r>
        <w:fldChar w:fldCharType="begin"/>
      </w:r>
      <w:r>
        <w:instrText xml:space="preserve"> LISTNUM EQN \l 2 </w:instrText>
      </w:r>
      <w:r>
        <w:fldChar w:fldCharType="end"/>
      </w:r>
      <w:r>
        <w:t>)</w:t>
      </w:r>
    </w:p>
    <w:p w14:paraId="513DAF0E" w14:textId="755014B2" w:rsidR="000A2A64" w:rsidRPr="000A2A64" w:rsidRDefault="000A2A64" w:rsidP="000A2A64">
      <w:r>
        <w:t>Multiplying through:</w:t>
      </w:r>
    </w:p>
    <w:p w14:paraId="716F3771" w14:textId="1C36DC0A" w:rsidR="000A2A64" w:rsidRDefault="000A2A64" w:rsidP="000A2A64">
      <w:pPr>
        <w:pStyle w:val="numberedeqnstyle"/>
      </w:pPr>
      <w:r w:rsidRPr="00A025AE">
        <w:tab/>
      </w:r>
      <w:r w:rsidRPr="000A2A64">
        <w:rPr>
          <w:position w:val="-64"/>
        </w:rPr>
        <w:object w:dxaOrig="2820" w:dyaOrig="1579" w14:anchorId="3550A24D">
          <v:shape id="_x0000_i1178" type="#_x0000_t75" style="width:142.95pt;height:72.55pt" o:ole="">
            <v:imagedata r:id="rId347" o:title=""/>
          </v:shape>
          <o:OLEObject Type="Embed" ProgID="Equation.3" ShapeID="_x0000_i1178" DrawAspect="Content" ObjectID="_1457171829" r:id="rId348"/>
        </w:object>
      </w:r>
      <w:r>
        <w:tab/>
      </w:r>
      <w:r>
        <w:fldChar w:fldCharType="begin"/>
      </w:r>
      <w:r>
        <w:instrText xml:space="preserve"> LISTNUM EQN \l 2 </w:instrText>
      </w:r>
      <w:r>
        <w:fldChar w:fldCharType="end"/>
      </w:r>
      <w:r>
        <w:t>)</w:t>
      </w:r>
    </w:p>
    <w:p w14:paraId="518D2D08" w14:textId="2CF8EAEA" w:rsidR="00BF0867" w:rsidRDefault="000A2A64" w:rsidP="000A2A64">
      <w:pPr>
        <w:pStyle w:val="BodyText1"/>
        <w:ind w:firstLine="0"/>
        <w:rPr>
          <w:sz w:val="22"/>
          <w:szCs w:val="22"/>
        </w:rPr>
      </w:pPr>
      <w:r>
        <w:rPr>
          <w:sz w:val="22"/>
          <w:szCs w:val="22"/>
        </w:rPr>
        <w:t>and differentiating yields</w:t>
      </w:r>
    </w:p>
    <w:p w14:paraId="6B761B0E" w14:textId="77777777" w:rsidR="000A2A64" w:rsidRPr="00BF0867" w:rsidRDefault="000A2A64" w:rsidP="000A2A64">
      <w:pPr>
        <w:pStyle w:val="BodyText1"/>
        <w:ind w:firstLine="0"/>
        <w:rPr>
          <w:sz w:val="22"/>
          <w:szCs w:val="22"/>
        </w:rPr>
      </w:pPr>
    </w:p>
    <w:p w14:paraId="69EA2DF9" w14:textId="5D200FBB" w:rsidR="000A2A64" w:rsidRDefault="000A2A64" w:rsidP="000A2A64">
      <w:pPr>
        <w:pStyle w:val="numberedeqnstyle"/>
      </w:pPr>
      <w:r w:rsidRPr="00A025AE">
        <w:tab/>
      </w:r>
      <w:r w:rsidRPr="000A2A64">
        <w:rPr>
          <w:position w:val="-34"/>
        </w:rPr>
        <w:object w:dxaOrig="2380" w:dyaOrig="800" w14:anchorId="09D5CB70">
          <v:shape id="_x0000_i1179" type="#_x0000_t75" style="width:120.35pt;height:36.55pt" o:ole="">
            <v:imagedata r:id="rId349" o:title=""/>
          </v:shape>
          <o:OLEObject Type="Embed" ProgID="Equation.3" ShapeID="_x0000_i1179" DrawAspect="Content" ObjectID="_1457171830" r:id="rId350"/>
        </w:object>
      </w:r>
      <w:r>
        <w:t>.</w:t>
      </w:r>
      <w:r>
        <w:tab/>
      </w:r>
      <w:r>
        <w:fldChar w:fldCharType="begin"/>
      </w:r>
      <w:r>
        <w:instrText xml:space="preserve"> LISTNUM EQN \l 2 </w:instrText>
      </w:r>
      <w:r>
        <w:fldChar w:fldCharType="end"/>
      </w:r>
      <w:r>
        <w:t>)</w:t>
      </w:r>
    </w:p>
    <w:p w14:paraId="3208710B" w14:textId="14016D6C" w:rsidR="000A2A64" w:rsidRDefault="000A2A64" w:rsidP="000A2A64">
      <w:r>
        <w:t>The final form of the modified Hausen correlation is</w:t>
      </w:r>
    </w:p>
    <w:p w14:paraId="1E8E8946" w14:textId="47BF45B9" w:rsidR="000A2A64" w:rsidRDefault="000A2A64" w:rsidP="000A2A64">
      <w:pPr>
        <w:pStyle w:val="numberedeqnstyle"/>
      </w:pPr>
      <w:r w:rsidRPr="00A025AE">
        <w:lastRenderedPageBreak/>
        <w:tab/>
      </w:r>
      <w:r w:rsidR="001E0416" w:rsidRPr="001E0416">
        <w:rPr>
          <w:position w:val="-34"/>
        </w:rPr>
        <w:object w:dxaOrig="5020" w:dyaOrig="800" w14:anchorId="13E6F696">
          <v:shape id="_x0000_i1180" type="#_x0000_t75" style="width:252.55pt;height:36.55pt" o:ole="">
            <v:imagedata r:id="rId351" o:title=""/>
          </v:shape>
          <o:OLEObject Type="Embed" ProgID="Equation.3" ShapeID="_x0000_i1180" DrawAspect="Content" ObjectID="_1457171831" r:id="rId352"/>
        </w:object>
      </w:r>
      <w:r>
        <w:tab/>
      </w:r>
      <w:r>
        <w:fldChar w:fldCharType="begin"/>
      </w:r>
      <w:bookmarkStart w:id="236" w:name="_Ref381005908"/>
      <w:bookmarkEnd w:id="236"/>
      <w:r>
        <w:instrText xml:space="preserve"> LISTNUM EQN \l 2 </w:instrText>
      </w:r>
      <w:r>
        <w:fldChar w:fldCharType="end"/>
      </w:r>
      <w:r>
        <w:t>)</w:t>
      </w:r>
    </w:p>
    <w:p w14:paraId="424C40F7" w14:textId="5DEAFD27" w:rsidR="000A2A64" w:rsidRDefault="00984DF0" w:rsidP="00984DF0">
      <w:pPr>
        <w:pStyle w:val="numberedeqnstyle"/>
        <w:ind w:firstLine="0"/>
      </w:pPr>
      <w:r>
        <w:t xml:space="preserve">where </w:t>
      </w:r>
      <w:r>
        <w:rPr>
          <w:i/>
        </w:rPr>
        <w:t>D</w:t>
      </w:r>
      <w:r>
        <w:rPr>
          <w:i/>
          <w:vertAlign w:val="subscript"/>
        </w:rPr>
        <w:t>h</w:t>
      </w:r>
      <w:r>
        <w:t xml:space="preserve"> is the hydraulic diameter of the full 3D coolant channel, not the channel width of the 2D coolant slice.  </w:t>
      </w:r>
      <w:r w:rsidR="00AF2829">
        <w:t xml:space="preserve">The modified form is very similar to the original form.  The only two </w:t>
      </w:r>
      <w:r w:rsidR="00D01A1B">
        <w:t>alterations</w:t>
      </w:r>
      <w:r w:rsidR="00AF2829">
        <w:t xml:space="preserve"> are the addition of a 1/3 coefficient on the last term and a subscript </w:t>
      </w:r>
      <w:r w:rsidR="00AF2829">
        <w:rPr>
          <w:i/>
        </w:rPr>
        <w:t>z</w:t>
      </w:r>
      <w:r w:rsidR="00AF2829">
        <w:t xml:space="preserve"> on every flow variable to deno</w:t>
      </w:r>
      <w:r w:rsidR="009E05A1">
        <w:t>te that it is now a local value rather than a mean axial value.</w:t>
      </w:r>
      <w:r w:rsidR="00B65B93">
        <w:t xml:space="preserve">  Values for Pr</w:t>
      </w:r>
      <w:r w:rsidR="00B65B93">
        <w:rPr>
          <w:i/>
          <w:vertAlign w:val="subscript"/>
        </w:rPr>
        <w:t>bz</w:t>
      </w:r>
      <w:r w:rsidR="00B65B93">
        <w:t xml:space="preserve"> and </w:t>
      </w:r>
      <w:r w:rsidR="00B65B93" w:rsidRPr="00B65B93">
        <w:rPr>
          <w:i/>
        </w:rPr>
        <w:t>μ</w:t>
      </w:r>
      <w:r w:rsidR="00B65B93">
        <w:rPr>
          <w:i/>
          <w:vertAlign w:val="subscript"/>
        </w:rPr>
        <w:t>bz</w:t>
      </w:r>
      <w:r w:rsidR="00B65B93">
        <w:t xml:space="preserve"> are </w:t>
      </w:r>
      <w:r w:rsidR="00BB4FCA">
        <w:t>provided directly from the coupled variables for both.</w:t>
      </w:r>
      <w:r w:rsidR="00B65B93">
        <w:t xml:space="preserve">  Values for Re</w:t>
      </w:r>
      <w:r w:rsidR="00B65B93">
        <w:rPr>
          <w:i/>
          <w:vertAlign w:val="subscript"/>
        </w:rPr>
        <w:t>bz</w:t>
      </w:r>
      <w:r w:rsidR="00B65B93">
        <w:rPr>
          <w:vertAlign w:val="subscript"/>
        </w:rPr>
        <w:softHyphen/>
      </w:r>
      <w:r w:rsidR="00B65B93">
        <w:t xml:space="preserve"> are calculated using coupled values for </w:t>
      </w:r>
      <w:r w:rsidR="00B65B93">
        <w:rPr>
          <w:i/>
        </w:rPr>
        <w:t>ρ</w:t>
      </w:r>
      <w:r w:rsidR="00B65B93">
        <w:rPr>
          <w:i/>
          <w:vertAlign w:val="subscript"/>
        </w:rPr>
        <w:t>bz</w:t>
      </w:r>
      <w:r w:rsidR="00B65B93">
        <w:t xml:space="preserve"> and </w:t>
      </w:r>
      <w:r w:rsidR="00B65B93">
        <w:rPr>
          <w:i/>
        </w:rPr>
        <w:t>μ</w:t>
      </w:r>
      <w:r w:rsidR="00B65B93">
        <w:rPr>
          <w:i/>
          <w:vertAlign w:val="subscript"/>
        </w:rPr>
        <w:t>bz</w:t>
      </w:r>
      <w:r w:rsidR="00B65B93">
        <w:t xml:space="preserve"> according to</w:t>
      </w:r>
    </w:p>
    <w:p w14:paraId="5AD0DF8C" w14:textId="027B476A" w:rsidR="00B65B93" w:rsidRPr="00AF2829" w:rsidRDefault="00B65B93" w:rsidP="000A2A64">
      <w:pPr>
        <w:pStyle w:val="numberedeqnstyle"/>
      </w:pPr>
      <w:r w:rsidRPr="00A025AE">
        <w:tab/>
      </w:r>
      <w:r w:rsidRPr="00B65B93">
        <w:rPr>
          <w:position w:val="-28"/>
        </w:rPr>
        <w:object w:dxaOrig="1600" w:dyaOrig="639" w14:anchorId="42EAF9C6">
          <v:shape id="_x0000_i1181" type="#_x0000_t75" style="width:81.15pt;height:29pt" o:ole="">
            <v:imagedata r:id="rId353" o:title=""/>
          </v:shape>
          <o:OLEObject Type="Embed" ProgID="Equation.3" ShapeID="_x0000_i1181" DrawAspect="Content" ObjectID="_1457171832" r:id="rId354"/>
        </w:object>
      </w:r>
      <w:r>
        <w:tab/>
      </w:r>
      <w:r>
        <w:fldChar w:fldCharType="begin"/>
      </w:r>
      <w:r>
        <w:instrText xml:space="preserve"> LISTNUM EQN \l 2 </w:instrText>
      </w:r>
      <w:r>
        <w:fldChar w:fldCharType="end"/>
      </w:r>
      <w:r>
        <w:t>)</w:t>
      </w:r>
    </w:p>
    <w:p w14:paraId="1BF9D1FC" w14:textId="38FA80D1" w:rsidR="00EA38D2" w:rsidRPr="00AF2829" w:rsidRDefault="00B65B93" w:rsidP="00883337">
      <w:r>
        <w:t xml:space="preserve">where </w:t>
      </w:r>
      <w:r>
        <w:rPr>
          <w:i/>
        </w:rPr>
        <w:t>u</w:t>
      </w:r>
      <w:r>
        <w:rPr>
          <w:i/>
          <w:vertAlign w:val="subscript"/>
        </w:rPr>
        <w:t>bm</w:t>
      </w:r>
      <w:r>
        <w:t xml:space="preserve"> is bulk, mean axial velocity.</w:t>
      </w:r>
      <w:r w:rsidR="00883337">
        <w:t xml:space="preserve">  M</w:t>
      </w:r>
      <w:r w:rsidR="00B53E55">
        <w:t>ean axial vel</w:t>
      </w:r>
      <w:r w:rsidR="00883337">
        <w:t>ocity is</w:t>
      </w:r>
      <w:r w:rsidR="00B53E55">
        <w:t xml:space="preserve"> used, in lieu of an axially-dependent velocity, because the convective boundary condition requires a constant value for the external flow </w:t>
      </w:r>
      <w:r w:rsidR="009715D5">
        <w:t>magnitude</w:t>
      </w:r>
      <w:r w:rsidR="00B53E55">
        <w:t>.</w:t>
      </w:r>
      <w:r>
        <w:t xml:space="preserve">  Attempts to input velocity as a function of </w:t>
      </w:r>
      <w:r>
        <w:rPr>
          <w:i/>
        </w:rPr>
        <w:t>z</w:t>
      </w:r>
      <w:r w:rsidR="001A3CCD">
        <w:t xml:space="preserve"> fail</w:t>
      </w:r>
      <w:r w:rsidR="00B53E55">
        <w:t>ed after a single iteration.</w:t>
      </w:r>
      <w:r w:rsidR="00D90C8B">
        <w:t xml:space="preserve">  While an axially-dependent bulk fl</w:t>
      </w:r>
      <w:r w:rsidR="00883337">
        <w:t>ow velocity would be able</w:t>
      </w:r>
      <w:r w:rsidR="00D90C8B">
        <w:t xml:space="preserve"> to account for developing flow in the hydrodynamic entrance </w:t>
      </w:r>
      <w:r w:rsidR="00883337">
        <w:t>region, its exclusion is</w:t>
      </w:r>
      <w:r w:rsidR="00D90C8B">
        <w:t xml:space="preserve"> </w:t>
      </w:r>
      <w:r w:rsidR="009E3940">
        <w:t>required</w:t>
      </w:r>
      <w:r w:rsidR="00D90C8B">
        <w:t xml:space="preserve"> by the code itself.</w:t>
      </w:r>
      <w:r w:rsidR="009E3940">
        <w:t xml:space="preserve">  </w:t>
      </w:r>
      <w:r w:rsidR="00CC10C2">
        <w:t xml:space="preserve">As would be expected for such a high aspect ratio channel, the hydrodynamic entrance region turns out to be very small, as will be shown in Section </w:t>
      </w:r>
      <w:r w:rsidR="00CC10C2">
        <w:fldChar w:fldCharType="begin"/>
      </w:r>
      <w:r w:rsidR="00CC10C2">
        <w:instrText xml:space="preserve"> REF _Ref381189502 \r \h </w:instrText>
      </w:r>
      <w:r w:rsidR="00CC10C2">
        <w:fldChar w:fldCharType="separate"/>
      </w:r>
      <w:r w:rsidR="001C5EC1">
        <w:t>VII</w:t>
      </w:r>
      <w:r w:rsidR="00CC10C2">
        <w:fldChar w:fldCharType="end"/>
      </w:r>
      <w:r w:rsidR="00CC10C2">
        <w:t xml:space="preserve">.  </w:t>
      </w:r>
      <w:r w:rsidR="009E3940">
        <w:t xml:space="preserve">Given this necessary simplification, </w:t>
      </w:r>
      <w:r w:rsidR="009E3940">
        <w:rPr>
          <w:i/>
        </w:rPr>
        <w:t>u</w:t>
      </w:r>
      <w:r w:rsidR="009E3940">
        <w:rPr>
          <w:i/>
          <w:vertAlign w:val="subscript"/>
        </w:rPr>
        <w:t>bm</w:t>
      </w:r>
      <w:r w:rsidR="009E3940">
        <w:t xml:space="preserve"> was set to twice the inlet velocity.</w:t>
      </w:r>
      <w:r w:rsidR="00883337">
        <w:t xml:space="preserve">  </w:t>
      </w:r>
      <w:r w:rsidR="00EA38D2">
        <w:t xml:space="preserve">The wall viscosity, </w:t>
      </w:r>
      <w:r w:rsidR="00EA38D2">
        <w:rPr>
          <w:i/>
        </w:rPr>
        <w:t>μ</w:t>
      </w:r>
      <w:r w:rsidR="00EA38D2">
        <w:rPr>
          <w:i/>
          <w:vertAlign w:val="subscript"/>
        </w:rPr>
        <w:t>wz</w:t>
      </w:r>
      <w:r w:rsidR="00EA38D2">
        <w:t xml:space="preserve">, is </w:t>
      </w:r>
      <w:r w:rsidR="00883337">
        <w:t>calculated based on wall-adjacent flow conditions.</w:t>
      </w:r>
    </w:p>
    <w:p w14:paraId="44B92F86" w14:textId="032BB620" w:rsidR="004E5DA5" w:rsidRDefault="00C465AB" w:rsidP="00AE5FFF">
      <w:r>
        <w:t xml:space="preserve">A key </w:t>
      </w:r>
      <w:r w:rsidR="00C217F8">
        <w:t xml:space="preserve">component in the successful implementation of the interdimensional model coupling mechanism </w:t>
      </w:r>
      <w:r w:rsidR="00883337">
        <w:t>is</w:t>
      </w:r>
      <w:r w:rsidR="00C217F8">
        <w:t xml:space="preserve"> the exclusion of all of the coupling variables from the Jacobian solution matrix.</w:t>
      </w:r>
      <w:r w:rsidR="004E5DA5">
        <w:t xml:space="preserve">  Doing so minimizes the additional computational cost associated with the creation of the coupling variables.  Failure to do so on coarse mesh simulations increases the computation time by more than a factor of 2.  Finer meshes necessary to accurately capture the governing physics </w:t>
      </w:r>
      <w:r w:rsidR="00883337">
        <w:t>are rendered insolvable</w:t>
      </w:r>
      <w:r w:rsidR="004E5DA5">
        <w:t xml:space="preserve"> due to insufficient memory resources.  Without the exclusion of coupling variables from the Jacobian a</w:t>
      </w:r>
      <w:r w:rsidR="00B07BCF">
        <w:t xml:space="preserve"> mesh-converged solution would not be possible</w:t>
      </w:r>
      <w:r w:rsidR="004E5DA5">
        <w:t xml:space="preserve">.  The exclusion of any model variable can be forced through the use of a </w:t>
      </w:r>
      <w:r w:rsidR="004E5DA5">
        <w:rPr>
          <w:i/>
        </w:rPr>
        <w:t>nojac</w:t>
      </w:r>
      <w:r w:rsidR="00991C69">
        <w:t xml:space="preserve"> operator in its definition</w:t>
      </w:r>
      <w:r w:rsidR="004E5DA5">
        <w:t xml:space="preserve">.  As would be expected, the </w:t>
      </w:r>
      <w:r w:rsidR="00AE5FFF">
        <w:t>loss of such information in the Jacobian can lead to solution instabilities, someti</w:t>
      </w:r>
      <w:r w:rsidR="00991C69">
        <w:t>mes very severe.  This</w:t>
      </w:r>
      <w:r w:rsidR="00AE5FFF">
        <w:t xml:space="preserve"> </w:t>
      </w:r>
      <w:r w:rsidR="00991C69">
        <w:t>is</w:t>
      </w:r>
      <w:r w:rsidR="00AE5FFF">
        <w:t xml:space="preserve"> not an issue with the coupled model given the nature of the couplin</w:t>
      </w:r>
      <w:r w:rsidR="00991C69">
        <w:t>g variables in which they serve</w:t>
      </w:r>
      <w:r w:rsidR="00AE5FFF">
        <w:t xml:space="preserve"> only as adaptive boundary conditions with which to drive internal domain solutions.</w:t>
      </w:r>
    </w:p>
    <w:p w14:paraId="748502B8" w14:textId="304C8DAB" w:rsidR="00A616BD" w:rsidRDefault="00397E23" w:rsidP="00EA38D2">
      <w:r>
        <w:t>Th</w:t>
      </w:r>
      <w:r w:rsidR="00A616BD">
        <w:t xml:space="preserve">e implementation of both </w:t>
      </w:r>
      <w:r>
        <w:t xml:space="preserve">coupling mechanisms creates a looped dependency between </w:t>
      </w:r>
      <w:r w:rsidR="00A616BD">
        <w:t xml:space="preserve">the models which, like the solutions of the internal domains, can converge to an equilibrium value through an iterative process.  The complete coupling loop is shown in Fig. </w:t>
      </w:r>
      <w:r w:rsidR="007D6D70">
        <w:fldChar w:fldCharType="begin"/>
      </w:r>
      <w:r w:rsidR="007D6D70">
        <w:instrText xml:space="preserve"> REF _Ref381185745 \r \h </w:instrText>
      </w:r>
      <w:r w:rsidR="007D6D70">
        <w:fldChar w:fldCharType="separate"/>
      </w:r>
      <w:r w:rsidR="001C5EC1">
        <w:t>6.10</w:t>
      </w:r>
      <w:r w:rsidR="007D6D70">
        <w:fldChar w:fldCharType="end"/>
      </w:r>
      <w:r w:rsidR="00A616BD">
        <w:t>.</w:t>
      </w:r>
    </w:p>
    <w:p w14:paraId="28CB51A9" w14:textId="7B2DD8ED" w:rsidR="00B4480E" w:rsidRDefault="00A616BD" w:rsidP="00A616BD">
      <w:pPr>
        <w:pStyle w:val="PictureSytel"/>
      </w:pPr>
      <w:r>
        <w:lastRenderedPageBreak/>
        <w:t xml:space="preserve"> </w:t>
      </w:r>
      <w:r>
        <w:rPr>
          <w:noProof/>
        </w:rPr>
        <w:drawing>
          <wp:inline distT="0" distB="0" distL="0" distR="0" wp14:anchorId="28E7FED9" wp14:editId="1814ED94">
            <wp:extent cx="5063579" cy="2656936"/>
            <wp:effectExtent l="19050" t="19050" r="22860" b="1016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pling Loop.png"/>
                    <pic:cNvPicPr/>
                  </pic:nvPicPr>
                  <pic:blipFill>
                    <a:blip r:embed="rId355">
                      <a:extLst>
                        <a:ext uri="{28A0092B-C50C-407E-A947-70E740481C1C}">
                          <a14:useLocalDpi xmlns:a14="http://schemas.microsoft.com/office/drawing/2010/main" val="0"/>
                        </a:ext>
                      </a:extLst>
                    </a:blip>
                    <a:stretch>
                      <a:fillRect/>
                    </a:stretch>
                  </pic:blipFill>
                  <pic:spPr>
                    <a:xfrm>
                      <a:off x="0" y="0"/>
                      <a:ext cx="5065870" cy="2658138"/>
                    </a:xfrm>
                    <a:prstGeom prst="rect">
                      <a:avLst/>
                    </a:prstGeom>
                    <a:ln>
                      <a:solidFill>
                        <a:schemeClr val="tx1"/>
                      </a:solidFill>
                    </a:ln>
                  </pic:spPr>
                </pic:pic>
              </a:graphicData>
            </a:graphic>
          </wp:inline>
        </w:drawing>
      </w:r>
    </w:p>
    <w:p w14:paraId="1F4A2A09" w14:textId="75FC9AE5" w:rsidR="00A616BD" w:rsidRDefault="00A616BD" w:rsidP="00A616BD">
      <w:pPr>
        <w:pStyle w:val="FigTitleStyle"/>
      </w:pPr>
      <w:bookmarkStart w:id="237" w:name="_Toc382920280"/>
      <w:r w:rsidRPr="00F348D2">
        <w:t xml:space="preserve">Fig. </w:t>
      </w:r>
      <w:r w:rsidRPr="00F348D2">
        <w:fldChar w:fldCharType="begin"/>
      </w:r>
      <w:bookmarkStart w:id="238" w:name="_Ref381185745"/>
      <w:bookmarkEnd w:id="238"/>
      <w:r w:rsidRPr="00F348D2">
        <w:instrText xml:space="preserve"> LISTNUM FIG \l 2 </w:instrText>
      </w:r>
      <w:r w:rsidRPr="00F348D2">
        <w:fldChar w:fldCharType="end"/>
      </w:r>
      <w:r w:rsidRPr="00F348D2">
        <w:t xml:space="preserve">.  </w:t>
      </w:r>
      <w:r>
        <w:t xml:space="preserve">Model Coupling Interdependency Loop.  </w:t>
      </w:r>
      <w:r>
        <w:rPr>
          <w:b w:val="0"/>
        </w:rPr>
        <w:t>Flow is in the +</w:t>
      </w:r>
      <w:r>
        <w:rPr>
          <w:b w:val="0"/>
          <w:i/>
        </w:rPr>
        <w:t>z-</w:t>
      </w:r>
      <w:r>
        <w:rPr>
          <w:b w:val="0"/>
        </w:rPr>
        <w:t>direction.</w:t>
      </w:r>
      <w:bookmarkEnd w:id="237"/>
    </w:p>
    <w:p w14:paraId="73FFCF66" w14:textId="7CFCFCA0" w:rsidR="00EA38D2" w:rsidRDefault="00767168" w:rsidP="00EA38D2">
      <w:r>
        <w:t xml:space="preserve">The full iterative solution process implemented in the coupled model is shown in Fig. </w:t>
      </w:r>
      <w:r w:rsidR="00C465AB">
        <w:fldChar w:fldCharType="begin"/>
      </w:r>
      <w:r w:rsidR="00C465AB">
        <w:instrText xml:space="preserve"> REF _Ref381101656 \r \h </w:instrText>
      </w:r>
      <w:r w:rsidR="00C465AB">
        <w:fldChar w:fldCharType="separate"/>
      </w:r>
      <w:r w:rsidR="001C5EC1">
        <w:t>6.11</w:t>
      </w:r>
      <w:r w:rsidR="00C465AB">
        <w:fldChar w:fldCharType="end"/>
      </w:r>
      <w:r>
        <w:t>.</w:t>
      </w:r>
    </w:p>
    <w:p w14:paraId="085FDECD" w14:textId="68E3C00C" w:rsidR="00767168" w:rsidRDefault="00C465AB" w:rsidP="00C465AB">
      <w:pPr>
        <w:pStyle w:val="PictureSytel"/>
      </w:pPr>
      <w:r>
        <w:rPr>
          <w:noProof/>
        </w:rPr>
        <w:lastRenderedPageBreak/>
        <w:drawing>
          <wp:inline distT="0" distB="0" distL="0" distR="0" wp14:anchorId="044B75F0" wp14:editId="1E4B0804">
            <wp:extent cx="5000590" cy="5635814"/>
            <wp:effectExtent l="19050" t="19050" r="10160" b="222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ution Process Flow Chart.png"/>
                    <pic:cNvPicPr/>
                  </pic:nvPicPr>
                  <pic:blipFill>
                    <a:blip r:embed="rId356">
                      <a:extLst>
                        <a:ext uri="{28A0092B-C50C-407E-A947-70E740481C1C}">
                          <a14:useLocalDpi xmlns:a14="http://schemas.microsoft.com/office/drawing/2010/main" val="0"/>
                        </a:ext>
                      </a:extLst>
                    </a:blip>
                    <a:stretch>
                      <a:fillRect/>
                    </a:stretch>
                  </pic:blipFill>
                  <pic:spPr>
                    <a:xfrm>
                      <a:off x="0" y="0"/>
                      <a:ext cx="5004842" cy="5640606"/>
                    </a:xfrm>
                    <a:prstGeom prst="rect">
                      <a:avLst/>
                    </a:prstGeom>
                    <a:ln>
                      <a:solidFill>
                        <a:schemeClr val="tx1"/>
                      </a:solidFill>
                    </a:ln>
                  </pic:spPr>
                </pic:pic>
              </a:graphicData>
            </a:graphic>
          </wp:inline>
        </w:drawing>
      </w:r>
    </w:p>
    <w:p w14:paraId="51BF12D0" w14:textId="5C251740" w:rsidR="00BF0867" w:rsidRDefault="00C465AB" w:rsidP="00420AD4">
      <w:pPr>
        <w:pStyle w:val="FigTitleStyle"/>
      </w:pPr>
      <w:bookmarkStart w:id="239" w:name="_Toc382920281"/>
      <w:r w:rsidRPr="00F348D2">
        <w:t xml:space="preserve">Fig. </w:t>
      </w:r>
      <w:r w:rsidRPr="00F348D2">
        <w:fldChar w:fldCharType="begin"/>
      </w:r>
      <w:bookmarkStart w:id="240" w:name="_Ref381101656"/>
      <w:bookmarkEnd w:id="240"/>
      <w:r w:rsidRPr="00F348D2">
        <w:instrText xml:space="preserve"> LISTNUM FIG \l 2 </w:instrText>
      </w:r>
      <w:r w:rsidRPr="00F348D2">
        <w:fldChar w:fldCharType="end"/>
      </w:r>
      <w:r w:rsidRPr="00F348D2">
        <w:t xml:space="preserve">.  </w:t>
      </w:r>
      <w:r>
        <w:t>Coupled Model Solutio</w:t>
      </w:r>
      <w:r w:rsidR="00420AD4">
        <w:t>n Process Flow Chart.</w:t>
      </w:r>
      <w:bookmarkEnd w:id="239"/>
    </w:p>
    <w:p w14:paraId="3F2905B7" w14:textId="5E7871FA" w:rsidR="00357791" w:rsidRDefault="00357791" w:rsidP="00357791">
      <w:pPr>
        <w:pStyle w:val="Heading2"/>
        <w:ind w:left="1440" w:hanging="1440"/>
      </w:pPr>
      <w:r>
        <w:fldChar w:fldCharType="begin"/>
      </w:r>
      <w:r>
        <w:instrText xml:space="preserve"> LISTNUM CHAP \l 2 </w:instrText>
      </w:r>
      <w:bookmarkStart w:id="241" w:name="_Toc382921550"/>
      <w:r>
        <w:fldChar w:fldCharType="end"/>
      </w:r>
      <w:r>
        <w:t xml:space="preserve">    Physics</w:t>
      </w:r>
      <w:bookmarkEnd w:id="241"/>
    </w:p>
    <w:p w14:paraId="7AFA43A7" w14:textId="6CA83C17" w:rsidR="004D0C0A" w:rsidRDefault="004D0C0A" w:rsidP="00984DF0">
      <w:r>
        <w:t>The same physics govern the coupled model that govern the 3D model.  The only difference is in the application of boundary conditions.  Firstly, the coolant has the same inlet and outlet conditions.  The axial boundary edges above and below the fuel plate coincide with the plate midpoint and are governed by periodic mass and heat flow conditions.</w:t>
      </w:r>
      <w:r w:rsidR="002139E5">
        <w:t xml:space="preserve">  The fuel plate boundary edges are modeled as no-slip, no-penetration walls with imposed coupled heat flow conditions.</w:t>
      </w:r>
    </w:p>
    <w:p w14:paraId="1D8E06D1" w14:textId="2008660B" w:rsidR="002139E5" w:rsidRDefault="002139E5" w:rsidP="00984DF0">
      <w:r>
        <w:lastRenderedPageBreak/>
        <w:t>In the fuel plate, every coolant-adjacent surface is specified using the previously detailed convective boundary condition.  The two surfaces that would mate with the side plates in the 3D model are modeled as thermally insulated boundaries.  This turns out to have very little effect on the m</w:t>
      </w:r>
      <w:r w:rsidR="00147834">
        <w:t>odel.  Given the extremely high-</w:t>
      </w:r>
      <w:r>
        <w:t xml:space="preserve">aspect ratio in the plate, heat conduction tends to occur predominantly in the </w:t>
      </w:r>
      <w:r>
        <w:rPr>
          <w:i/>
        </w:rPr>
        <w:t>t</w:t>
      </w:r>
      <w:r>
        <w:t>-direction, or perpendicular to the clad surface.  Heat conduction, as will be shown</w:t>
      </w:r>
      <w:r w:rsidR="00CC10C2">
        <w:t xml:space="preserve"> in Section </w:t>
      </w:r>
      <w:r w:rsidR="00CC10C2">
        <w:fldChar w:fldCharType="begin"/>
      </w:r>
      <w:r w:rsidR="00CC10C2">
        <w:instrText xml:space="preserve"> REF _Ref381189502 \r \h </w:instrText>
      </w:r>
      <w:r w:rsidR="00CC10C2">
        <w:fldChar w:fldCharType="separate"/>
      </w:r>
      <w:r w:rsidR="001C5EC1">
        <w:t>VII</w:t>
      </w:r>
      <w:r w:rsidR="00CC10C2">
        <w:fldChar w:fldCharType="end"/>
      </w:r>
      <w:r>
        <w:t xml:space="preserve">, is minimal in the </w:t>
      </w:r>
      <w:r>
        <w:rPr>
          <w:i/>
        </w:rPr>
        <w:t>s</w:t>
      </w:r>
      <w:r>
        <w:t>-direction, or along the length of the clad.  As such, stopping off the heat outlet that traditionally exists via the fuel plate-side plate shared surface has a negligible effect on the model.</w:t>
      </w:r>
    </w:p>
    <w:p w14:paraId="61312110" w14:textId="4CC5AB4D" w:rsidR="00765A5C" w:rsidRDefault="00765A5C" w:rsidP="00765A5C">
      <w:pPr>
        <w:pStyle w:val="Heading2"/>
      </w:pPr>
      <w:r>
        <w:fldChar w:fldCharType="begin"/>
      </w:r>
      <w:r>
        <w:instrText xml:space="preserve"> LISTNUM CHAP \l 2 </w:instrText>
      </w:r>
      <w:bookmarkStart w:id="242" w:name="_Toc382921551"/>
      <w:r>
        <w:fldChar w:fldCharType="end"/>
      </w:r>
      <w:r>
        <w:t xml:space="preserve">    Meshing</w:t>
      </w:r>
      <w:bookmarkEnd w:id="242"/>
    </w:p>
    <w:p w14:paraId="09D9E186" w14:textId="56DD4A44" w:rsidR="001170E4" w:rsidRDefault="007938DF" w:rsidP="00765A5C">
      <w:r>
        <w:t xml:space="preserve">An important </w:t>
      </w:r>
      <w:r w:rsidR="00203BCC">
        <w:t>feature</w:t>
      </w:r>
      <w:r>
        <w:t xml:space="preserve"> of the coupled model is the separation of its two solution domains, solid and liquid.  This separation allows for separate basis functions to be used in each domain.  Namely, the solid domain, in which the heat generation-resultant quadratic temperature profile is found, is able to use quadratic functions while t</w:t>
      </w:r>
      <w:r w:rsidR="00203BCC">
        <w:t>he coolant can still use linear functions</w:t>
      </w:r>
      <w:r>
        <w:t>.</w:t>
      </w:r>
      <w:r w:rsidR="00475246">
        <w:t xml:space="preserve">  The solid domain mesh has the same structure</w:t>
      </w:r>
      <w:r w:rsidR="00C23C9A">
        <w:t xml:space="preserve"> as in the 3D model.  </w:t>
      </w:r>
      <w:r w:rsidR="001170E4">
        <w:t xml:space="preserve">Meshes are mapped to </w:t>
      </w:r>
      <w:r w:rsidR="001170E4">
        <w:rPr>
          <w:i/>
        </w:rPr>
        <w:t>s-t</w:t>
      </w:r>
      <w:r w:rsidR="001170E4">
        <w:t xml:space="preserve"> </w:t>
      </w:r>
      <w:r w:rsidR="00B56CB6">
        <w:t>faces</w:t>
      </w:r>
      <w:r w:rsidR="001170E4">
        <w:t xml:space="preserve">, where applicable, and extruded using the 2X MCNP axial mesh distribution.  The maps in the fuel meat and the unfueled plate are structured meshes while the plate surrounding </w:t>
      </w:r>
      <w:r w:rsidR="007D6BD3">
        <w:t xml:space="preserve">the meat </w:t>
      </w:r>
      <w:r w:rsidR="00B56CB6">
        <w:t>is mapped using a free-</w:t>
      </w:r>
      <w:r w:rsidR="001170E4">
        <w:t>triangular mesh.  The rounded leading e</w:t>
      </w:r>
      <w:r w:rsidR="00B56CB6">
        <w:t>dge is meshed using free-</w:t>
      </w:r>
      <w:r w:rsidR="001170E4">
        <w:t>tetrahedral elements.</w:t>
      </w:r>
      <w:r w:rsidR="007D6BD3">
        <w:t xml:space="preserve">  The mesh </w:t>
      </w:r>
      <w:r w:rsidR="00D0516F">
        <w:t>resolution</w:t>
      </w:r>
      <w:r w:rsidR="00B56CB6">
        <w:t xml:space="preserve"> in all of these domains is lower than in the 3D model</w:t>
      </w:r>
      <w:r w:rsidR="007D6BD3">
        <w:t>, however, given the ability of the quadratic basis functions to provide a more accurate approximation using fewer elements.</w:t>
      </w:r>
    </w:p>
    <w:p w14:paraId="34EBA1F7" w14:textId="06AC5FF6" w:rsidR="007D6BD3" w:rsidRDefault="001170E4" w:rsidP="007D6BD3">
      <w:r>
        <w:t xml:space="preserve">The Coolant domain is split into three sections:  upstream, fuel plate, and downstream.  </w:t>
      </w:r>
      <w:r w:rsidR="007D6BD3">
        <w:t>The upstream and downstream sections are mapped using unstructured triangular meshes.  The fuel plate section was originally meshed using the same triangular elements.  This proved extremely ineff</w:t>
      </w:r>
      <w:r w:rsidR="00147834">
        <w:t>icient, however, given the high-</w:t>
      </w:r>
      <w:r w:rsidR="007D6BD3">
        <w:t>aspect ratio of the channel.  A second mesh was created consisting of a structured rectangular mesh.  The mesh was extruded axially using both constant-width cells and the 2X MCNP distribution.  A boundary layer was added to all three fuel plate section meshes along the wall boundaries.</w:t>
      </w:r>
      <w:r w:rsidR="004F6DA3">
        <w:t xml:space="preserve">  The two mesh types, free-triangular and structured, are shown in Fig. </w:t>
      </w:r>
      <w:r w:rsidR="00E74681">
        <w:fldChar w:fldCharType="begin"/>
      </w:r>
      <w:r w:rsidR="00E74681">
        <w:instrText xml:space="preserve"> REF _Ref381965650 \r \h </w:instrText>
      </w:r>
      <w:r w:rsidR="00E74681">
        <w:fldChar w:fldCharType="separate"/>
      </w:r>
      <w:r w:rsidR="001C5EC1">
        <w:t>6.12</w:t>
      </w:r>
      <w:r w:rsidR="00E74681">
        <w:fldChar w:fldCharType="end"/>
      </w:r>
      <w:r w:rsidR="004F6DA3">
        <w:t>.</w:t>
      </w:r>
    </w:p>
    <w:p w14:paraId="24E42EEE" w14:textId="313E0DCA" w:rsidR="004F6DA3" w:rsidRDefault="00E74681" w:rsidP="004F6DA3">
      <w:pPr>
        <w:pStyle w:val="PictureSytel"/>
      </w:pPr>
      <w:r>
        <w:rPr>
          <w:noProof/>
        </w:rPr>
        <w:lastRenderedPageBreak/>
        <w:drawing>
          <wp:inline distT="0" distB="0" distL="0" distR="0" wp14:anchorId="34A3BF0C" wp14:editId="02F20B4F">
            <wp:extent cx="4977517" cy="3990784"/>
            <wp:effectExtent l="19050" t="19050" r="13970" b="1016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ant Mesh Comparison.png"/>
                    <pic:cNvPicPr/>
                  </pic:nvPicPr>
                  <pic:blipFill>
                    <a:blip r:embed="rId357">
                      <a:extLst>
                        <a:ext uri="{28A0092B-C50C-407E-A947-70E740481C1C}">
                          <a14:useLocalDpi xmlns:a14="http://schemas.microsoft.com/office/drawing/2010/main" val="0"/>
                        </a:ext>
                      </a:extLst>
                    </a:blip>
                    <a:stretch>
                      <a:fillRect/>
                    </a:stretch>
                  </pic:blipFill>
                  <pic:spPr bwMode="auto">
                    <a:xfrm>
                      <a:off x="0" y="0"/>
                      <a:ext cx="4973215" cy="398733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F57D104" w14:textId="2E590ACA" w:rsidR="00E74681" w:rsidRDefault="00E74681" w:rsidP="00E74681">
      <w:pPr>
        <w:pStyle w:val="FigTitleStyle"/>
      </w:pPr>
      <w:bookmarkStart w:id="243" w:name="_Toc382920282"/>
      <w:r w:rsidRPr="00F348D2">
        <w:t xml:space="preserve">Fig. </w:t>
      </w:r>
      <w:r w:rsidRPr="00F348D2">
        <w:fldChar w:fldCharType="begin"/>
      </w:r>
      <w:bookmarkStart w:id="244" w:name="_Ref381965650"/>
      <w:bookmarkEnd w:id="244"/>
      <w:r w:rsidRPr="00F348D2">
        <w:instrText xml:space="preserve"> LISTNUM FIG \l 2 </w:instrText>
      </w:r>
      <w:r w:rsidRPr="00F348D2">
        <w:fldChar w:fldCharType="end"/>
      </w:r>
      <w:r w:rsidRPr="00F348D2">
        <w:t xml:space="preserve">.  </w:t>
      </w:r>
      <w:r>
        <w:t>Coupled Model Coolant Mesh Comparison.</w:t>
      </w:r>
      <w:bookmarkEnd w:id="243"/>
    </w:p>
    <w:p w14:paraId="48AC4EC8" w14:textId="4275AF76" w:rsidR="001170E4" w:rsidRDefault="00D8457D" w:rsidP="00E75684">
      <w:r>
        <w:t xml:space="preserve">An interesting limitation of the coupling mechanism is that it </w:t>
      </w:r>
      <w:r w:rsidR="00EA1170">
        <w:t xml:space="preserve">is compatible with triangular mesh elements.  This means it </w:t>
      </w:r>
      <w:r>
        <w:t xml:space="preserve">cannot be used on a surface that contains rectangular mesh </w:t>
      </w:r>
      <w:r w:rsidR="00EA1170">
        <w:t>elements.</w:t>
      </w:r>
      <w:r w:rsidR="00E75684">
        <w:t xml:space="preserve">  In the coolant, this requires the insertion of diagonal mesh walls to divide a single rectangular elemen</w:t>
      </w:r>
      <w:r w:rsidR="00E451EA">
        <w:t>t into two triangular elements.  In the solid domain, 3D volume mesh elements must be cut in half.</w:t>
      </w:r>
      <w:r w:rsidR="004F6DA3">
        <w:t xml:space="preserve">  A detailed view of a converted boundary layer mesh is shown in Fig. </w:t>
      </w:r>
      <w:r w:rsidR="00E74681">
        <w:fldChar w:fldCharType="begin"/>
      </w:r>
      <w:r w:rsidR="00E74681">
        <w:instrText xml:space="preserve"> REF _Ref381965744 \r \h </w:instrText>
      </w:r>
      <w:r w:rsidR="00E74681">
        <w:fldChar w:fldCharType="separate"/>
      </w:r>
      <w:r w:rsidR="001C5EC1">
        <w:t>6.13</w:t>
      </w:r>
      <w:r w:rsidR="00E74681">
        <w:fldChar w:fldCharType="end"/>
      </w:r>
      <w:r w:rsidR="004F6DA3">
        <w:t>.</w:t>
      </w:r>
    </w:p>
    <w:p w14:paraId="302E266C" w14:textId="30533B1D" w:rsidR="00E74681" w:rsidRDefault="00E74681" w:rsidP="00E74681">
      <w:pPr>
        <w:pStyle w:val="PictureSytel"/>
      </w:pPr>
      <w:r>
        <w:rPr>
          <w:noProof/>
        </w:rPr>
        <w:lastRenderedPageBreak/>
        <w:drawing>
          <wp:inline distT="0" distB="0" distL="0" distR="0" wp14:anchorId="040F9816" wp14:editId="050DD4AF">
            <wp:extent cx="5029746" cy="2063140"/>
            <wp:effectExtent l="19050" t="19050" r="19050" b="133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ant mesh BL.png"/>
                    <pic:cNvPicPr/>
                  </pic:nvPicPr>
                  <pic:blipFill rotWithShape="1">
                    <a:blip r:embed="rId358">
                      <a:extLst>
                        <a:ext uri="{28A0092B-C50C-407E-A947-70E740481C1C}">
                          <a14:useLocalDpi xmlns:a14="http://schemas.microsoft.com/office/drawing/2010/main" val="0"/>
                        </a:ext>
                      </a:extLst>
                    </a:blip>
                    <a:srcRect l="10969" t="15007" r="13672" b="29734"/>
                    <a:stretch/>
                  </pic:blipFill>
                  <pic:spPr bwMode="auto">
                    <a:xfrm>
                      <a:off x="0" y="0"/>
                      <a:ext cx="4997941" cy="205009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EC12718" w14:textId="570E4E15" w:rsidR="00E74681" w:rsidRDefault="00E74681" w:rsidP="00E74681">
      <w:pPr>
        <w:pStyle w:val="FigTitleStyle"/>
      </w:pPr>
      <w:bookmarkStart w:id="245" w:name="_Toc382920283"/>
      <w:r w:rsidRPr="00F348D2">
        <w:t xml:space="preserve">Fig. </w:t>
      </w:r>
      <w:r w:rsidRPr="00F348D2">
        <w:fldChar w:fldCharType="begin"/>
      </w:r>
      <w:bookmarkStart w:id="246" w:name="_Ref381965744"/>
      <w:bookmarkEnd w:id="246"/>
      <w:r w:rsidRPr="00F348D2">
        <w:instrText xml:space="preserve"> LISTNUM FIG \l 2 </w:instrText>
      </w:r>
      <w:r w:rsidRPr="00F348D2">
        <w:fldChar w:fldCharType="end"/>
      </w:r>
      <w:r w:rsidRPr="00F348D2">
        <w:t xml:space="preserve">.  </w:t>
      </w:r>
      <w:r>
        <w:t>Coupled Model Converted Boundary Layer Detail.</w:t>
      </w:r>
      <w:bookmarkEnd w:id="245"/>
    </w:p>
    <w:p w14:paraId="442CDEF2" w14:textId="079F2E72" w:rsidR="00765A5C" w:rsidRPr="009358D1" w:rsidRDefault="00765A5C" w:rsidP="00765A5C">
      <w:pPr>
        <w:pStyle w:val="Heading2"/>
      </w:pPr>
      <w:r>
        <w:fldChar w:fldCharType="begin"/>
      </w:r>
      <w:r>
        <w:instrText xml:space="preserve"> LISTNUM CHAP \l 2 </w:instrText>
      </w:r>
      <w:bookmarkStart w:id="247" w:name="_Toc382921552"/>
      <w:r>
        <w:fldChar w:fldCharType="end"/>
      </w:r>
      <w:r>
        <w:t xml:space="preserve">    Paneling</w:t>
      </w:r>
      <w:bookmarkEnd w:id="247"/>
    </w:p>
    <w:p w14:paraId="4DA848C9" w14:textId="626E28BA" w:rsidR="00AF5C24" w:rsidRDefault="00AF5C24" w:rsidP="00765A5C">
      <w:r>
        <w:t>The biggest drawback of the coupled model is the homogenizing effect</w:t>
      </w:r>
      <w:r w:rsidR="00564AB7">
        <w:t xml:space="preserve"> </w:t>
      </w:r>
      <w:r>
        <w:t xml:space="preserve">the coolant channel slice has on the fuel plate temperature profile.  Surface temperature values passed from the clad to the coolant must necessarily drop a dimension given the dimensional disparity between the two domains.  The passed variable cannot have a dimensionality greater than either its source or destination.  This is also true in reverse.  The problem, however, is that in this latter case the passed variable has a lower dimensionality than the boundary it is being passed to.  In essence, the boundary is capable of storing more information than the passed variable is able to provide it.  </w:t>
      </w:r>
      <w:r w:rsidR="00445FBE">
        <w:t>The result is that an entire dimension’s worth of information is wasted.</w:t>
      </w:r>
    </w:p>
    <w:p w14:paraId="1EBFB0D5" w14:textId="406D1822" w:rsidR="00555BFF" w:rsidRDefault="00445FBE" w:rsidP="00555BFF">
      <w:r>
        <w:t>This means that the incoming bulk properties, especially bulk temperature, have a profile proportional to spanwi</w:t>
      </w:r>
      <w:r w:rsidR="007D1687">
        <w:t>se-averaged surface temperature</w:t>
      </w:r>
      <w:r>
        <w:t xml:space="preserve"> rather tha</w:t>
      </w:r>
      <w:r w:rsidR="007D1687">
        <w:t>n local surface temperature</w:t>
      </w:r>
      <w:r>
        <w:t xml:space="preserve">.  Thus, at any point where the local surface temperature is greater than the spanwise-averaged surface temperature, the incoming bulk temperature is lower than it should be.  Conversely, at any point where the local surface temperature is less than the spanwise average, the incoming bulk temperature is higher than it should be.  This has a smoothing effect on the surface temperature profile, blunting its maxima and minima.  This smoothing effect propagates into the interior of the fuel plate and fuel meat as well.  Given the model’s primary intent of predicting maximum temperatures, this is an unideal </w:t>
      </w:r>
      <w:r w:rsidR="00555BFF">
        <w:t>consequence of the model’s construction.</w:t>
      </w:r>
    </w:p>
    <w:p w14:paraId="04CE4241" w14:textId="29F4EC93" w:rsidR="00765A5C" w:rsidRDefault="00E75684" w:rsidP="00765A5C">
      <w:r>
        <w:t xml:space="preserve">An attempt was made to </w:t>
      </w:r>
      <w:r w:rsidR="00147834">
        <w:t>reintroduce a certain level of spanwise fidelity that the coupled model’s construction had erased</w:t>
      </w:r>
      <w:r>
        <w:t xml:space="preserve">.  In this </w:t>
      </w:r>
      <w:r w:rsidR="00305CD3">
        <w:t>model, the paneled model, the s</w:t>
      </w:r>
      <w:r w:rsidR="00DF60FB">
        <w:t xml:space="preserve">urface of the fuel plate </w:t>
      </w:r>
      <w:r w:rsidR="00564AB7">
        <w:t>is</w:t>
      </w:r>
      <w:r w:rsidR="00DF60FB">
        <w:t xml:space="preserve"> </w:t>
      </w:r>
      <w:r w:rsidR="00305CD3">
        <w:t xml:space="preserve">split into </w:t>
      </w:r>
      <w:r w:rsidR="00DF60FB">
        <w:t xml:space="preserve">a finite number of </w:t>
      </w:r>
      <w:r w:rsidR="00305CD3">
        <w:t xml:space="preserve">axial strips as shown in Fig. </w:t>
      </w:r>
      <w:r w:rsidR="00B4480E">
        <w:fldChar w:fldCharType="begin"/>
      </w:r>
      <w:r w:rsidR="00B4480E">
        <w:instrText xml:space="preserve"> REF _Ref381178926 \r \h </w:instrText>
      </w:r>
      <w:r w:rsidR="00B4480E">
        <w:fldChar w:fldCharType="separate"/>
      </w:r>
      <w:r w:rsidR="001C5EC1">
        <w:t>6.14</w:t>
      </w:r>
      <w:r w:rsidR="00B4480E">
        <w:fldChar w:fldCharType="end"/>
      </w:r>
      <w:r w:rsidR="00305CD3">
        <w:t>.</w:t>
      </w:r>
    </w:p>
    <w:p w14:paraId="48287FE0" w14:textId="53B10AC6" w:rsidR="00305CD3" w:rsidRPr="00765A5C" w:rsidRDefault="007D6D70" w:rsidP="00305CD3">
      <w:pPr>
        <w:pStyle w:val="PictureSytel"/>
      </w:pPr>
      <w:r>
        <w:rPr>
          <w:noProof/>
        </w:rPr>
        <w:lastRenderedPageBreak/>
        <w:drawing>
          <wp:inline distT="0" distB="0" distL="0" distR="0" wp14:anchorId="49F725F8" wp14:editId="559AB578">
            <wp:extent cx="5009322" cy="3713259"/>
            <wp:effectExtent l="19050" t="19050" r="20320" b="209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ing Fig 1.png"/>
                    <pic:cNvPicPr/>
                  </pic:nvPicPr>
                  <pic:blipFill rotWithShape="1">
                    <a:blip r:embed="rId359">
                      <a:extLst>
                        <a:ext uri="{28A0092B-C50C-407E-A947-70E740481C1C}">
                          <a14:useLocalDpi xmlns:a14="http://schemas.microsoft.com/office/drawing/2010/main" val="0"/>
                        </a:ext>
                      </a:extLst>
                    </a:blip>
                    <a:srcRect l="-17889" t="6377" r="-17889" b="48502"/>
                    <a:stretch/>
                  </pic:blipFill>
                  <pic:spPr bwMode="auto">
                    <a:xfrm>
                      <a:off x="0" y="0"/>
                      <a:ext cx="5009322" cy="371325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6ED25E4" w14:textId="041C0871" w:rsidR="00305CD3" w:rsidRDefault="00305CD3" w:rsidP="00305CD3">
      <w:pPr>
        <w:pStyle w:val="FigTitleStyle"/>
      </w:pPr>
      <w:bookmarkStart w:id="248" w:name="_Toc382920284"/>
      <w:r w:rsidRPr="00DF60FB">
        <w:t xml:space="preserve">Fig. </w:t>
      </w:r>
      <w:r w:rsidRPr="00DF60FB">
        <w:fldChar w:fldCharType="begin"/>
      </w:r>
      <w:bookmarkStart w:id="249" w:name="_Ref381178926"/>
      <w:bookmarkEnd w:id="249"/>
      <w:r w:rsidRPr="00DF60FB">
        <w:instrText xml:space="preserve"> LISTNUM FIG \l 2 </w:instrText>
      </w:r>
      <w:r w:rsidRPr="00DF60FB">
        <w:fldChar w:fldCharType="end"/>
      </w:r>
      <w:r w:rsidRPr="00DF60FB">
        <w:t>.  Fuel Plate Paneling.</w:t>
      </w:r>
      <w:r w:rsidR="00540B6B">
        <w:t xml:space="preserve">  </w:t>
      </w:r>
      <w:r w:rsidR="00AF5C24">
        <w:rPr>
          <w:b w:val="0"/>
        </w:rPr>
        <w:t xml:space="preserve">Depicted is a five-panel decomposition.  </w:t>
      </w:r>
      <w:r w:rsidR="00540B6B">
        <w:rPr>
          <w:b w:val="0"/>
        </w:rPr>
        <w:t>Figure is not to scale.</w:t>
      </w:r>
      <w:bookmarkEnd w:id="248"/>
    </w:p>
    <w:p w14:paraId="729C9CCC" w14:textId="39AC6DA2" w:rsidR="00DF60FB" w:rsidRDefault="00305CD3" w:rsidP="00765A5C">
      <w:r>
        <w:t xml:space="preserve">Each plate surface strip, along with its counterpart on the opposite </w:t>
      </w:r>
      <w:r w:rsidR="00DF60FB">
        <w:t xml:space="preserve">side of the fuel plate, </w:t>
      </w:r>
      <w:r w:rsidR="00564AB7">
        <w:t>is</w:t>
      </w:r>
      <w:r>
        <w:t xml:space="preserve"> paired with its own coolant channel slice.  Pla</w:t>
      </w:r>
      <w:r w:rsidR="00DF60FB">
        <w:t>te</w:t>
      </w:r>
      <w:r w:rsidR="00564AB7">
        <w:t xml:space="preserve"> surface temperatures are</w:t>
      </w:r>
      <w:r>
        <w:t xml:space="preserve"> averaged across each strip and</w:t>
      </w:r>
      <w:r w:rsidR="00DF60FB">
        <w:t xml:space="preserve"> passed to their respective</w:t>
      </w:r>
      <w:r w:rsidR="00564AB7">
        <w:t xml:space="preserve"> slice.  Bulk flow properties a</w:t>
      </w:r>
      <w:r w:rsidR="00DF60FB">
        <w:t xml:space="preserve">re then </w:t>
      </w:r>
      <w:r>
        <w:t>passed back from slice to strip.</w:t>
      </w:r>
      <w:r w:rsidR="00DF60FB">
        <w:t xml:space="preserve">  Instead of</w:t>
      </w:r>
      <w:r w:rsidR="00564AB7">
        <w:t xml:space="preserve"> relying on</w:t>
      </w:r>
      <w:r w:rsidR="00DF60FB">
        <w:t xml:space="preserve"> a single spanwise bulk flow, the model </w:t>
      </w:r>
      <w:r w:rsidR="00564AB7">
        <w:t>is</w:t>
      </w:r>
      <w:r w:rsidR="00DF60FB">
        <w:t xml:space="preserve"> split into a finite number of bulk flows.  If the number of pa</w:t>
      </w:r>
      <w:r w:rsidR="00147834">
        <w:t>nels were increased to infinity</w:t>
      </w:r>
      <w:r w:rsidR="00DF60FB">
        <w:t xml:space="preserve"> one would essentially recreate the original 3D channel.  By creating a small number of slices, however, a measure of that spanwise variation in flow and plate surface properties is allowed to manifest itself without the burden of so</w:t>
      </w:r>
      <w:r w:rsidR="00AF5C24">
        <w:t>lving the entire flow channel.</w:t>
      </w:r>
    </w:p>
    <w:p w14:paraId="320F2716" w14:textId="0D9D7EA1" w:rsidR="00AF5C24" w:rsidRDefault="00AF5C24" w:rsidP="00765A5C">
      <w:r>
        <w:t xml:space="preserve">The dependency loop for a two-panel model is shown in Fig. </w:t>
      </w:r>
      <w:r w:rsidR="00147834">
        <w:fldChar w:fldCharType="begin"/>
      </w:r>
      <w:r w:rsidR="00147834">
        <w:instrText xml:space="preserve"> REF _Ref381189138 \r \h </w:instrText>
      </w:r>
      <w:r w:rsidR="00147834">
        <w:fldChar w:fldCharType="separate"/>
      </w:r>
      <w:r w:rsidR="001C5EC1">
        <w:t>6.15</w:t>
      </w:r>
      <w:r w:rsidR="00147834">
        <w:fldChar w:fldCharType="end"/>
      </w:r>
      <w:r>
        <w:t>.</w:t>
      </w:r>
      <w:r w:rsidR="00564AB7">
        <w:t xml:space="preserve">  Ultimately, t</w:t>
      </w:r>
      <w:r w:rsidR="00147834">
        <w:t>he design proved infeasible due to two factors.  Firstly, increasing the number of panels beyond two increases the model’s</w:t>
      </w:r>
      <w:r w:rsidR="007D1687">
        <w:t xml:space="preserve"> computational cost to a degree</w:t>
      </w:r>
      <w:r w:rsidR="00147834">
        <w:t xml:space="preserve"> that it is no longer </w:t>
      </w:r>
      <w:r w:rsidR="004426C3">
        <w:t>a viable improvement over the 3D model</w:t>
      </w:r>
      <w:r w:rsidR="00147834">
        <w:t xml:space="preserve">.  This is due to the fact that every additional panel precipitates the need for an entire new coolant channel slice, thus doubling the degrees of freedom from that half of the model.  While the coolant channel slice is the simpler of the two domains, from a geometry standpoint, the fact that it must solve the N-S equations means that the additional degrees of freedom are significant.  Secondly, as will be shown in greater detail </w:t>
      </w:r>
      <w:r w:rsidR="00147834">
        <w:lastRenderedPageBreak/>
        <w:t xml:space="preserve">in </w:t>
      </w:r>
      <w:r w:rsidR="00D21ECF">
        <w:t>Section</w:t>
      </w:r>
      <w:r w:rsidR="00147834">
        <w:t xml:space="preserve"> </w:t>
      </w:r>
      <w:r w:rsidR="00147834">
        <w:fldChar w:fldCharType="begin"/>
      </w:r>
      <w:r w:rsidR="00147834">
        <w:instrText xml:space="preserve"> REF _Ref381189502 \r \h </w:instrText>
      </w:r>
      <w:r w:rsidR="00147834">
        <w:fldChar w:fldCharType="separate"/>
      </w:r>
      <w:r w:rsidR="001C5EC1">
        <w:t>VII</w:t>
      </w:r>
      <w:r w:rsidR="00147834">
        <w:fldChar w:fldCharType="end"/>
      </w:r>
      <w:r w:rsidR="00147834">
        <w:t xml:space="preserve">, even a two-panel configuration does not produce the desired results due to the high-aspect ratio of the geometry.  </w:t>
      </w:r>
    </w:p>
    <w:p w14:paraId="702BC6B5" w14:textId="7B0D588B" w:rsidR="00DF60FB" w:rsidRDefault="00147834" w:rsidP="00147834">
      <w:pPr>
        <w:pStyle w:val="PictureSytel"/>
      </w:pPr>
      <w:r>
        <w:rPr>
          <w:noProof/>
        </w:rPr>
        <w:drawing>
          <wp:inline distT="0" distB="0" distL="0" distR="0" wp14:anchorId="4A0AC368" wp14:editId="156156A5">
            <wp:extent cx="4953663" cy="2527109"/>
            <wp:effectExtent l="19050" t="19050" r="18415" b="260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ing Fig 3.png"/>
                    <pic:cNvPicPr/>
                  </pic:nvPicPr>
                  <pic:blipFill>
                    <a:blip r:embed="rId360">
                      <a:extLst>
                        <a:ext uri="{28A0092B-C50C-407E-A947-70E740481C1C}">
                          <a14:useLocalDpi xmlns:a14="http://schemas.microsoft.com/office/drawing/2010/main" val="0"/>
                        </a:ext>
                      </a:extLst>
                    </a:blip>
                    <a:stretch>
                      <a:fillRect/>
                    </a:stretch>
                  </pic:blipFill>
                  <pic:spPr>
                    <a:xfrm>
                      <a:off x="0" y="0"/>
                      <a:ext cx="4972524" cy="2536731"/>
                    </a:xfrm>
                    <a:prstGeom prst="rect">
                      <a:avLst/>
                    </a:prstGeom>
                    <a:ln>
                      <a:solidFill>
                        <a:schemeClr val="tx1"/>
                      </a:solidFill>
                    </a:ln>
                  </pic:spPr>
                </pic:pic>
              </a:graphicData>
            </a:graphic>
          </wp:inline>
        </w:drawing>
      </w:r>
    </w:p>
    <w:p w14:paraId="055B7DB7" w14:textId="3CAB1EF5" w:rsidR="00147834" w:rsidRDefault="00147834" w:rsidP="00147834">
      <w:pPr>
        <w:pStyle w:val="FigTitleStyle"/>
      </w:pPr>
      <w:bookmarkStart w:id="250" w:name="_Toc382920285"/>
      <w:r w:rsidRPr="00DF60FB">
        <w:t xml:space="preserve">Fig. </w:t>
      </w:r>
      <w:r w:rsidRPr="00DF60FB">
        <w:fldChar w:fldCharType="begin"/>
      </w:r>
      <w:bookmarkStart w:id="251" w:name="_Ref381189138"/>
      <w:bookmarkEnd w:id="251"/>
      <w:r w:rsidRPr="00DF60FB">
        <w:instrText xml:space="preserve"> LISTNUM FIG \l 2 </w:instrText>
      </w:r>
      <w:r w:rsidRPr="00DF60FB">
        <w:fldChar w:fldCharType="end"/>
      </w:r>
      <w:r w:rsidRPr="00DF60FB">
        <w:t>.  Fuel Plate Paneling</w:t>
      </w:r>
      <w:r w:rsidR="00650AB9">
        <w:t xml:space="preserve"> Diagram</w:t>
      </w:r>
      <w:r w:rsidRPr="00DF60FB">
        <w:t>.</w:t>
      </w:r>
      <w:bookmarkEnd w:id="250"/>
      <w:r>
        <w:t xml:space="preserve">  </w:t>
      </w:r>
    </w:p>
    <w:p w14:paraId="0B81EDE4" w14:textId="77777777" w:rsidR="00F41A69" w:rsidRDefault="00F41A69">
      <w:pPr>
        <w:spacing w:line="276" w:lineRule="auto"/>
        <w:ind w:firstLine="0"/>
        <w:jc w:val="left"/>
        <w:rPr>
          <w:b/>
          <w:sz w:val="24"/>
        </w:rPr>
      </w:pPr>
      <w:r>
        <w:br w:type="page"/>
      </w:r>
    </w:p>
    <w:p w14:paraId="6B996AFC" w14:textId="77777777" w:rsidR="00F359EF" w:rsidRDefault="00F41A69" w:rsidP="0038463A">
      <w:pPr>
        <w:pStyle w:val="Heading1"/>
        <w:ind w:firstLine="0"/>
        <w:rPr>
          <w:rStyle w:val="SubtitleChar"/>
        </w:rPr>
      </w:pPr>
      <w:r>
        <w:lastRenderedPageBreak/>
        <w:fldChar w:fldCharType="begin"/>
      </w:r>
      <w:bookmarkStart w:id="252" w:name="_Ref381189502"/>
      <w:bookmarkEnd w:id="252"/>
      <w:r>
        <w:instrText xml:space="preserve"> LISTNUM CHAP \l 1</w:instrText>
      </w:r>
      <w:bookmarkStart w:id="253" w:name="_Toc382921553"/>
      <w:r>
        <w:fldChar w:fldCharType="end"/>
      </w:r>
      <w:r>
        <w:t xml:space="preserve">    Results</w:t>
      </w:r>
      <w:bookmarkEnd w:id="253"/>
      <w:r w:rsidRPr="00FF3A17">
        <w:rPr>
          <w:rStyle w:val="SubtitleChar"/>
        </w:rPr>
        <w:t xml:space="preserve"> </w:t>
      </w:r>
    </w:p>
    <w:p w14:paraId="4692A9DB" w14:textId="77AA2AC6" w:rsidR="00F41A69" w:rsidRPr="00E3342F" w:rsidRDefault="00F41A69" w:rsidP="00F359EF">
      <w:pPr>
        <w:pStyle w:val="Subtitle"/>
      </w:pPr>
      <w:r w:rsidRPr="00FF3A17">
        <w:rPr>
          <w:rStyle w:val="SubtitleChar"/>
        </w:rPr>
        <w:fldChar w:fldCharType="begin"/>
      </w:r>
      <w:r w:rsidRPr="00FF3A17">
        <w:rPr>
          <w:rStyle w:val="SubtitleChar"/>
        </w:rPr>
        <w:instrText xml:space="preserve"> LISTNUM EQN </w:instrText>
      </w:r>
      <w:r w:rsidRPr="00FF3A17">
        <w:rPr>
          <w:rStyle w:val="SubtitleChar"/>
        </w:rPr>
        <w:fldChar w:fldCharType="end"/>
      </w:r>
      <w:r w:rsidRPr="00FF3A17">
        <w:rPr>
          <w:rStyle w:val="SubtitleChar"/>
        </w:rPr>
        <w:fldChar w:fldCharType="begin"/>
      </w:r>
      <w:r w:rsidRPr="00FF3A17">
        <w:rPr>
          <w:rStyle w:val="SubtitleChar"/>
        </w:rPr>
        <w:instrText xml:space="preserve"> LISTNUM FIG </w:instrText>
      </w:r>
      <w:r w:rsidRPr="00FF3A17">
        <w:rPr>
          <w:rStyle w:val="SubtitleChar"/>
        </w:rPr>
        <w:fldChar w:fldCharType="end"/>
      </w:r>
      <w:r w:rsidRPr="00FF3A17">
        <w:rPr>
          <w:rStyle w:val="SubtitleChar"/>
        </w:rPr>
        <w:fldChar w:fldCharType="begin"/>
      </w:r>
      <w:r w:rsidRPr="00FF3A17">
        <w:rPr>
          <w:rStyle w:val="SubtitleChar"/>
        </w:rPr>
        <w:instrText xml:space="preserve">LISTNUM TAB </w:instrText>
      </w:r>
      <w:r w:rsidRPr="00FF3A17">
        <w:rPr>
          <w:rStyle w:val="SubtitleChar"/>
        </w:rPr>
        <w:fldChar w:fldCharType="end"/>
      </w:r>
    </w:p>
    <w:p w14:paraId="27C25755" w14:textId="078B4270" w:rsidR="00066EE0" w:rsidRDefault="00066EE0" w:rsidP="00066EE0">
      <w:pPr>
        <w:pStyle w:val="Heading2"/>
      </w:pPr>
      <w:r>
        <w:fldChar w:fldCharType="begin"/>
      </w:r>
      <w:r>
        <w:instrText xml:space="preserve"> LISTNUM CHAP \l 2 </w:instrText>
      </w:r>
      <w:bookmarkStart w:id="254" w:name="_Toc382921554"/>
      <w:r>
        <w:fldChar w:fldCharType="end"/>
      </w:r>
      <w:r>
        <w:t xml:space="preserve">    Error Evaluation</w:t>
      </w:r>
      <w:bookmarkEnd w:id="254"/>
    </w:p>
    <w:p w14:paraId="3DB7CB8F" w14:textId="59F84DEE" w:rsidR="00D6655A" w:rsidRDefault="007121ED" w:rsidP="00B92FA2">
      <w:r>
        <w:t xml:space="preserve">Before model results are presented, the means and methods of evaluating the validity of a given model configuration must be specified.  This is achieved primarily through the assessment of a model’s energy balance.  For steady-state models such as those under consideration here this means that </w:t>
      </w:r>
      <w:r w:rsidR="00E30715">
        <w:t>the conservation of energy takes on the form</w:t>
      </w:r>
    </w:p>
    <w:p w14:paraId="28BEFF64" w14:textId="6057C4A0" w:rsidR="00E30715" w:rsidRPr="00AF2829" w:rsidRDefault="00E30715" w:rsidP="00E30715">
      <w:pPr>
        <w:pStyle w:val="numberedeqnstyle"/>
      </w:pPr>
      <w:r w:rsidRPr="00A025AE">
        <w:tab/>
      </w:r>
      <w:r w:rsidR="00EE1699" w:rsidRPr="00E30715">
        <w:rPr>
          <w:position w:val="-14"/>
        </w:rPr>
        <w:object w:dxaOrig="1840" w:dyaOrig="380" w14:anchorId="4F311352">
          <v:shape id="_x0000_i1182" type="#_x0000_t75" style="width:92.95pt;height:17.75pt" o:ole="">
            <v:imagedata r:id="rId361" o:title=""/>
          </v:shape>
          <o:OLEObject Type="Embed" ProgID="Equation.3" ShapeID="_x0000_i1182" DrawAspect="Content" ObjectID="_1457171833" r:id="rId362"/>
        </w:object>
      </w:r>
      <w:r>
        <w:tab/>
      </w:r>
      <w:r>
        <w:fldChar w:fldCharType="begin"/>
      </w:r>
      <w:r>
        <w:instrText xml:space="preserve"> LISTNUM EQN \l 2 </w:instrText>
      </w:r>
      <w:r>
        <w:fldChar w:fldCharType="end"/>
      </w:r>
      <w:r>
        <w:t>)</w:t>
      </w:r>
    </w:p>
    <w:p w14:paraId="185CC7D5" w14:textId="1445B11D" w:rsidR="00F94FA1" w:rsidRDefault="004B1BBE" w:rsidP="004B1BBE">
      <w:pPr>
        <w:ind w:firstLine="0"/>
      </w:pPr>
      <w:r>
        <w:t xml:space="preserve">where </w:t>
      </w:r>
      <w:r w:rsidRPr="004B1BBE">
        <w:rPr>
          <w:position w:val="-4"/>
        </w:rPr>
        <w:object w:dxaOrig="240" w:dyaOrig="279" w14:anchorId="504E718F">
          <v:shape id="_x0000_i1183" type="#_x0000_t75" style="width:12.35pt;height:13.45pt" o:ole="">
            <v:imagedata r:id="rId363" o:title=""/>
          </v:shape>
          <o:OLEObject Type="Embed" ProgID="Equation.3" ShapeID="_x0000_i1183" DrawAspect="Content" ObjectID="_1457171834" r:id="rId364"/>
        </w:object>
      </w:r>
      <w:r>
        <w:t>is actually energy-per-unit-time and has units of power (W)</w:t>
      </w:r>
      <w:r w:rsidR="005E18FF">
        <w:t xml:space="preserve"> and all terms are assumed to be positive</w:t>
      </w:r>
      <w:r>
        <w:t>. I</w:t>
      </w:r>
      <w:r w:rsidR="00E30715">
        <w:t xml:space="preserve">n order to break the model down further so as to trace energy imbalances to a specific domain—fuel plate or coolant—this simple energy balance can be evaluated individually for each domain.  </w:t>
      </w:r>
      <w:r w:rsidR="00F94FA1">
        <w:t xml:space="preserve">Chiefly, the fuel plate has no </w:t>
      </w:r>
      <w:r w:rsidRPr="00676C3B">
        <w:rPr>
          <w:position w:val="-10"/>
        </w:rPr>
        <w:object w:dxaOrig="340" w:dyaOrig="340" w14:anchorId="162BF0C9">
          <v:shape id="_x0000_i1184" type="#_x0000_t75" style="width:17.75pt;height:17.75pt" o:ole="">
            <v:imagedata r:id="rId365" o:title=""/>
          </v:shape>
          <o:OLEObject Type="Embed" ProgID="Equation.3" ShapeID="_x0000_i1184" DrawAspect="Content" ObjectID="_1457171835" r:id="rId366"/>
        </w:object>
      </w:r>
      <w:r w:rsidR="00F94FA1">
        <w:t xml:space="preserve"> term but does have an </w:t>
      </w:r>
      <w:r w:rsidRPr="004B1BBE">
        <w:rPr>
          <w:position w:val="-14"/>
        </w:rPr>
        <w:object w:dxaOrig="440" w:dyaOrig="380" w14:anchorId="3FCF39DE">
          <v:shape id="_x0000_i1185" type="#_x0000_t75" style="width:21.5pt;height:18.8pt" o:ole="">
            <v:imagedata r:id="rId367" o:title=""/>
          </v:shape>
          <o:OLEObject Type="Embed" ProgID="Equation.3" ShapeID="_x0000_i1185" DrawAspect="Content" ObjectID="_1457171836" r:id="rId368"/>
        </w:object>
      </w:r>
      <w:r>
        <w:rPr>
          <w:i/>
        </w:rPr>
        <w:t xml:space="preserve"> </w:t>
      </w:r>
      <w:r w:rsidR="00F94FA1">
        <w:t>term thanks to nuclear heat production in the fuel meat.  It is given by</w:t>
      </w:r>
    </w:p>
    <w:p w14:paraId="56B33057" w14:textId="794024A8" w:rsidR="00F94FA1" w:rsidRDefault="00F94FA1" w:rsidP="00F94FA1">
      <w:pPr>
        <w:pStyle w:val="numberedeqnstyle"/>
      </w:pPr>
      <w:r w:rsidRPr="00A025AE">
        <w:tab/>
      </w:r>
      <w:r w:rsidR="004B1BBE" w:rsidRPr="00F94FA1">
        <w:rPr>
          <w:position w:val="-32"/>
        </w:rPr>
        <w:object w:dxaOrig="1560" w:dyaOrig="600" w14:anchorId="4394F33A">
          <v:shape id="_x0000_i1186" type="#_x0000_t75" style="width:79pt;height:27.95pt" o:ole="">
            <v:imagedata r:id="rId369" o:title=""/>
          </v:shape>
          <o:OLEObject Type="Embed" ProgID="Equation.3" ShapeID="_x0000_i1186" DrawAspect="Content" ObjectID="_1457171837" r:id="rId370"/>
        </w:object>
      </w:r>
      <w:r>
        <w:t>.</w:t>
      </w:r>
      <w:r>
        <w:tab/>
      </w:r>
      <w:r>
        <w:fldChar w:fldCharType="begin"/>
      </w:r>
      <w:r>
        <w:instrText xml:space="preserve"> LISTNUM EQN \l 2 </w:instrText>
      </w:r>
      <w:r>
        <w:fldChar w:fldCharType="end"/>
      </w:r>
      <w:r>
        <w:t>)</w:t>
      </w:r>
    </w:p>
    <w:p w14:paraId="2E8C5DD4" w14:textId="625E7A68" w:rsidR="00E30715" w:rsidRDefault="004B1BBE" w:rsidP="00B92FA2">
      <w:r w:rsidRPr="00676C3B">
        <w:rPr>
          <w:position w:val="-10"/>
        </w:rPr>
        <w:object w:dxaOrig="420" w:dyaOrig="340" w14:anchorId="6EC12125">
          <v:shape id="_x0000_i1187" type="#_x0000_t75" style="width:20.95pt;height:17.75pt" o:ole="">
            <v:imagedata r:id="rId371" o:title=""/>
          </v:shape>
          <o:OLEObject Type="Embed" ProgID="Equation.3" ShapeID="_x0000_i1187" DrawAspect="Content" ObjectID="_1457171838" r:id="rId372"/>
        </w:object>
      </w:r>
      <w:r w:rsidR="00F94FA1">
        <w:t xml:space="preserve"> for the fuel plate is the total heat transfer throug</w:t>
      </w:r>
      <w:r>
        <w:t>h the surface of the fuel plate given by</w:t>
      </w:r>
    </w:p>
    <w:p w14:paraId="5645B9EC" w14:textId="409DE36B" w:rsidR="004B1BBE" w:rsidRDefault="004B1BBE" w:rsidP="004B1BBE">
      <w:pPr>
        <w:pStyle w:val="numberedeqnstyle"/>
      </w:pPr>
      <w:r w:rsidRPr="00A025AE">
        <w:tab/>
      </w:r>
      <w:r w:rsidR="005E18FF" w:rsidRPr="009E2226">
        <w:rPr>
          <w:position w:val="-38"/>
        </w:rPr>
        <w:object w:dxaOrig="1900" w:dyaOrig="660" w14:anchorId="17CAB31A">
          <v:shape id="_x0000_i1188" type="#_x0000_t75" style="width:95.65pt;height:30.1pt" o:ole="">
            <v:imagedata r:id="rId373" o:title=""/>
          </v:shape>
          <o:OLEObject Type="Embed" ProgID="Equation.3" ShapeID="_x0000_i1188" DrawAspect="Content" ObjectID="_1457171839" r:id="rId374"/>
        </w:object>
      </w:r>
      <w:r>
        <w:tab/>
      </w:r>
      <w:r>
        <w:fldChar w:fldCharType="begin"/>
      </w:r>
      <w:r>
        <w:instrText xml:space="preserve"> LISTNUM EQN \l 2 </w:instrText>
      </w:r>
      <w:r>
        <w:fldChar w:fldCharType="end"/>
      </w:r>
      <w:r>
        <w:t>)</w:t>
      </w:r>
    </w:p>
    <w:p w14:paraId="1196D462" w14:textId="2948ABD4" w:rsidR="004B1BBE" w:rsidRDefault="004B1BBE" w:rsidP="004B1BBE">
      <w:pPr>
        <w:ind w:firstLine="0"/>
      </w:pPr>
      <w:r>
        <w:t xml:space="preserve">where </w:t>
      </w:r>
      <w:r w:rsidR="00EE1699" w:rsidRPr="00EE1699">
        <w:rPr>
          <w:position w:val="-14"/>
        </w:rPr>
        <w:object w:dxaOrig="300" w:dyaOrig="360" w14:anchorId="746AC0C5">
          <v:shape id="_x0000_i1189" type="#_x0000_t75" style="width:15.05pt;height:18.25pt" o:ole="">
            <v:imagedata r:id="rId375" o:title=""/>
          </v:shape>
          <o:OLEObject Type="Embed" ProgID="Equation.3" ShapeID="_x0000_i1189" DrawAspect="Content" ObjectID="_1457171840" r:id="rId376"/>
        </w:object>
      </w:r>
      <w:r>
        <w:t xml:space="preserve">is the local </w:t>
      </w:r>
      <w:r w:rsidR="00AD16DD">
        <w:t>outward surface normal vector</w:t>
      </w:r>
      <w:r w:rsidR="009E2226">
        <w:t xml:space="preserve"> </w:t>
      </w:r>
      <w:r w:rsidR="00C8213A">
        <w:t xml:space="preserve">for the fuel plate geometry </w:t>
      </w:r>
      <w:r w:rsidR="009E2226">
        <w:t xml:space="preserve">and </w:t>
      </w:r>
      <w:r w:rsidR="009E2226">
        <w:rPr>
          <w:i/>
        </w:rPr>
        <w:t>A</w:t>
      </w:r>
      <w:r w:rsidR="009E2226">
        <w:rPr>
          <w:i/>
          <w:vertAlign w:val="subscript"/>
        </w:rPr>
        <w:softHyphen/>
        <w:t>p</w:t>
      </w:r>
      <w:r w:rsidR="009E2226">
        <w:t xml:space="preserve"> is the surface area of the fuel plate</w:t>
      </w:r>
      <w:r w:rsidR="00AD16DD">
        <w:t xml:space="preserve">.  </w:t>
      </w:r>
      <w:r w:rsidR="00C8213A">
        <w:t>T</w:t>
      </w:r>
      <w:r w:rsidR="00AD16DD">
        <w:t xml:space="preserve">his </w:t>
      </w:r>
      <w:r w:rsidR="00AD16DD" w:rsidRPr="00676C3B">
        <w:rPr>
          <w:position w:val="-10"/>
        </w:rPr>
        <w:object w:dxaOrig="420" w:dyaOrig="340" w14:anchorId="762F43D1">
          <v:shape id="_x0000_i1190" type="#_x0000_t75" style="width:20.95pt;height:17.75pt" o:ole="">
            <v:imagedata r:id="rId371" o:title=""/>
          </v:shape>
          <o:OLEObject Type="Embed" ProgID="Equation.3" ShapeID="_x0000_i1190" DrawAspect="Content" ObjectID="_1457171841" r:id="rId377"/>
        </w:object>
      </w:r>
      <w:r w:rsidR="00AD16DD">
        <w:t xml:space="preserve">term for the fuel plate becomes part of the </w:t>
      </w:r>
      <w:r w:rsidR="00AD16DD" w:rsidRPr="00676C3B">
        <w:rPr>
          <w:position w:val="-10"/>
        </w:rPr>
        <w:object w:dxaOrig="340" w:dyaOrig="340" w14:anchorId="4877D82A">
          <v:shape id="_x0000_i1191" type="#_x0000_t75" style="width:17.75pt;height:17.75pt" o:ole="">
            <v:imagedata r:id="rId365" o:title=""/>
          </v:shape>
          <o:OLEObject Type="Embed" ProgID="Equation.3" ShapeID="_x0000_i1191" DrawAspect="Content" ObjectID="_1457171842" r:id="rId378"/>
        </w:object>
      </w:r>
      <w:r w:rsidR="00AD16DD">
        <w:t xml:space="preserve">term for the coolant (the side plates are considered part of the coolant domain for energy balance purposes in the 3D model).  The other </w:t>
      </w:r>
      <w:r w:rsidR="00AD16DD" w:rsidRPr="00676C3B">
        <w:rPr>
          <w:position w:val="-10"/>
        </w:rPr>
        <w:object w:dxaOrig="340" w:dyaOrig="340" w14:anchorId="15BCDA88">
          <v:shape id="_x0000_i1192" type="#_x0000_t75" style="width:17.75pt;height:17.75pt" o:ole="">
            <v:imagedata r:id="rId365" o:title=""/>
          </v:shape>
          <o:OLEObject Type="Embed" ProgID="Equation.3" ShapeID="_x0000_i1192" DrawAspect="Content" ObjectID="_1457171843" r:id="rId379"/>
        </w:object>
      </w:r>
      <w:r w:rsidR="00AD16DD">
        <w:t xml:space="preserve"> </w:t>
      </w:r>
      <w:r w:rsidR="009E2226">
        <w:t>components</w:t>
      </w:r>
      <w:r w:rsidR="00AD16DD">
        <w:t xml:space="preserve"> come from </w:t>
      </w:r>
      <w:r w:rsidR="009E2226">
        <w:t xml:space="preserve">the inlet </w:t>
      </w:r>
      <w:r w:rsidR="0087415D">
        <w:t>enthalpy</w:t>
      </w:r>
      <w:r w:rsidR="009E2226">
        <w:t xml:space="preserve"> in the coolant and</w:t>
      </w:r>
      <w:r w:rsidR="0087415D">
        <w:t xml:space="preserve"> inlet heat transfer in the</w:t>
      </w:r>
      <w:r w:rsidR="009E2226">
        <w:t xml:space="preserve"> side plates.  The total term is given</w:t>
      </w:r>
      <w:r w:rsidR="00BE3392">
        <w:t xml:space="preserve"> in the 3D model by</w:t>
      </w:r>
    </w:p>
    <w:p w14:paraId="55521C4C" w14:textId="22AC71B3" w:rsidR="00C8213A" w:rsidRDefault="00C8213A" w:rsidP="00C8213A">
      <w:pPr>
        <w:pStyle w:val="numberedeqnstyle"/>
      </w:pPr>
      <w:r w:rsidRPr="00A025AE">
        <w:tab/>
      </w:r>
      <w:r w:rsidR="00C1603C" w:rsidRPr="00C1603C">
        <w:rPr>
          <w:position w:val="-40"/>
        </w:rPr>
        <w:object w:dxaOrig="6039" w:dyaOrig="900" w14:anchorId="0EFB2F4B">
          <v:shape id="_x0000_i1193" type="#_x0000_t75" style="width:305.75pt;height:40.85pt" o:ole="">
            <v:imagedata r:id="rId380" o:title=""/>
          </v:shape>
          <o:OLEObject Type="Embed" ProgID="Equation.3" ShapeID="_x0000_i1193" DrawAspect="Content" ObjectID="_1457171844" r:id="rId381"/>
        </w:object>
      </w:r>
      <w:r>
        <w:tab/>
      </w:r>
      <w:r>
        <w:fldChar w:fldCharType="begin"/>
      </w:r>
      <w:r>
        <w:instrText xml:space="preserve"> LISTNUM EQN \l 2 </w:instrText>
      </w:r>
      <w:r>
        <w:fldChar w:fldCharType="end"/>
      </w:r>
      <w:r>
        <w:t>)</w:t>
      </w:r>
    </w:p>
    <w:p w14:paraId="7A26E106" w14:textId="2DED0246" w:rsidR="009E2226" w:rsidRDefault="00EE1699" w:rsidP="004B1BBE">
      <w:pPr>
        <w:ind w:firstLine="0"/>
      </w:pPr>
      <w:r>
        <w:lastRenderedPageBreak/>
        <w:t xml:space="preserve">where </w:t>
      </w:r>
      <w:r w:rsidRPr="00EE1699">
        <w:rPr>
          <w:position w:val="-10"/>
        </w:rPr>
        <w:object w:dxaOrig="260" w:dyaOrig="320" w14:anchorId="7B444D49">
          <v:shape id="_x0000_i1194" type="#_x0000_t75" style="width:13.45pt;height:16.1pt" o:ole="">
            <v:imagedata r:id="rId382" o:title=""/>
          </v:shape>
          <o:OLEObject Type="Embed" ProgID="Equation.3" ShapeID="_x0000_i1194" DrawAspect="Content" ObjectID="_1457171845" r:id="rId383"/>
        </w:object>
      </w:r>
      <w:r>
        <w:t xml:space="preserve">is the outward surface normal vector of the coolant channel geometry in contact with the fuel plate and is the opposite of </w:t>
      </w:r>
      <w:r w:rsidRPr="00EE1699">
        <w:rPr>
          <w:position w:val="-14"/>
        </w:rPr>
        <w:object w:dxaOrig="300" w:dyaOrig="360" w14:anchorId="096A8C23">
          <v:shape id="_x0000_i1195" type="#_x0000_t75" style="width:15.05pt;height:18.25pt" o:ole="">
            <v:imagedata r:id="rId384" o:title=""/>
          </v:shape>
          <o:OLEObject Type="Embed" ProgID="Equation.3" ShapeID="_x0000_i1195" DrawAspect="Content" ObjectID="_1457171846" r:id="rId385"/>
        </w:object>
      </w:r>
      <w:r>
        <w:t xml:space="preserve">.  The coolant domain does not possess an </w:t>
      </w:r>
      <w:r w:rsidRPr="004B1BBE">
        <w:rPr>
          <w:position w:val="-14"/>
        </w:rPr>
        <w:object w:dxaOrig="440" w:dyaOrig="380" w14:anchorId="60AA7AB6">
          <v:shape id="_x0000_i1196" type="#_x0000_t75" style="width:21.5pt;height:18.8pt" o:ole="">
            <v:imagedata r:id="rId367" o:title=""/>
          </v:shape>
          <o:OLEObject Type="Embed" ProgID="Equation.3" ShapeID="_x0000_i1196" DrawAspect="Content" ObjectID="_1457171847" r:id="rId386"/>
        </w:object>
      </w:r>
      <w:r>
        <w:t xml:space="preserve"> term.  </w:t>
      </w:r>
      <w:r w:rsidRPr="00676C3B">
        <w:rPr>
          <w:position w:val="-10"/>
        </w:rPr>
        <w:object w:dxaOrig="420" w:dyaOrig="340" w14:anchorId="66922C62">
          <v:shape id="_x0000_i1197" type="#_x0000_t75" style="width:20.95pt;height:17.75pt" o:ole="">
            <v:imagedata r:id="rId371" o:title=""/>
          </v:shape>
          <o:OLEObject Type="Embed" ProgID="Equation.3" ShapeID="_x0000_i1197" DrawAspect="Content" ObjectID="_1457171848" r:id="rId387"/>
        </w:object>
      </w:r>
      <w:r>
        <w:t xml:space="preserve"> in the 3D model</w:t>
      </w:r>
      <w:r w:rsidR="00BE3392">
        <w:t>’s coolant</w:t>
      </w:r>
      <w:r>
        <w:t xml:space="preserve"> is given by</w:t>
      </w:r>
    </w:p>
    <w:p w14:paraId="123D4F32" w14:textId="6ED40DD3" w:rsidR="00EE1699" w:rsidRDefault="00EE1699" w:rsidP="00EE1699">
      <w:pPr>
        <w:pStyle w:val="numberedeqnstyle"/>
      </w:pPr>
      <w:r w:rsidRPr="00A025AE">
        <w:tab/>
      </w:r>
      <w:r w:rsidR="00C1603C" w:rsidRPr="009E2226">
        <w:rPr>
          <w:position w:val="-38"/>
        </w:rPr>
        <w:object w:dxaOrig="6660" w:dyaOrig="660" w14:anchorId="128BA4C8">
          <v:shape id="_x0000_i1198" type="#_x0000_t75" style="width:336.35pt;height:30.1pt" o:ole="">
            <v:imagedata r:id="rId388" o:title=""/>
          </v:shape>
          <o:OLEObject Type="Embed" ProgID="Equation.3" ShapeID="_x0000_i1198" DrawAspect="Content" ObjectID="_1457171849" r:id="rId389"/>
        </w:object>
      </w:r>
      <w:r>
        <w:tab/>
      </w:r>
      <w:r>
        <w:fldChar w:fldCharType="begin"/>
      </w:r>
      <w:r>
        <w:instrText xml:space="preserve"> LISTNUM EQN \l 2 </w:instrText>
      </w:r>
      <w:r>
        <w:fldChar w:fldCharType="end"/>
      </w:r>
      <w:r>
        <w:t>)</w:t>
      </w:r>
    </w:p>
    <w:p w14:paraId="4B02B248" w14:textId="233E5B6F" w:rsidR="00BE3392" w:rsidRDefault="00DB32DF" w:rsidP="004B1BBE">
      <w:pPr>
        <w:ind w:firstLine="0"/>
      </w:pPr>
      <w:r>
        <w:t>where the middle term is the outlet enthalpy along the open axial boundary beneath the inner side plate.</w:t>
      </w:r>
      <w:r w:rsidR="00BE3392">
        <w:t xml:space="preserve">  Another way of looking at the energy balance in the coolant domain is to consider energy added to the system via the fuel plate and the change in enthalpy in the coolant and side plates between inlet and outlet.  Ideally:</w:t>
      </w:r>
    </w:p>
    <w:p w14:paraId="02805187" w14:textId="77777777" w:rsidR="00BE3392" w:rsidRDefault="00DB32DF" w:rsidP="00BE3392">
      <w:pPr>
        <w:pStyle w:val="numberedeqnstyle"/>
      </w:pPr>
      <w:r>
        <w:t xml:space="preserve"> </w:t>
      </w:r>
      <w:r w:rsidR="00BE3392" w:rsidRPr="00A025AE">
        <w:tab/>
      </w:r>
      <w:r w:rsidR="00943003" w:rsidRPr="00BE3392">
        <w:rPr>
          <w:position w:val="-14"/>
        </w:rPr>
        <w:object w:dxaOrig="1820" w:dyaOrig="380" w14:anchorId="78EEF6D5">
          <v:shape id="_x0000_i1199" type="#_x0000_t75" style="width:92.4pt;height:17.75pt" o:ole="">
            <v:imagedata r:id="rId390" o:title=""/>
          </v:shape>
          <o:OLEObject Type="Embed" ProgID="Equation.3" ShapeID="_x0000_i1199" DrawAspect="Content" ObjectID="_1457171850" r:id="rId391"/>
        </w:object>
      </w:r>
      <w:r w:rsidR="00BE3392">
        <w:tab/>
      </w:r>
      <w:r w:rsidR="00BE3392">
        <w:fldChar w:fldCharType="begin"/>
      </w:r>
      <w:r w:rsidR="00BE3392">
        <w:instrText xml:space="preserve"> LISTNUM EQN \l 2 </w:instrText>
      </w:r>
      <w:r w:rsidR="00BE3392">
        <w:fldChar w:fldCharType="end"/>
      </w:r>
      <w:r w:rsidR="00BE3392">
        <w:t>)</w:t>
      </w:r>
    </w:p>
    <w:p w14:paraId="489C41A3" w14:textId="33D26E4E" w:rsidR="00BE3392" w:rsidRDefault="00943003" w:rsidP="00BE3392">
      <w:pPr>
        <w:pStyle w:val="numberedeqnstyle"/>
        <w:ind w:firstLine="0"/>
      </w:pPr>
      <w:r>
        <w:t xml:space="preserve">where </w:t>
      </w:r>
      <w:r w:rsidRPr="004B79AC">
        <w:rPr>
          <w:position w:val="-10"/>
        </w:rPr>
        <w:object w:dxaOrig="460" w:dyaOrig="340" w14:anchorId="14FDA6EB">
          <v:shape id="_x0000_i1200" type="#_x0000_t75" style="width:23.1pt;height:17.2pt" o:ole="">
            <v:imagedata r:id="rId392" o:title=""/>
          </v:shape>
          <o:OLEObject Type="Embed" ProgID="Equation.3" ShapeID="_x0000_i1200" DrawAspect="Content" ObjectID="_1457171851" r:id="rId393"/>
        </w:object>
      </w:r>
      <w:r w:rsidR="00BE3392">
        <w:t xml:space="preserve"> is the change in enthalpy</w:t>
      </w:r>
      <w:r>
        <w:t>-per-unit-time</w:t>
      </w:r>
      <w:r w:rsidR="00EA234B">
        <w:t xml:space="preserve"> </w:t>
      </w:r>
      <w:r w:rsidR="009E115F">
        <w:t xml:space="preserve">in the coolant domain </w:t>
      </w:r>
      <w:r w:rsidR="00EA234B">
        <w:t>and</w:t>
      </w:r>
      <w:r w:rsidR="002C6616">
        <w:t xml:space="preserve"> the terms are given by</w:t>
      </w:r>
    </w:p>
    <w:p w14:paraId="02D8624B" w14:textId="7A137689" w:rsidR="00EA234B" w:rsidRDefault="00EA234B" w:rsidP="009E115F">
      <w:pPr>
        <w:pStyle w:val="numberedeqnstyle"/>
      </w:pPr>
      <w:r w:rsidRPr="00A025AE">
        <w:tab/>
      </w:r>
      <w:r w:rsidR="00271D0E" w:rsidRPr="00EA234B">
        <w:rPr>
          <w:position w:val="-38"/>
        </w:rPr>
        <w:object w:dxaOrig="3260" w:dyaOrig="660" w14:anchorId="003C213E">
          <v:shape id="_x0000_i1201" type="#_x0000_t75" style="width:164.4pt;height:30.1pt" o:ole="">
            <v:imagedata r:id="rId394" o:title=""/>
          </v:shape>
          <o:OLEObject Type="Embed" ProgID="Equation.3" ShapeID="_x0000_i1201" DrawAspect="Content" ObjectID="_1457171852" r:id="rId395"/>
        </w:object>
      </w:r>
      <w:r>
        <w:tab/>
      </w:r>
      <w:r>
        <w:fldChar w:fldCharType="begin"/>
      </w:r>
      <w:r>
        <w:instrText xml:space="preserve"> LISTNUM EQN \l 2 </w:instrText>
      </w:r>
      <w:r>
        <w:fldChar w:fldCharType="end"/>
      </w:r>
      <w:r>
        <w:t>)</w:t>
      </w:r>
    </w:p>
    <w:p w14:paraId="4B46E6DD" w14:textId="5F3F03A2" w:rsidR="002C6616" w:rsidRPr="00BE3392" w:rsidRDefault="002C6616" w:rsidP="002C6616">
      <w:pPr>
        <w:ind w:firstLine="0"/>
      </w:pPr>
      <w:r>
        <w:t>and</w:t>
      </w:r>
    </w:p>
    <w:p w14:paraId="333E74D0" w14:textId="3888586A" w:rsidR="00A2131C" w:rsidRPr="00BE3392" w:rsidRDefault="00A2131C" w:rsidP="00A2131C">
      <w:pPr>
        <w:pStyle w:val="numberedeqnstyle"/>
      </w:pPr>
      <w:r w:rsidRPr="00A025AE">
        <w:tab/>
      </w:r>
      <w:r w:rsidR="006E1622" w:rsidRPr="006E1622">
        <w:rPr>
          <w:position w:val="-18"/>
        </w:rPr>
        <w:object w:dxaOrig="4920" w:dyaOrig="440" w14:anchorId="15AD450B">
          <v:shape id="_x0000_i1202" type="#_x0000_t75" style="width:247.7pt;height:20.95pt" o:ole="">
            <v:imagedata r:id="rId396" o:title=""/>
          </v:shape>
          <o:OLEObject Type="Embed" ProgID="Equation.3" ShapeID="_x0000_i1202" DrawAspect="Content" ObjectID="_1457171853" r:id="rId397"/>
        </w:object>
      </w:r>
      <w:r w:rsidR="009D6B66">
        <w:t>.</w:t>
      </w:r>
      <w:r>
        <w:tab/>
      </w:r>
      <w:r>
        <w:fldChar w:fldCharType="begin"/>
      </w:r>
      <w:r>
        <w:instrText xml:space="preserve"> LISTNUM EQN \l 2 </w:instrText>
      </w:r>
      <w:r>
        <w:fldChar w:fldCharType="end"/>
      </w:r>
      <w:r>
        <w:t>)</w:t>
      </w:r>
    </w:p>
    <w:p w14:paraId="4769BE69" w14:textId="108B208F" w:rsidR="00C1603C" w:rsidRDefault="00CE7802" w:rsidP="00CE7802">
      <w:r>
        <w:t xml:space="preserve">Coolant energy values are formulated differently for the coupled model.  Since the coolant is represented via a two-dimensional </w:t>
      </w:r>
      <w:r>
        <w:rPr>
          <w:i/>
        </w:rPr>
        <w:t>t</w:t>
      </w:r>
      <w:r>
        <w:t>-</w:t>
      </w:r>
      <w:r>
        <w:rPr>
          <w:i/>
        </w:rPr>
        <w:t>z</w:t>
      </w:r>
      <w:r>
        <w:t xml:space="preserve"> slice</w:t>
      </w:r>
      <w:r w:rsidR="00943003">
        <w:t>,</w:t>
      </w:r>
      <w:r w:rsidR="00C1603C">
        <w:t xml:space="preserve"> boundary integrals become line integrals.  These quantities must be multiplied by the span of the coolant channel, Δ</w:t>
      </w:r>
      <w:r w:rsidR="00C1603C">
        <w:rPr>
          <w:i/>
        </w:rPr>
        <w:t>s</w:t>
      </w:r>
      <w:r w:rsidR="00C1603C">
        <w:t xml:space="preserve">, in order to maintain </w:t>
      </w:r>
      <w:r w:rsidR="00943003">
        <w:t>dimensional parity.  The energy-</w:t>
      </w:r>
      <w:r w:rsidR="00C1603C">
        <w:t xml:space="preserve">in and </w:t>
      </w:r>
      <w:r w:rsidR="00943003">
        <w:t>energy-</w:t>
      </w:r>
      <w:r w:rsidR="00C1603C">
        <w:t>out terms become</w:t>
      </w:r>
    </w:p>
    <w:p w14:paraId="095951DC" w14:textId="4DD94205" w:rsidR="00785B09" w:rsidRDefault="00785B09" w:rsidP="00785B09">
      <w:pPr>
        <w:pStyle w:val="numberedeqnstyle"/>
      </w:pPr>
      <w:r w:rsidRPr="00A025AE">
        <w:tab/>
      </w:r>
      <w:r w:rsidR="00277DB3" w:rsidRPr="00C25E46">
        <w:rPr>
          <w:position w:val="-36"/>
        </w:rPr>
        <w:object w:dxaOrig="4760" w:dyaOrig="639" w14:anchorId="7404C40F">
          <v:shape id="_x0000_i1203" type="#_x0000_t75" style="width:241.25pt;height:28.5pt" o:ole="">
            <v:imagedata r:id="rId398" o:title=""/>
          </v:shape>
          <o:OLEObject Type="Embed" ProgID="Equation.3" ShapeID="_x0000_i1203" DrawAspect="Content" ObjectID="_1457171854" r:id="rId399"/>
        </w:object>
      </w:r>
      <w:r>
        <w:tab/>
      </w:r>
      <w:r>
        <w:fldChar w:fldCharType="begin"/>
      </w:r>
      <w:r>
        <w:instrText xml:space="preserve"> LISTNUM EQN \l 2 </w:instrText>
      </w:r>
      <w:r>
        <w:fldChar w:fldCharType="end"/>
      </w:r>
      <w:r>
        <w:t>)</w:t>
      </w:r>
    </w:p>
    <w:p w14:paraId="23B41CA7" w14:textId="3E47E35F" w:rsidR="00C25E46" w:rsidRDefault="00C25E46" w:rsidP="00C25E46">
      <w:pPr>
        <w:pStyle w:val="numberedeqnstyle"/>
      </w:pPr>
      <w:r>
        <w:t>and</w:t>
      </w:r>
    </w:p>
    <w:p w14:paraId="3B6EBF84" w14:textId="1D5A31EE" w:rsidR="00C1603C" w:rsidRDefault="00785B09" w:rsidP="00C25E46">
      <w:pPr>
        <w:pStyle w:val="numberedeqnstyle"/>
      </w:pPr>
      <w:r w:rsidRPr="00A025AE">
        <w:tab/>
      </w:r>
      <w:r w:rsidR="00C25E46" w:rsidRPr="00C25E46">
        <w:rPr>
          <w:position w:val="-32"/>
        </w:rPr>
        <w:object w:dxaOrig="6140" w:dyaOrig="600" w14:anchorId="129AC10C">
          <v:shape id="_x0000_i1204" type="#_x0000_t75" style="width:310.05pt;height:27.95pt" o:ole="">
            <v:imagedata r:id="rId400" o:title=""/>
          </v:shape>
          <o:OLEObject Type="Embed" ProgID="Equation.3" ShapeID="_x0000_i1204" DrawAspect="Content" ObjectID="_1457171855" r:id="rId401"/>
        </w:object>
      </w:r>
      <w:r>
        <w:tab/>
      </w:r>
      <w:r>
        <w:fldChar w:fldCharType="begin"/>
      </w:r>
      <w:r>
        <w:instrText xml:space="preserve"> LISTNUM EQN \l 2 </w:instrText>
      </w:r>
      <w:r>
        <w:fldChar w:fldCharType="end"/>
      </w:r>
      <w:r w:rsidR="00C25E46">
        <w:t>)</w:t>
      </w:r>
    </w:p>
    <w:p w14:paraId="1D4A7D16" w14:textId="08D06982" w:rsidR="00CE7802" w:rsidRDefault="00C1603C" w:rsidP="00C21951">
      <w:pPr>
        <w:ind w:firstLine="0"/>
      </w:pPr>
      <w:r>
        <w:t>where terms for the side plates and the open boundary beneath the inner side plate are neglected because such features are not present in the coupled model.</w:t>
      </w:r>
      <w:r w:rsidR="00C25E46">
        <w:t xml:space="preserve">  The normal </w:t>
      </w:r>
      <w:r w:rsidR="00C25E46" w:rsidRPr="002947CB">
        <w:rPr>
          <w:position w:val="-10"/>
        </w:rPr>
        <w:object w:dxaOrig="660" w:dyaOrig="320" w14:anchorId="2B8A62B3">
          <v:shape id="_x0000_i1205" type="#_x0000_t75" style="width:33.3pt;height:16.1pt" o:ole="">
            <v:imagedata r:id="rId402" o:title=""/>
          </v:shape>
          <o:OLEObject Type="Embed" ProgID="Equation.3" ShapeID="_x0000_i1205" DrawAspect="Content" ObjectID="_1457171856" r:id="rId403"/>
        </w:object>
      </w:r>
      <w:r w:rsidR="00C25E46">
        <w:t xml:space="preserve"> is the outward facing normal </w:t>
      </w:r>
      <w:r w:rsidR="00C25E46">
        <w:lastRenderedPageBreak/>
        <w:t xml:space="preserve">vector for the coolant domain edge boundary corresponding to the concave surface of the fuel plate.  The normal </w:t>
      </w:r>
      <w:r w:rsidR="00C25E46" w:rsidRPr="002947CB">
        <w:rPr>
          <w:position w:val="-10"/>
        </w:rPr>
        <w:object w:dxaOrig="600" w:dyaOrig="320" w14:anchorId="1F920533">
          <v:shape id="_x0000_i1206" type="#_x0000_t75" style="width:30.1pt;height:16.1pt" o:ole="">
            <v:imagedata r:id="rId404" o:title=""/>
          </v:shape>
          <o:OLEObject Type="Embed" ProgID="Equation.3" ShapeID="_x0000_i1206" DrawAspect="Content" ObjectID="_1457171857" r:id="rId405"/>
        </w:object>
      </w:r>
      <w:r w:rsidR="00C25E46">
        <w:t>corresponds to the opposite fuel plate edge boundary in the coolant domain.</w:t>
      </w:r>
      <w:r w:rsidR="00271D0E">
        <w:t xml:space="preserve">  Whereas the energy leaving the fuel plate, </w:t>
      </w:r>
      <w:r w:rsidR="00271D0E" w:rsidRPr="002947CB">
        <w:rPr>
          <w:position w:val="-14"/>
        </w:rPr>
        <w:object w:dxaOrig="540" w:dyaOrig="380" w14:anchorId="094ED257">
          <v:shape id="_x0000_i1207" type="#_x0000_t75" style="width:27.4pt;height:18.8pt" o:ole="">
            <v:imagedata r:id="rId406" o:title=""/>
          </v:shape>
          <o:OLEObject Type="Embed" ProgID="Equation.3" ShapeID="_x0000_i1207" DrawAspect="Content" ObjectID="_1457171858" r:id="rId407"/>
        </w:object>
      </w:r>
      <w:r w:rsidR="00271D0E">
        <w:t xml:space="preserve">, and the energy entering the coolant domain from the fuel plate, </w:t>
      </w:r>
      <w:r w:rsidR="00271D0E" w:rsidRPr="002947CB">
        <w:rPr>
          <w:position w:val="-14"/>
        </w:rPr>
        <w:object w:dxaOrig="859" w:dyaOrig="380" w14:anchorId="61F135B2">
          <v:shape id="_x0000_i1208" type="#_x0000_t75" style="width:43.5pt;height:18.8pt" o:ole="">
            <v:imagedata r:id="rId408" o:title=""/>
          </v:shape>
          <o:OLEObject Type="Embed" ProgID="Equation.3" ShapeID="_x0000_i1208" DrawAspect="Content" ObjectID="_1457171859" r:id="rId409"/>
        </w:object>
      </w:r>
      <w:r w:rsidR="00271D0E">
        <w:t xml:space="preserve">, are </w:t>
      </w:r>
      <w:r w:rsidR="00BF0C43">
        <w:t>equal</w:t>
      </w:r>
      <w:r w:rsidR="00271D0E">
        <w:t xml:space="preserve"> the 3D model, the same assumption cannot be made in the coupled model.  This is due to the fact that they are separated via the interdimensional model coupling mechanism in the coupled model</w:t>
      </w:r>
      <w:r w:rsidR="00BF0C43">
        <w:t>.</w:t>
      </w:r>
    </w:p>
    <w:p w14:paraId="558F055D" w14:textId="0CF20943" w:rsidR="00EE1699" w:rsidRDefault="009D6B66" w:rsidP="00CE7802">
      <w:r>
        <w:t>Ind</w:t>
      </w:r>
      <w:r w:rsidR="00C21951">
        <w:t>ividual energy balances can</w:t>
      </w:r>
      <w:r>
        <w:t xml:space="preserve"> be constructed for each domain such that</w:t>
      </w:r>
    </w:p>
    <w:p w14:paraId="64C9888B" w14:textId="77777777" w:rsidR="009D6B66" w:rsidRDefault="009D6B66" w:rsidP="009D6B66">
      <w:pPr>
        <w:pStyle w:val="numberedeqnstyle"/>
      </w:pPr>
      <w:r w:rsidRPr="00A025AE">
        <w:tab/>
      </w:r>
      <w:r w:rsidR="002C6616" w:rsidRPr="009D6B66">
        <w:rPr>
          <w:position w:val="-30"/>
        </w:rPr>
        <w:object w:dxaOrig="2680" w:dyaOrig="760" w14:anchorId="2DF32B1B">
          <v:shape id="_x0000_i1209" type="#_x0000_t75" style="width:135.4pt;height:34.4pt" o:ole="">
            <v:imagedata r:id="rId410" o:title=""/>
          </v:shape>
          <o:OLEObject Type="Embed" ProgID="Equation.3" ShapeID="_x0000_i1209" DrawAspect="Content" ObjectID="_1457171860" r:id="rId411"/>
        </w:object>
      </w:r>
      <w:r>
        <w:tab/>
      </w:r>
      <w:r>
        <w:fldChar w:fldCharType="begin"/>
      </w:r>
      <w:r>
        <w:instrText xml:space="preserve"> LISTNUM EQN \l 2 </w:instrText>
      </w:r>
      <w:r>
        <w:fldChar w:fldCharType="end"/>
      </w:r>
      <w:r>
        <w:t>)</w:t>
      </w:r>
    </w:p>
    <w:p w14:paraId="28820672" w14:textId="2B402BF2" w:rsidR="009D6B66" w:rsidRDefault="009D6B66" w:rsidP="009D6B66">
      <w:pPr>
        <w:ind w:firstLine="0"/>
      </w:pPr>
      <w:r>
        <w:t xml:space="preserve">and </w:t>
      </w:r>
    </w:p>
    <w:p w14:paraId="6AB1514A" w14:textId="57708885" w:rsidR="009D6B66" w:rsidRDefault="009D6B66" w:rsidP="009D6B66">
      <w:pPr>
        <w:pStyle w:val="numberedeqnstyle"/>
      </w:pPr>
      <w:r w:rsidRPr="00A025AE">
        <w:tab/>
      </w:r>
      <w:r w:rsidR="00FB64EE" w:rsidRPr="00FB64EE">
        <w:rPr>
          <w:position w:val="-30"/>
        </w:rPr>
        <w:object w:dxaOrig="2540" w:dyaOrig="760" w14:anchorId="42CDC2A7">
          <v:shape id="_x0000_i1210" type="#_x0000_t75" style="width:128.4pt;height:34.4pt" o:ole="">
            <v:imagedata r:id="rId412" o:title=""/>
          </v:shape>
          <o:OLEObject Type="Embed" ProgID="Equation.3" ShapeID="_x0000_i1210" DrawAspect="Content" ObjectID="_1457171861" r:id="rId413"/>
        </w:object>
      </w:r>
      <w:r>
        <w:t>.</w:t>
      </w:r>
      <w:r>
        <w:tab/>
      </w:r>
      <w:r>
        <w:fldChar w:fldCharType="begin"/>
      </w:r>
      <w:r>
        <w:instrText xml:space="preserve"> LISTNUM EQN \l 2 </w:instrText>
      </w:r>
      <w:r>
        <w:fldChar w:fldCharType="end"/>
      </w:r>
      <w:r>
        <w:t>)</w:t>
      </w:r>
    </w:p>
    <w:p w14:paraId="3DFF6859" w14:textId="29F357F1" w:rsidR="009D6B66" w:rsidRDefault="009D6B66" w:rsidP="00066EE0">
      <w:r>
        <w:t xml:space="preserve">In both local energy balances, the incoming energy is assumed to represent the </w:t>
      </w:r>
      <w:r>
        <w:rPr>
          <w:i/>
        </w:rPr>
        <w:t>true</w:t>
      </w:r>
      <w:r>
        <w:t xml:space="preserve"> energy.  Any nonzero result to the energy balance is thus attributed to the outgoing term (loosely defined in the coolant domain).  In the fuel plate, the nuclear heat generation term actually is the </w:t>
      </w:r>
      <w:r>
        <w:rPr>
          <w:i/>
        </w:rPr>
        <w:t>true</w:t>
      </w:r>
      <w:r>
        <w:t xml:space="preserve"> energy</w:t>
      </w:r>
      <w:r w:rsidR="00D81EAB">
        <w:t xml:space="preserve"> </w:t>
      </w:r>
      <w:r>
        <w:t>since it is set a</w:t>
      </w:r>
      <w:r w:rsidR="00C21951">
        <w:t>t a</w:t>
      </w:r>
      <w:r>
        <w:t xml:space="preserve"> fixed, predetermined value.</w:t>
      </w:r>
      <w:r w:rsidR="00D81EAB">
        <w:t xml:space="preserve">  Thus in this region, both the relative local error and the total global error are the same.</w:t>
      </w:r>
      <w:r>
        <w:t xml:space="preserve">  In the coolant, however, the incoming heat </w:t>
      </w:r>
      <w:r w:rsidR="00D81EAB">
        <w:t xml:space="preserve">flow itself can be incorrect, thus </w:t>
      </w:r>
      <w:r w:rsidR="00D81EAB">
        <w:rPr>
          <w:i/>
        </w:rPr>
        <w:t>e</w:t>
      </w:r>
      <w:r w:rsidR="00D81EAB">
        <w:rPr>
          <w:i/>
          <w:vertAlign w:val="subscript"/>
        </w:rPr>
        <w:t>c</w:t>
      </w:r>
      <w:r w:rsidR="00D81EAB">
        <w:t xml:space="preserve"> is only good for quantifying the relative local error.</w:t>
      </w:r>
      <w:r w:rsidR="002D0277">
        <w:t xml:space="preserve"> In order to understand the total error</w:t>
      </w:r>
      <w:r w:rsidR="00D81EAB">
        <w:t xml:space="preserve"> in the coolant</w:t>
      </w:r>
      <w:r w:rsidR="002D0277">
        <w:t xml:space="preserve">, a global energy balance, </w:t>
      </w:r>
      <w:r w:rsidR="002D0277">
        <w:rPr>
          <w:i/>
        </w:rPr>
        <w:t>e</w:t>
      </w:r>
      <w:r w:rsidR="002D0277">
        <w:rPr>
          <w:i/>
          <w:vertAlign w:val="subscript"/>
        </w:rPr>
        <w:t>g</w:t>
      </w:r>
      <w:r w:rsidR="002D0277">
        <w:t>, is constructed to compare the nuclear heat generation against the change in coolant channel enthalpy:</w:t>
      </w:r>
    </w:p>
    <w:p w14:paraId="2002D1BB" w14:textId="77777777" w:rsidR="002D0277" w:rsidRDefault="002D0277" w:rsidP="002D0277">
      <w:pPr>
        <w:pStyle w:val="numberedeqnstyle"/>
      </w:pPr>
      <w:r w:rsidRPr="00A025AE">
        <w:tab/>
      </w:r>
      <w:r w:rsidR="002C6616" w:rsidRPr="002D0277">
        <w:rPr>
          <w:position w:val="-30"/>
        </w:rPr>
        <w:object w:dxaOrig="2580" w:dyaOrig="760" w14:anchorId="56DAB948">
          <v:shape id="_x0000_i1211" type="#_x0000_t75" style="width:131.1pt;height:34.4pt" o:ole="">
            <v:imagedata r:id="rId414" o:title=""/>
          </v:shape>
          <o:OLEObject Type="Embed" ProgID="Equation.3" ShapeID="_x0000_i1211" DrawAspect="Content" ObjectID="_1457171862" r:id="rId415"/>
        </w:object>
      </w:r>
      <w:r>
        <w:t>.</w:t>
      </w:r>
      <w:r>
        <w:tab/>
      </w:r>
      <w:r>
        <w:fldChar w:fldCharType="begin"/>
      </w:r>
      <w:r>
        <w:instrText xml:space="preserve"> LISTNUM EQN \l 2 </w:instrText>
      </w:r>
      <w:r>
        <w:fldChar w:fldCharType="end"/>
      </w:r>
      <w:r>
        <w:t>)</w:t>
      </w:r>
    </w:p>
    <w:p w14:paraId="54CF44E5" w14:textId="308025FD" w:rsidR="00C21951" w:rsidRDefault="00C21951" w:rsidP="00B92FA2">
      <w:r>
        <w:t>An additional error evaluation can be defined in the coupled model for the interdimensional model coupling</w:t>
      </w:r>
      <w:r w:rsidR="00E30040">
        <w:t xml:space="preserve"> mechanism</w:t>
      </w:r>
      <w:r w:rsidR="00277DB3">
        <w:t xml:space="preserve"> itself</w:t>
      </w:r>
      <w:r w:rsidR="0069349F">
        <w:t xml:space="preserve">.  The error of the 3D-to-2D coupling, </w:t>
      </w:r>
      <w:r w:rsidR="0069349F">
        <w:rPr>
          <w:i/>
        </w:rPr>
        <w:t>e</w:t>
      </w:r>
      <w:r w:rsidR="0069349F">
        <w:rPr>
          <w:i/>
          <w:vertAlign w:val="subscript"/>
        </w:rPr>
        <w:t>imc</w:t>
      </w:r>
      <w:r w:rsidR="0069349F">
        <w:t>, can be calculated according to</w:t>
      </w:r>
    </w:p>
    <w:p w14:paraId="4D438419" w14:textId="77777777" w:rsidR="00277DB3" w:rsidRDefault="00277DB3" w:rsidP="00277DB3">
      <w:pPr>
        <w:pStyle w:val="numberedeqnstyle"/>
      </w:pPr>
      <w:r w:rsidRPr="00A025AE">
        <w:tab/>
      </w:r>
      <w:r w:rsidRPr="002D0277">
        <w:rPr>
          <w:position w:val="-30"/>
        </w:rPr>
        <w:object w:dxaOrig="3080" w:dyaOrig="760" w14:anchorId="06F3AD14">
          <v:shape id="_x0000_i1212" type="#_x0000_t75" style="width:155.3pt;height:34.4pt" o:ole="">
            <v:imagedata r:id="rId416" o:title=""/>
          </v:shape>
          <o:OLEObject Type="Embed" ProgID="Equation.3" ShapeID="_x0000_i1212" DrawAspect="Content" ObjectID="_1457171863" r:id="rId417"/>
        </w:object>
      </w:r>
      <w:r>
        <w:t>.</w:t>
      </w:r>
      <w:r>
        <w:tab/>
      </w:r>
      <w:r>
        <w:fldChar w:fldCharType="begin"/>
      </w:r>
      <w:r>
        <w:instrText xml:space="preserve"> LISTNUM EQN \l 2 </w:instrText>
      </w:r>
      <w:r>
        <w:fldChar w:fldCharType="end"/>
      </w:r>
      <w:r>
        <w:t>)</w:t>
      </w:r>
    </w:p>
    <w:p w14:paraId="5BC31B3B" w14:textId="688F45CC" w:rsidR="00277DB3" w:rsidRDefault="0069349F" w:rsidP="00B92FA2">
      <w:r>
        <w:t xml:space="preserve">The reverse, an evaluation of error in the 2D-to-3D coupling, is not readily calculable.  While the effects of the convective boundary condition in the fuel plate domain can be measured, there is no direct </w:t>
      </w:r>
      <w:r>
        <w:lastRenderedPageBreak/>
        <w:t>counterpart in the coolant domain with which to compare.  The fact that the convective boundary is itself composed of values calculated in both domains makes any such error analysis all but impossible.  Thus the 3D-to-2D error must be used to evaluate the entire model coupling mechanism.</w:t>
      </w:r>
    </w:p>
    <w:p w14:paraId="0E515743" w14:textId="19B327D3" w:rsidR="00F41A69" w:rsidRDefault="00FF4931" w:rsidP="00B92FA2">
      <w:r>
        <w:t>Using</w:t>
      </w:r>
      <w:r w:rsidR="002C6616">
        <w:t xml:space="preserve"> </w:t>
      </w:r>
      <w:r w:rsidR="002C6616" w:rsidRPr="004B1BBE">
        <w:rPr>
          <w:position w:val="-14"/>
        </w:rPr>
        <w:object w:dxaOrig="580" w:dyaOrig="380" w14:anchorId="1159538C">
          <v:shape id="_x0000_i1213" type="#_x0000_t75" style="width:28.5pt;height:18.8pt" o:ole="">
            <v:imagedata r:id="rId418" o:title=""/>
          </v:shape>
          <o:OLEObject Type="Embed" ProgID="Equation.3" ShapeID="_x0000_i1213" DrawAspect="Content" ObjectID="_1457171864" r:id="rId419"/>
        </w:object>
      </w:r>
      <w:r w:rsidR="002C6616">
        <w:t xml:space="preserve"> as a reference value, the energy terms used in calculating error can be normalized to produce</w:t>
      </w:r>
    </w:p>
    <w:p w14:paraId="4A3C2131" w14:textId="756CC141" w:rsidR="002C6616" w:rsidRDefault="002C6616" w:rsidP="002C6616">
      <w:pPr>
        <w:pStyle w:val="numberedeqnstyle"/>
      </w:pPr>
      <w:r w:rsidRPr="00A025AE">
        <w:tab/>
      </w:r>
      <w:r w:rsidRPr="002D0277">
        <w:rPr>
          <w:position w:val="-30"/>
        </w:rPr>
        <w:object w:dxaOrig="1660" w:dyaOrig="720" w14:anchorId="278591EE">
          <v:shape id="_x0000_i1214" type="#_x0000_t75" style="width:84.35pt;height:33.3pt" o:ole="">
            <v:imagedata r:id="rId420" o:title=""/>
          </v:shape>
          <o:OLEObject Type="Embed" ProgID="Equation.3" ShapeID="_x0000_i1214" DrawAspect="Content" ObjectID="_1457171865" r:id="rId421"/>
        </w:object>
      </w:r>
      <w:r>
        <w:t>,</w:t>
      </w:r>
      <w:r>
        <w:tab/>
      </w:r>
      <w:r>
        <w:fldChar w:fldCharType="begin"/>
      </w:r>
      <w:r>
        <w:instrText xml:space="preserve"> LISTNUM EQN \l 2 </w:instrText>
      </w:r>
      <w:r>
        <w:fldChar w:fldCharType="end"/>
      </w:r>
      <w:r>
        <w:t>)</w:t>
      </w:r>
    </w:p>
    <w:p w14:paraId="69A7717A" w14:textId="77777777" w:rsidR="002C6616" w:rsidRDefault="002C6616" w:rsidP="002C6616">
      <w:pPr>
        <w:pStyle w:val="numberedeqnstyle"/>
      </w:pPr>
      <w:r w:rsidRPr="00A025AE">
        <w:tab/>
      </w:r>
      <w:r w:rsidR="00A0712C" w:rsidRPr="002D0277">
        <w:rPr>
          <w:position w:val="-30"/>
        </w:rPr>
        <w:object w:dxaOrig="1340" w:dyaOrig="720" w14:anchorId="57C9895C">
          <v:shape id="_x0000_i1215" type="#_x0000_t75" style="width:68.8pt;height:33.3pt" o:ole="">
            <v:imagedata r:id="rId422" o:title=""/>
          </v:shape>
          <o:OLEObject Type="Embed" ProgID="Equation.3" ShapeID="_x0000_i1215" DrawAspect="Content" ObjectID="_1457171866" r:id="rId423"/>
        </w:object>
      </w:r>
      <w:r>
        <w:t>,</w:t>
      </w:r>
      <w:r>
        <w:tab/>
      </w:r>
      <w:r>
        <w:fldChar w:fldCharType="begin"/>
      </w:r>
      <w:r>
        <w:instrText xml:space="preserve"> LISTNUM EQN \l 2 </w:instrText>
      </w:r>
      <w:r>
        <w:fldChar w:fldCharType="end"/>
      </w:r>
      <w:r>
        <w:t>)</w:t>
      </w:r>
    </w:p>
    <w:p w14:paraId="49F0894F" w14:textId="6C3DA951" w:rsidR="00066EE0" w:rsidRDefault="00066EE0" w:rsidP="00066EE0">
      <w:pPr>
        <w:pStyle w:val="numberedeqnstyle"/>
      </w:pPr>
      <w:r w:rsidRPr="00A025AE">
        <w:tab/>
      </w:r>
      <w:r w:rsidRPr="002D0277">
        <w:rPr>
          <w:position w:val="-30"/>
        </w:rPr>
        <w:object w:dxaOrig="1920" w:dyaOrig="720" w14:anchorId="7F63EDC1">
          <v:shape id="_x0000_i1216" type="#_x0000_t75" style="width:97.25pt;height:33.3pt" o:ole="">
            <v:imagedata r:id="rId424" o:title=""/>
          </v:shape>
          <o:OLEObject Type="Embed" ProgID="Equation.3" ShapeID="_x0000_i1216" DrawAspect="Content" ObjectID="_1457171867" r:id="rId425"/>
        </w:object>
      </w:r>
      <w:r>
        <w:t>,</w:t>
      </w:r>
      <w:r>
        <w:tab/>
      </w:r>
      <w:r>
        <w:fldChar w:fldCharType="begin"/>
      </w:r>
      <w:r>
        <w:instrText xml:space="preserve"> LISTNUM EQN \l 2 </w:instrText>
      </w:r>
      <w:r>
        <w:fldChar w:fldCharType="end"/>
      </w:r>
      <w:r>
        <w:t>)</w:t>
      </w:r>
    </w:p>
    <w:p w14:paraId="1D22F452" w14:textId="754213B5" w:rsidR="00FB64EE" w:rsidRDefault="00FB64EE" w:rsidP="00FB64EE">
      <w:pPr>
        <w:ind w:firstLine="0"/>
      </w:pPr>
      <w:r>
        <w:t>and</w:t>
      </w:r>
    </w:p>
    <w:p w14:paraId="758158D5" w14:textId="40625AE6" w:rsidR="00FB64EE" w:rsidRDefault="00FB64EE" w:rsidP="00FB64EE">
      <w:pPr>
        <w:pStyle w:val="numberedeqnstyle"/>
      </w:pPr>
      <w:r w:rsidRPr="00A025AE">
        <w:tab/>
      </w:r>
      <w:r w:rsidR="006E1622" w:rsidRPr="002D0277">
        <w:rPr>
          <w:position w:val="-30"/>
        </w:rPr>
        <w:object w:dxaOrig="1240" w:dyaOrig="700" w14:anchorId="14074226">
          <v:shape id="_x0000_i1217" type="#_x0000_t75" style="width:61.8pt;height:31.7pt" o:ole="">
            <v:imagedata r:id="rId426" o:title=""/>
          </v:shape>
          <o:OLEObject Type="Embed" ProgID="Equation.3" ShapeID="_x0000_i1217" DrawAspect="Content" ObjectID="_1457171868" r:id="rId427"/>
        </w:object>
      </w:r>
      <w:r>
        <w:t>.</w:t>
      </w:r>
      <w:r>
        <w:tab/>
      </w:r>
      <w:r>
        <w:fldChar w:fldCharType="begin"/>
      </w:r>
      <w:r>
        <w:instrText xml:space="preserve"> LISTNUM EQN \l 2 </w:instrText>
      </w:r>
      <w:r>
        <w:fldChar w:fldCharType="end"/>
      </w:r>
      <w:r>
        <w:t>)</w:t>
      </w:r>
    </w:p>
    <w:p w14:paraId="66AF7C57" w14:textId="280FE3D2" w:rsidR="00FB64EE" w:rsidRDefault="00403014" w:rsidP="00403014">
      <w:r>
        <w:t xml:space="preserve">Another means of model evaluation lies in fuel plate temperatures.  Specifically, the maximum fuel meat temperature can be used as a rough guide to determine a model’s validity.  While the energy balance method provides an empirical means of comparing a given model’s solution against a known quantity, the maximum temperature method is only useful for </w:t>
      </w:r>
      <w:r w:rsidR="00607070">
        <w:t>providing a relative comparison between models</w:t>
      </w:r>
      <w:r>
        <w:t>.</w:t>
      </w:r>
      <w:r w:rsidR="00607070">
        <w:t xml:space="preserve">  Thus when considering two models there is no way to declare one superior to the other based purely on their maximum fuel meat temperatures</w:t>
      </w:r>
      <w:r w:rsidR="00487672">
        <w:t xml:space="preserve"> (assuming they are both within reason)</w:t>
      </w:r>
      <w:r w:rsidR="00607070">
        <w:t xml:space="preserve">.  In the course of a mesh convergence study in which many similar models are compared against each other, </w:t>
      </w:r>
      <w:r w:rsidR="00487672">
        <w:t xml:space="preserve">however, </w:t>
      </w:r>
      <w:r w:rsidR="00607070">
        <w:t>it can provide a meaningful way with which to</w:t>
      </w:r>
      <w:r w:rsidR="00926459">
        <w:t xml:space="preserve"> track convergence</w:t>
      </w:r>
      <w:r w:rsidR="00607070">
        <w:t>.</w:t>
      </w:r>
    </w:p>
    <w:p w14:paraId="2BE600E7" w14:textId="3AC75232" w:rsidR="0031096A" w:rsidRDefault="0031096A" w:rsidP="0031096A">
      <w:pPr>
        <w:pStyle w:val="Heading2"/>
      </w:pPr>
      <w:r>
        <w:fldChar w:fldCharType="begin"/>
      </w:r>
      <w:r>
        <w:instrText xml:space="preserve"> LISTNUM CHAP \l 2 </w:instrText>
      </w:r>
      <w:bookmarkStart w:id="255" w:name="_Toc382921555"/>
      <w:r>
        <w:fldChar w:fldCharType="end"/>
      </w:r>
      <w:r>
        <w:t xml:space="preserve">    3D Model Mesh Convergence</w:t>
      </w:r>
      <w:bookmarkEnd w:id="255"/>
    </w:p>
    <w:p w14:paraId="3829DBB0" w14:textId="3E4EBFFD" w:rsidR="000C67E5" w:rsidRDefault="00A10BBB" w:rsidP="00B92FA2">
      <w:r>
        <w:t>Solutions presented in this section will be for the axially-consistent LEU fuel geometry only.</w:t>
      </w:r>
      <w:r w:rsidR="000F07A7">
        <w:t xml:space="preserve">  The axially-graded LEU geometry is excluded sever hike in computational cost associated with solving the extra mesh elements in the axially-graded section of the fuel meat.  Solutions are otherwise centered on the LEU, versus the HEU, geometry because the desire to model it was the initial impetus behind </w:t>
      </w:r>
      <w:r w:rsidR="00B408AC">
        <w:t xml:space="preserve">the </w:t>
      </w:r>
      <w:r w:rsidR="00B408AC">
        <w:lastRenderedPageBreak/>
        <w:t xml:space="preserve">thesis. </w:t>
      </w:r>
      <w:r>
        <w:t xml:space="preserve"> </w:t>
      </w:r>
      <w:r w:rsidR="000C67E5">
        <w:t xml:space="preserve">The 3D model mesh convergence study is truncated in comparison to the coupled model’s study.  This is </w:t>
      </w:r>
      <w:r w:rsidR="006E1FAA">
        <w:t>a result of the model’s complexity and sensitivity</w:t>
      </w:r>
      <w:r w:rsidR="000C67E5">
        <w:t xml:space="preserve">.  </w:t>
      </w:r>
      <w:r w:rsidR="006E1FAA">
        <w:t>T</w:t>
      </w:r>
      <w:r w:rsidR="000C67E5">
        <w:t>he axial mesh distribution was held constant for the mesh convergence study.  The 2X MCNP axial mesh distribution was found to be adequate for al</w:t>
      </w:r>
      <w:r w:rsidR="008910DF">
        <w:t>l domains.  Solutions for temperature along an axial cut line bisecting the point of maximum fuel meat temperature using both</w:t>
      </w:r>
      <w:r w:rsidR="000C67E5">
        <w:t xml:space="preserve"> the 2X and 1X </w:t>
      </w:r>
      <w:r w:rsidR="008910DF">
        <w:t>mesh distribution</w:t>
      </w:r>
      <w:r w:rsidR="006E1FAA">
        <w:t>s</w:t>
      </w:r>
      <w:r w:rsidR="008910DF">
        <w:t xml:space="preserve"> are</w:t>
      </w:r>
      <w:r w:rsidR="000C67E5">
        <w:t xml:space="preserve"> shown in Fig. </w:t>
      </w:r>
      <w:r w:rsidR="005D38CF">
        <w:fldChar w:fldCharType="begin"/>
      </w:r>
      <w:r w:rsidR="005D38CF">
        <w:instrText xml:space="preserve"> REF _Ref381799031 \r \h </w:instrText>
      </w:r>
      <w:r w:rsidR="005D38CF">
        <w:fldChar w:fldCharType="separate"/>
      </w:r>
      <w:r w:rsidR="001C5EC1">
        <w:t>7.1</w:t>
      </w:r>
      <w:r w:rsidR="005D38CF">
        <w:fldChar w:fldCharType="end"/>
      </w:r>
      <w:r w:rsidR="000C67E5">
        <w:t>.</w:t>
      </w:r>
    </w:p>
    <w:p w14:paraId="306660B7" w14:textId="7C62551F" w:rsidR="000C67E5" w:rsidRDefault="007F171E" w:rsidP="000C67E5">
      <w:pPr>
        <w:pStyle w:val="PictureSytel"/>
      </w:pPr>
      <w:r>
        <w:rPr>
          <w:noProof/>
        </w:rPr>
        <w:drawing>
          <wp:inline distT="0" distB="0" distL="0" distR="0" wp14:anchorId="63688198" wp14:editId="56DAA6C0">
            <wp:extent cx="4968862" cy="2544418"/>
            <wp:effectExtent l="19050" t="19050" r="22860" b="279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xial Mesh Distr Comparison.png"/>
                    <pic:cNvPicPr/>
                  </pic:nvPicPr>
                  <pic:blipFill>
                    <a:blip r:embed="rId428">
                      <a:extLst>
                        <a:ext uri="{28A0092B-C50C-407E-A947-70E740481C1C}">
                          <a14:useLocalDpi xmlns:a14="http://schemas.microsoft.com/office/drawing/2010/main" val="0"/>
                        </a:ext>
                      </a:extLst>
                    </a:blip>
                    <a:stretch>
                      <a:fillRect/>
                    </a:stretch>
                  </pic:blipFill>
                  <pic:spPr>
                    <a:xfrm>
                      <a:off x="0" y="0"/>
                      <a:ext cx="4986360" cy="2553378"/>
                    </a:xfrm>
                    <a:prstGeom prst="rect">
                      <a:avLst/>
                    </a:prstGeom>
                    <a:ln>
                      <a:solidFill>
                        <a:schemeClr val="tx1"/>
                      </a:solidFill>
                    </a:ln>
                  </pic:spPr>
                </pic:pic>
              </a:graphicData>
            </a:graphic>
          </wp:inline>
        </w:drawing>
      </w:r>
    </w:p>
    <w:p w14:paraId="72FF4FAF" w14:textId="2C3079E9" w:rsidR="000C67E5" w:rsidRPr="005D38CF" w:rsidRDefault="000C67E5" w:rsidP="000C67E5">
      <w:pPr>
        <w:pStyle w:val="FigTitleStyle"/>
        <w:rPr>
          <w:b w:val="0"/>
        </w:rPr>
      </w:pPr>
      <w:bookmarkStart w:id="256" w:name="_Toc382920286"/>
      <w:r w:rsidRPr="00DF60FB">
        <w:t xml:space="preserve">Fig. </w:t>
      </w:r>
      <w:r w:rsidRPr="00DF60FB">
        <w:fldChar w:fldCharType="begin"/>
      </w:r>
      <w:bookmarkStart w:id="257" w:name="_Ref381799031"/>
      <w:bookmarkEnd w:id="257"/>
      <w:r w:rsidRPr="00DF60FB">
        <w:instrText xml:space="preserve"> LISTNUM FIG \l 2 </w:instrText>
      </w:r>
      <w:r w:rsidRPr="00DF60FB">
        <w:fldChar w:fldCharType="end"/>
      </w:r>
      <w:r>
        <w:t xml:space="preserve">.  Axial Cut Line </w:t>
      </w:r>
      <w:r w:rsidR="00A81331">
        <w:t xml:space="preserve">Temperature </w:t>
      </w:r>
      <w:r>
        <w:t>Solution</w:t>
      </w:r>
      <w:r w:rsidRPr="00DF60FB">
        <w:t>.</w:t>
      </w:r>
      <w:bookmarkEnd w:id="256"/>
    </w:p>
    <w:p w14:paraId="34D11680" w14:textId="0DD56544" w:rsidR="000C67E5" w:rsidRDefault="004E7DFF" w:rsidP="004E7DFF">
      <w:r>
        <w:t xml:space="preserve">While the 1X MCNP axial mesh distribution clearly captures the overall contour of the temperature profile, </w:t>
      </w:r>
      <w:r w:rsidR="00507FFA">
        <w:t>it is insufficiently fine to accurately resolve abrupt shifts in the profile.  The 2X distribution manages to resolve these shifts with greater clarity, especially with regards to the large temperature spikes at the top and bottom of the fuel meat.</w:t>
      </w:r>
      <w:r w:rsidR="00A0712C">
        <w:t xml:space="preserve">  Additional refinements to the MCNP axial distribution could not be evaluated due to the increasing computational cost.    Distribution refinements must necessarily double the previous distribution thus doubling the degrees of freedom in the model.  With the 4X distribution the computational cost becomes too </w:t>
      </w:r>
      <w:r w:rsidR="006E1FAA">
        <w:t>great</w:t>
      </w:r>
      <w:r w:rsidR="00A0712C">
        <w:t xml:space="preserve"> </w:t>
      </w:r>
      <w:r w:rsidR="006E1FAA">
        <w:t>to meet on available resources</w:t>
      </w:r>
      <w:r w:rsidR="00A0712C">
        <w:t>.  It is doubtless that a 4X axial distribution would have further refined the profile in the vicinity of the temperature spikes.  The agreement betwe</w:t>
      </w:r>
      <w:r w:rsidR="006E1FAA">
        <w:t>en the 1X and 2X distributions</w:t>
      </w:r>
      <w:r w:rsidR="00A0712C">
        <w:t xml:space="preserve">, combined with the diminishing returns to solution improvement that accompany mesh refinements, </w:t>
      </w:r>
      <w:r w:rsidR="00E821FC">
        <w:t>indicate that the</w:t>
      </w:r>
      <w:r w:rsidR="00A0712C">
        <w:t xml:space="preserve"> 2X axial distribution can be assumed sufficient.</w:t>
      </w:r>
    </w:p>
    <w:p w14:paraId="4DEB0D3A" w14:textId="30C739F0" w:rsidR="00E821FC" w:rsidRPr="00943003" w:rsidRDefault="004F6549" w:rsidP="00943003">
      <w:pPr>
        <w:pStyle w:val="NormalBeforeTable"/>
      </w:pPr>
      <w:r w:rsidRPr="00943003">
        <w:t>With the axial mesh distribution fixed the mesh convergence study dealt only with altering mesh densities in the s-t</w:t>
      </w:r>
      <w:r w:rsidR="00EE67A2" w:rsidRPr="00943003">
        <w:t xml:space="preserve"> plane.</w:t>
      </w:r>
      <w:r w:rsidR="009335A8" w:rsidRPr="00943003">
        <w:t xml:space="preserve">  </w:t>
      </w:r>
      <w:r w:rsidR="009E0EEE" w:rsidRPr="00943003">
        <w:t>The breadth of the study was limited due to model</w:t>
      </w:r>
      <w:r w:rsidR="00C23A08" w:rsidRPr="00943003">
        <w:t xml:space="preserve"> solution</w:t>
      </w:r>
      <w:r w:rsidR="009E0EEE" w:rsidRPr="00943003">
        <w:t xml:space="preserve"> insta</w:t>
      </w:r>
      <w:r w:rsidR="00C23A08" w:rsidRPr="00943003">
        <w:t xml:space="preserve">bilities at lower </w:t>
      </w:r>
      <w:r w:rsidR="00C23A08" w:rsidRPr="00943003">
        <w:lastRenderedPageBreak/>
        <w:t>mesh resolutions and meshing hardships at higher mesh resolutions</w:t>
      </w:r>
      <w:r w:rsidR="009E0EEE" w:rsidRPr="00943003">
        <w:t xml:space="preserve">.  What results were able to be attained, however, show good convergence towards a state of minimal energy balance error.  </w:t>
      </w:r>
      <w:r w:rsidR="009335A8" w:rsidRPr="00943003">
        <w:t xml:space="preserve">The results of </w:t>
      </w:r>
      <w:r w:rsidR="009335A8" w:rsidRPr="00943003">
        <w:rPr>
          <w:rStyle w:val="NormalBeforeTableChar"/>
        </w:rPr>
        <w:t xml:space="preserve">the 3D model mesh convergence study are shown in Table </w:t>
      </w:r>
      <w:r w:rsidR="009335A8" w:rsidRPr="00943003">
        <w:rPr>
          <w:rStyle w:val="NormalBeforeTableChar"/>
        </w:rPr>
        <w:fldChar w:fldCharType="begin"/>
      </w:r>
      <w:r w:rsidR="009335A8" w:rsidRPr="00943003">
        <w:rPr>
          <w:rStyle w:val="NormalBeforeTableChar"/>
        </w:rPr>
        <w:instrText xml:space="preserve"> REF _Ref382214131 \r \h  \* MERGEFORMAT </w:instrText>
      </w:r>
      <w:r w:rsidR="009335A8" w:rsidRPr="00943003">
        <w:rPr>
          <w:rStyle w:val="NormalBeforeTableChar"/>
        </w:rPr>
      </w:r>
      <w:r w:rsidR="009335A8" w:rsidRPr="00943003">
        <w:rPr>
          <w:rStyle w:val="NormalBeforeTableChar"/>
        </w:rPr>
        <w:fldChar w:fldCharType="separate"/>
      </w:r>
      <w:r w:rsidR="001C5EC1">
        <w:rPr>
          <w:rStyle w:val="NormalBeforeTableChar"/>
        </w:rPr>
        <w:t>7.1</w:t>
      </w:r>
      <w:r w:rsidR="009335A8" w:rsidRPr="00943003">
        <w:rPr>
          <w:rStyle w:val="NormalBeforeTableChar"/>
        </w:rPr>
        <w:fldChar w:fldCharType="end"/>
      </w:r>
      <w:r w:rsidR="009335A8" w:rsidRPr="00943003">
        <w:rPr>
          <w:rStyle w:val="NormalBeforeTableChar"/>
        </w:rPr>
        <w:t>.</w:t>
      </w:r>
      <w:r w:rsidR="006E1FAA">
        <w:rPr>
          <w:rStyle w:val="NormalBeforeTableChar"/>
        </w:rPr>
        <w:t xml:space="preserve">  Mesh d2 was selected as the ideal 3D model mesh against which to base comparisons.  This mesh is representative of current core modeling efforts at HFIR using</w:t>
      </w:r>
      <w:r w:rsidR="00CB1A5B">
        <w:rPr>
          <w:rStyle w:val="NormalBeforeTableChar"/>
        </w:rPr>
        <w:t xml:space="preserve"> COMSOL.  The fact that the observed maximum temperature changed by only 0.3 K between the two meshes indicates that any increase in mesh resolution, and thus solution quality, would affect very little change to the overall temperature profile of the model.  Given that temperature is dropping with increases in mesh resolution, however, indicates that, if anything, the reported maximum temperature could be slightly higher than a true converged value.</w:t>
      </w:r>
    </w:p>
    <w:tbl>
      <w:tblPr>
        <w:tblW w:w="9015" w:type="dxa"/>
        <w:tblInd w:w="93" w:type="dxa"/>
        <w:tblLook w:val="04A0" w:firstRow="1" w:lastRow="0" w:firstColumn="1" w:lastColumn="0" w:noHBand="0" w:noVBand="1"/>
      </w:tblPr>
      <w:tblGrid>
        <w:gridCol w:w="705"/>
        <w:gridCol w:w="1650"/>
        <w:gridCol w:w="900"/>
        <w:gridCol w:w="900"/>
        <w:gridCol w:w="900"/>
        <w:gridCol w:w="900"/>
        <w:gridCol w:w="900"/>
        <w:gridCol w:w="900"/>
        <w:gridCol w:w="1260"/>
      </w:tblGrid>
      <w:tr w:rsidR="00943003" w:rsidRPr="00943003" w14:paraId="48549FF4" w14:textId="77777777" w:rsidTr="00943003">
        <w:trPr>
          <w:trHeight w:val="300"/>
        </w:trPr>
        <w:tc>
          <w:tcPr>
            <w:tcW w:w="9015"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30485B" w14:textId="202810A7" w:rsidR="00943003" w:rsidRPr="00943003" w:rsidRDefault="00943003" w:rsidP="006E1FAA">
            <w:pPr>
              <w:pStyle w:val="NoSpacing"/>
            </w:pPr>
            <w:bookmarkStart w:id="258" w:name="_Toc382920199"/>
            <w:r>
              <w:t xml:space="preserve">Table </w:t>
            </w:r>
            <w:r>
              <w:fldChar w:fldCharType="begin"/>
            </w:r>
            <w:bookmarkStart w:id="259" w:name="_Ref382214131"/>
            <w:bookmarkEnd w:id="259"/>
            <w:r>
              <w:instrText xml:space="preserve"> LISTNUM TAB \l 2</w:instrText>
            </w:r>
            <w:r>
              <w:fldChar w:fldCharType="end"/>
            </w:r>
            <w:r w:rsidRPr="006E1622">
              <w:t xml:space="preserve">:  </w:t>
            </w:r>
            <w:r w:rsidRPr="00943003">
              <w:t>3D Model Mesh Convergence Study</w:t>
            </w:r>
            <w:bookmarkEnd w:id="258"/>
          </w:p>
        </w:tc>
      </w:tr>
      <w:tr w:rsidR="00943003" w:rsidRPr="00943003" w14:paraId="6243F9B0" w14:textId="77777777" w:rsidTr="00943003">
        <w:trPr>
          <w:trHeight w:val="900"/>
        </w:trPr>
        <w:tc>
          <w:tcPr>
            <w:tcW w:w="705" w:type="dxa"/>
            <w:tcBorders>
              <w:top w:val="nil"/>
              <w:left w:val="single" w:sz="4" w:space="0" w:color="auto"/>
              <w:bottom w:val="single" w:sz="4" w:space="0" w:color="auto"/>
              <w:right w:val="single" w:sz="4" w:space="0" w:color="auto"/>
            </w:tcBorders>
            <w:shd w:val="clear" w:color="auto" w:fill="auto"/>
            <w:noWrap/>
            <w:vAlign w:val="center"/>
            <w:hideMark/>
          </w:tcPr>
          <w:p w14:paraId="718925C2"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Mesh</w:t>
            </w:r>
          </w:p>
        </w:tc>
        <w:tc>
          <w:tcPr>
            <w:tcW w:w="1650" w:type="dxa"/>
            <w:tcBorders>
              <w:top w:val="nil"/>
              <w:left w:val="nil"/>
              <w:bottom w:val="single" w:sz="4" w:space="0" w:color="auto"/>
              <w:right w:val="single" w:sz="4" w:space="0" w:color="auto"/>
            </w:tcBorders>
            <w:shd w:val="clear" w:color="auto" w:fill="auto"/>
            <w:vAlign w:val="center"/>
            <w:hideMark/>
          </w:tcPr>
          <w:p w14:paraId="357A86AD"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Mesh Elements</w:t>
            </w:r>
            <w:r w:rsidRPr="00943003">
              <w:rPr>
                <w:rFonts w:eastAsia="Times New Roman"/>
                <w:color w:val="000000"/>
              </w:rPr>
              <w:br/>
              <w:t>(in thousands)</w:t>
            </w:r>
          </w:p>
        </w:tc>
        <w:tc>
          <w:tcPr>
            <w:tcW w:w="900" w:type="dxa"/>
            <w:tcBorders>
              <w:top w:val="nil"/>
              <w:left w:val="nil"/>
              <w:bottom w:val="single" w:sz="4" w:space="0" w:color="auto"/>
              <w:right w:val="single" w:sz="4" w:space="0" w:color="auto"/>
            </w:tcBorders>
            <w:shd w:val="clear" w:color="auto" w:fill="auto"/>
            <w:vAlign w:val="center"/>
            <w:hideMark/>
          </w:tcPr>
          <w:p w14:paraId="388D76C9" w14:textId="77777777" w:rsidR="00943003" w:rsidRPr="00943003" w:rsidRDefault="00943003" w:rsidP="006E1FAA">
            <w:pPr>
              <w:keepNext/>
              <w:spacing w:after="0" w:line="240" w:lineRule="auto"/>
              <w:ind w:firstLine="0"/>
              <w:jc w:val="center"/>
              <w:rPr>
                <w:rFonts w:eastAsia="Times New Roman"/>
                <w:i/>
                <w:iCs/>
                <w:color w:val="000000"/>
              </w:rPr>
            </w:pPr>
            <w:r w:rsidRPr="00943003">
              <w:rPr>
                <w:rFonts w:eastAsia="Times New Roman"/>
                <w:i/>
                <w:iCs/>
                <w:color w:val="000000"/>
              </w:rPr>
              <w:t>E'</w:t>
            </w:r>
            <w:r w:rsidRPr="00943003">
              <w:rPr>
                <w:rFonts w:eastAsia="Times New Roman"/>
                <w:i/>
                <w:iCs/>
                <w:color w:val="000000"/>
                <w:vertAlign w:val="subscript"/>
              </w:rPr>
              <w:t>p,gen</w:t>
            </w:r>
          </w:p>
        </w:tc>
        <w:tc>
          <w:tcPr>
            <w:tcW w:w="900" w:type="dxa"/>
            <w:tcBorders>
              <w:top w:val="nil"/>
              <w:left w:val="nil"/>
              <w:bottom w:val="single" w:sz="4" w:space="0" w:color="auto"/>
              <w:right w:val="single" w:sz="4" w:space="0" w:color="auto"/>
            </w:tcBorders>
            <w:shd w:val="clear" w:color="auto" w:fill="auto"/>
            <w:vAlign w:val="center"/>
            <w:hideMark/>
          </w:tcPr>
          <w:p w14:paraId="2612D1FD" w14:textId="77777777" w:rsidR="00943003" w:rsidRPr="00943003" w:rsidRDefault="00943003" w:rsidP="006E1FAA">
            <w:pPr>
              <w:keepNext/>
              <w:spacing w:after="0" w:line="240" w:lineRule="auto"/>
              <w:ind w:firstLine="0"/>
              <w:jc w:val="center"/>
              <w:rPr>
                <w:rFonts w:eastAsia="Times New Roman"/>
                <w:i/>
                <w:iCs/>
                <w:color w:val="000000"/>
              </w:rPr>
            </w:pPr>
            <w:r w:rsidRPr="00943003">
              <w:rPr>
                <w:rFonts w:eastAsia="Times New Roman"/>
                <w:i/>
                <w:iCs/>
                <w:color w:val="000000"/>
              </w:rPr>
              <w:t>E'</w:t>
            </w:r>
            <w:r w:rsidRPr="00943003">
              <w:rPr>
                <w:rFonts w:eastAsia="Times New Roman"/>
                <w:i/>
                <w:iCs/>
                <w:color w:val="000000"/>
                <w:vertAlign w:val="subscript"/>
              </w:rPr>
              <w:t>p,out</w:t>
            </w:r>
          </w:p>
        </w:tc>
        <w:tc>
          <w:tcPr>
            <w:tcW w:w="900" w:type="dxa"/>
            <w:tcBorders>
              <w:top w:val="nil"/>
              <w:left w:val="nil"/>
              <w:bottom w:val="single" w:sz="4" w:space="0" w:color="auto"/>
              <w:right w:val="single" w:sz="4" w:space="0" w:color="auto"/>
            </w:tcBorders>
            <w:shd w:val="clear" w:color="auto" w:fill="auto"/>
            <w:vAlign w:val="center"/>
            <w:hideMark/>
          </w:tcPr>
          <w:p w14:paraId="3B0EB000"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Δ</w:t>
            </w:r>
            <w:r w:rsidRPr="00943003">
              <w:rPr>
                <w:rFonts w:eastAsia="Times New Roman"/>
                <w:i/>
                <w:iCs/>
                <w:color w:val="000000"/>
              </w:rPr>
              <w:t>H'</w:t>
            </w:r>
            <w:r w:rsidRPr="00943003">
              <w:rPr>
                <w:rFonts w:eastAsia="Times New Roman"/>
                <w:i/>
                <w:iCs/>
                <w:color w:val="000000"/>
                <w:vertAlign w:val="subscript"/>
              </w:rPr>
              <w:t>c</w:t>
            </w:r>
          </w:p>
        </w:tc>
        <w:tc>
          <w:tcPr>
            <w:tcW w:w="900" w:type="dxa"/>
            <w:tcBorders>
              <w:top w:val="nil"/>
              <w:left w:val="nil"/>
              <w:bottom w:val="single" w:sz="4" w:space="0" w:color="auto"/>
              <w:right w:val="single" w:sz="4" w:space="0" w:color="auto"/>
            </w:tcBorders>
            <w:shd w:val="clear" w:color="auto" w:fill="auto"/>
            <w:noWrap/>
            <w:vAlign w:val="center"/>
            <w:hideMark/>
          </w:tcPr>
          <w:p w14:paraId="3D82C8B7" w14:textId="77777777" w:rsidR="00943003" w:rsidRPr="00943003" w:rsidRDefault="00943003" w:rsidP="006E1FAA">
            <w:pPr>
              <w:keepNext/>
              <w:spacing w:after="0" w:line="240" w:lineRule="auto"/>
              <w:ind w:firstLine="0"/>
              <w:jc w:val="center"/>
              <w:rPr>
                <w:rFonts w:eastAsia="Times New Roman"/>
                <w:i/>
                <w:iCs/>
                <w:color w:val="000000"/>
              </w:rPr>
            </w:pPr>
            <w:r w:rsidRPr="00943003">
              <w:rPr>
                <w:rFonts w:eastAsia="Times New Roman"/>
                <w:i/>
                <w:iCs/>
                <w:color w:val="000000"/>
              </w:rPr>
              <w:t>e</w:t>
            </w:r>
            <w:r w:rsidRPr="00943003">
              <w:rPr>
                <w:rFonts w:eastAsia="Times New Roman"/>
                <w:i/>
                <w:iCs/>
                <w:color w:val="000000"/>
                <w:vertAlign w:val="subscript"/>
              </w:rPr>
              <w:t>p</w:t>
            </w:r>
            <w:r w:rsidRPr="00943003">
              <w:rPr>
                <w:rFonts w:eastAsia="Times New Roman"/>
                <w:i/>
                <w:iCs/>
                <w:color w:val="000000"/>
              </w:rPr>
              <w:t xml:space="preserve"> </w:t>
            </w:r>
            <w:r w:rsidRPr="00943003">
              <w:rPr>
                <w:rFonts w:eastAsia="Times New Roman"/>
                <w:color w:val="000000"/>
              </w:rPr>
              <w:t>(%)</w:t>
            </w:r>
          </w:p>
        </w:tc>
        <w:tc>
          <w:tcPr>
            <w:tcW w:w="900" w:type="dxa"/>
            <w:tcBorders>
              <w:top w:val="nil"/>
              <w:left w:val="nil"/>
              <w:bottom w:val="single" w:sz="4" w:space="0" w:color="auto"/>
              <w:right w:val="single" w:sz="4" w:space="0" w:color="auto"/>
            </w:tcBorders>
            <w:shd w:val="clear" w:color="auto" w:fill="auto"/>
            <w:noWrap/>
            <w:vAlign w:val="center"/>
            <w:hideMark/>
          </w:tcPr>
          <w:p w14:paraId="5D5AF0B7" w14:textId="77777777" w:rsidR="00943003" w:rsidRPr="00943003" w:rsidRDefault="00943003" w:rsidP="006E1FAA">
            <w:pPr>
              <w:keepNext/>
              <w:spacing w:after="0" w:line="240" w:lineRule="auto"/>
              <w:ind w:firstLine="0"/>
              <w:jc w:val="center"/>
              <w:rPr>
                <w:rFonts w:eastAsia="Times New Roman"/>
                <w:i/>
                <w:iCs/>
                <w:color w:val="000000"/>
              </w:rPr>
            </w:pPr>
            <w:r w:rsidRPr="00943003">
              <w:rPr>
                <w:rFonts w:eastAsia="Times New Roman"/>
                <w:i/>
                <w:iCs/>
                <w:color w:val="000000"/>
              </w:rPr>
              <w:t>e</w:t>
            </w:r>
            <w:r w:rsidRPr="00943003">
              <w:rPr>
                <w:rFonts w:eastAsia="Times New Roman"/>
                <w:i/>
                <w:iCs/>
                <w:color w:val="000000"/>
                <w:vertAlign w:val="subscript"/>
              </w:rPr>
              <w:t>c</w:t>
            </w:r>
            <w:r w:rsidRPr="00943003">
              <w:rPr>
                <w:rFonts w:eastAsia="Times New Roman"/>
                <w:i/>
                <w:iCs/>
                <w:color w:val="000000"/>
              </w:rPr>
              <w:t xml:space="preserve"> </w:t>
            </w:r>
            <w:r w:rsidRPr="00943003">
              <w:rPr>
                <w:rFonts w:eastAsia="Times New Roman"/>
                <w:color w:val="000000"/>
              </w:rPr>
              <w:t>(%)</w:t>
            </w:r>
          </w:p>
        </w:tc>
        <w:tc>
          <w:tcPr>
            <w:tcW w:w="900" w:type="dxa"/>
            <w:tcBorders>
              <w:top w:val="nil"/>
              <w:left w:val="nil"/>
              <w:bottom w:val="single" w:sz="4" w:space="0" w:color="auto"/>
              <w:right w:val="single" w:sz="4" w:space="0" w:color="auto"/>
            </w:tcBorders>
            <w:shd w:val="clear" w:color="auto" w:fill="auto"/>
            <w:noWrap/>
            <w:vAlign w:val="center"/>
            <w:hideMark/>
          </w:tcPr>
          <w:p w14:paraId="04D18D54" w14:textId="77777777" w:rsidR="00943003" w:rsidRPr="00943003" w:rsidRDefault="00943003" w:rsidP="006E1FAA">
            <w:pPr>
              <w:keepNext/>
              <w:spacing w:after="0" w:line="240" w:lineRule="auto"/>
              <w:ind w:firstLine="0"/>
              <w:jc w:val="center"/>
              <w:rPr>
                <w:rFonts w:eastAsia="Times New Roman"/>
                <w:i/>
                <w:iCs/>
                <w:color w:val="000000"/>
              </w:rPr>
            </w:pPr>
            <w:r w:rsidRPr="00943003">
              <w:rPr>
                <w:rFonts w:eastAsia="Times New Roman"/>
                <w:i/>
                <w:iCs/>
                <w:color w:val="000000"/>
              </w:rPr>
              <w:t>e</w:t>
            </w:r>
            <w:r w:rsidRPr="00943003">
              <w:rPr>
                <w:rFonts w:eastAsia="Times New Roman"/>
                <w:i/>
                <w:iCs/>
                <w:color w:val="000000"/>
                <w:vertAlign w:val="subscript"/>
              </w:rPr>
              <w:t>g</w:t>
            </w:r>
            <w:r w:rsidRPr="00943003">
              <w:rPr>
                <w:rFonts w:eastAsia="Times New Roman"/>
                <w:i/>
                <w:iCs/>
                <w:color w:val="000000"/>
              </w:rPr>
              <w:t xml:space="preserve"> </w:t>
            </w:r>
            <w:r w:rsidRPr="00943003">
              <w:rPr>
                <w:rFonts w:eastAsia="Times New Roman"/>
                <w:color w:val="000000"/>
              </w:rPr>
              <w:t>(%)</w:t>
            </w:r>
          </w:p>
        </w:tc>
        <w:tc>
          <w:tcPr>
            <w:tcW w:w="1260" w:type="dxa"/>
            <w:tcBorders>
              <w:top w:val="nil"/>
              <w:left w:val="nil"/>
              <w:bottom w:val="single" w:sz="4" w:space="0" w:color="auto"/>
              <w:right w:val="single" w:sz="4" w:space="0" w:color="auto"/>
            </w:tcBorders>
            <w:shd w:val="clear" w:color="auto" w:fill="auto"/>
            <w:vAlign w:val="center"/>
            <w:hideMark/>
          </w:tcPr>
          <w:p w14:paraId="762771C1"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Max Fuel</w:t>
            </w:r>
            <w:r w:rsidRPr="00943003">
              <w:rPr>
                <w:rFonts w:eastAsia="Times New Roman"/>
                <w:color w:val="000000"/>
              </w:rPr>
              <w:br/>
              <w:t>Meat T [K]</w:t>
            </w:r>
          </w:p>
        </w:tc>
      </w:tr>
      <w:tr w:rsidR="00943003" w:rsidRPr="00943003" w14:paraId="5E5CCD1D" w14:textId="77777777" w:rsidTr="00943003">
        <w:trPr>
          <w:trHeight w:val="300"/>
        </w:trPr>
        <w:tc>
          <w:tcPr>
            <w:tcW w:w="705" w:type="dxa"/>
            <w:tcBorders>
              <w:top w:val="nil"/>
              <w:left w:val="single" w:sz="4" w:space="0" w:color="auto"/>
              <w:bottom w:val="single" w:sz="4" w:space="0" w:color="auto"/>
              <w:right w:val="single" w:sz="4" w:space="0" w:color="auto"/>
            </w:tcBorders>
            <w:shd w:val="clear" w:color="auto" w:fill="auto"/>
            <w:noWrap/>
            <w:vAlign w:val="center"/>
            <w:hideMark/>
          </w:tcPr>
          <w:p w14:paraId="64CEC973"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d1</w:t>
            </w:r>
          </w:p>
        </w:tc>
        <w:tc>
          <w:tcPr>
            <w:tcW w:w="1650" w:type="dxa"/>
            <w:tcBorders>
              <w:top w:val="nil"/>
              <w:left w:val="nil"/>
              <w:bottom w:val="single" w:sz="4" w:space="0" w:color="auto"/>
              <w:right w:val="single" w:sz="4" w:space="0" w:color="auto"/>
            </w:tcBorders>
            <w:shd w:val="clear" w:color="auto" w:fill="auto"/>
            <w:noWrap/>
            <w:vAlign w:val="center"/>
            <w:hideMark/>
          </w:tcPr>
          <w:p w14:paraId="6C132BEC"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1103</w:t>
            </w:r>
          </w:p>
        </w:tc>
        <w:tc>
          <w:tcPr>
            <w:tcW w:w="900" w:type="dxa"/>
            <w:tcBorders>
              <w:top w:val="nil"/>
              <w:left w:val="nil"/>
              <w:bottom w:val="single" w:sz="4" w:space="0" w:color="auto"/>
              <w:right w:val="single" w:sz="4" w:space="0" w:color="auto"/>
            </w:tcBorders>
            <w:shd w:val="clear" w:color="auto" w:fill="auto"/>
            <w:noWrap/>
            <w:vAlign w:val="center"/>
            <w:hideMark/>
          </w:tcPr>
          <w:p w14:paraId="3688F332"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1.0000</w:t>
            </w:r>
          </w:p>
        </w:tc>
        <w:tc>
          <w:tcPr>
            <w:tcW w:w="900" w:type="dxa"/>
            <w:tcBorders>
              <w:top w:val="nil"/>
              <w:left w:val="nil"/>
              <w:bottom w:val="single" w:sz="4" w:space="0" w:color="auto"/>
              <w:right w:val="single" w:sz="4" w:space="0" w:color="auto"/>
            </w:tcBorders>
            <w:shd w:val="clear" w:color="auto" w:fill="auto"/>
            <w:noWrap/>
            <w:vAlign w:val="center"/>
            <w:hideMark/>
          </w:tcPr>
          <w:p w14:paraId="3EE6A5BF"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1.0027</w:t>
            </w:r>
          </w:p>
        </w:tc>
        <w:tc>
          <w:tcPr>
            <w:tcW w:w="900" w:type="dxa"/>
            <w:tcBorders>
              <w:top w:val="nil"/>
              <w:left w:val="nil"/>
              <w:bottom w:val="single" w:sz="4" w:space="0" w:color="auto"/>
              <w:right w:val="single" w:sz="4" w:space="0" w:color="auto"/>
            </w:tcBorders>
            <w:shd w:val="clear" w:color="auto" w:fill="auto"/>
            <w:noWrap/>
            <w:vAlign w:val="center"/>
            <w:hideMark/>
          </w:tcPr>
          <w:p w14:paraId="31716F66"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1.0021</w:t>
            </w:r>
          </w:p>
        </w:tc>
        <w:tc>
          <w:tcPr>
            <w:tcW w:w="900" w:type="dxa"/>
            <w:tcBorders>
              <w:top w:val="nil"/>
              <w:left w:val="nil"/>
              <w:bottom w:val="single" w:sz="4" w:space="0" w:color="auto"/>
              <w:right w:val="single" w:sz="4" w:space="0" w:color="auto"/>
            </w:tcBorders>
            <w:shd w:val="clear" w:color="auto" w:fill="auto"/>
            <w:noWrap/>
            <w:vAlign w:val="center"/>
            <w:hideMark/>
          </w:tcPr>
          <w:p w14:paraId="67CB5BD1"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0.267</w:t>
            </w:r>
          </w:p>
        </w:tc>
        <w:tc>
          <w:tcPr>
            <w:tcW w:w="900" w:type="dxa"/>
            <w:tcBorders>
              <w:top w:val="nil"/>
              <w:left w:val="nil"/>
              <w:bottom w:val="single" w:sz="4" w:space="0" w:color="auto"/>
              <w:right w:val="single" w:sz="4" w:space="0" w:color="auto"/>
            </w:tcBorders>
            <w:shd w:val="clear" w:color="auto" w:fill="auto"/>
            <w:noWrap/>
            <w:vAlign w:val="center"/>
            <w:hideMark/>
          </w:tcPr>
          <w:p w14:paraId="7F8E50DD"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0.060</w:t>
            </w:r>
          </w:p>
        </w:tc>
        <w:tc>
          <w:tcPr>
            <w:tcW w:w="900" w:type="dxa"/>
            <w:tcBorders>
              <w:top w:val="nil"/>
              <w:left w:val="nil"/>
              <w:bottom w:val="single" w:sz="4" w:space="0" w:color="auto"/>
              <w:right w:val="single" w:sz="4" w:space="0" w:color="auto"/>
            </w:tcBorders>
            <w:shd w:val="clear" w:color="auto" w:fill="auto"/>
            <w:noWrap/>
            <w:vAlign w:val="center"/>
            <w:hideMark/>
          </w:tcPr>
          <w:p w14:paraId="11C13CBA"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0.207</w:t>
            </w:r>
          </w:p>
        </w:tc>
        <w:tc>
          <w:tcPr>
            <w:tcW w:w="1260" w:type="dxa"/>
            <w:tcBorders>
              <w:top w:val="nil"/>
              <w:left w:val="nil"/>
              <w:bottom w:val="single" w:sz="4" w:space="0" w:color="auto"/>
              <w:right w:val="single" w:sz="4" w:space="0" w:color="auto"/>
            </w:tcBorders>
            <w:shd w:val="clear" w:color="auto" w:fill="auto"/>
            <w:noWrap/>
            <w:vAlign w:val="center"/>
            <w:hideMark/>
          </w:tcPr>
          <w:p w14:paraId="3D436A96"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432.1</w:t>
            </w:r>
          </w:p>
        </w:tc>
      </w:tr>
      <w:tr w:rsidR="00943003" w:rsidRPr="00943003" w14:paraId="5FF61EF1" w14:textId="77777777" w:rsidTr="00943003">
        <w:trPr>
          <w:trHeight w:val="300"/>
        </w:trPr>
        <w:tc>
          <w:tcPr>
            <w:tcW w:w="705" w:type="dxa"/>
            <w:tcBorders>
              <w:top w:val="nil"/>
              <w:left w:val="single" w:sz="4" w:space="0" w:color="auto"/>
              <w:bottom w:val="single" w:sz="4" w:space="0" w:color="auto"/>
              <w:right w:val="single" w:sz="4" w:space="0" w:color="auto"/>
            </w:tcBorders>
            <w:shd w:val="clear" w:color="auto" w:fill="auto"/>
            <w:noWrap/>
            <w:vAlign w:val="center"/>
            <w:hideMark/>
          </w:tcPr>
          <w:p w14:paraId="2935BC76"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d2</w:t>
            </w:r>
          </w:p>
        </w:tc>
        <w:tc>
          <w:tcPr>
            <w:tcW w:w="1650" w:type="dxa"/>
            <w:tcBorders>
              <w:top w:val="nil"/>
              <w:left w:val="nil"/>
              <w:bottom w:val="single" w:sz="4" w:space="0" w:color="auto"/>
              <w:right w:val="single" w:sz="4" w:space="0" w:color="auto"/>
            </w:tcBorders>
            <w:shd w:val="clear" w:color="auto" w:fill="auto"/>
            <w:noWrap/>
            <w:vAlign w:val="center"/>
            <w:hideMark/>
          </w:tcPr>
          <w:p w14:paraId="0D8BB610"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2311</w:t>
            </w:r>
          </w:p>
        </w:tc>
        <w:tc>
          <w:tcPr>
            <w:tcW w:w="900" w:type="dxa"/>
            <w:tcBorders>
              <w:top w:val="nil"/>
              <w:left w:val="nil"/>
              <w:bottom w:val="single" w:sz="4" w:space="0" w:color="auto"/>
              <w:right w:val="single" w:sz="4" w:space="0" w:color="auto"/>
            </w:tcBorders>
            <w:shd w:val="clear" w:color="auto" w:fill="auto"/>
            <w:vAlign w:val="center"/>
            <w:hideMark/>
          </w:tcPr>
          <w:p w14:paraId="43D44A52"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1.0000</w:t>
            </w:r>
          </w:p>
        </w:tc>
        <w:tc>
          <w:tcPr>
            <w:tcW w:w="900" w:type="dxa"/>
            <w:tcBorders>
              <w:top w:val="nil"/>
              <w:left w:val="nil"/>
              <w:bottom w:val="single" w:sz="4" w:space="0" w:color="auto"/>
              <w:right w:val="single" w:sz="4" w:space="0" w:color="auto"/>
            </w:tcBorders>
            <w:shd w:val="clear" w:color="auto" w:fill="auto"/>
            <w:vAlign w:val="center"/>
            <w:hideMark/>
          </w:tcPr>
          <w:p w14:paraId="423402B5"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0.9997</w:t>
            </w:r>
          </w:p>
        </w:tc>
        <w:tc>
          <w:tcPr>
            <w:tcW w:w="900" w:type="dxa"/>
            <w:tcBorders>
              <w:top w:val="nil"/>
              <w:left w:val="nil"/>
              <w:bottom w:val="single" w:sz="4" w:space="0" w:color="auto"/>
              <w:right w:val="single" w:sz="4" w:space="0" w:color="auto"/>
            </w:tcBorders>
            <w:shd w:val="clear" w:color="auto" w:fill="auto"/>
            <w:vAlign w:val="center"/>
            <w:hideMark/>
          </w:tcPr>
          <w:p w14:paraId="6058A834"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0.9995</w:t>
            </w:r>
          </w:p>
        </w:tc>
        <w:tc>
          <w:tcPr>
            <w:tcW w:w="900" w:type="dxa"/>
            <w:tcBorders>
              <w:top w:val="nil"/>
              <w:left w:val="nil"/>
              <w:bottom w:val="single" w:sz="4" w:space="0" w:color="auto"/>
              <w:right w:val="single" w:sz="4" w:space="0" w:color="auto"/>
            </w:tcBorders>
            <w:shd w:val="clear" w:color="auto" w:fill="auto"/>
            <w:noWrap/>
            <w:vAlign w:val="center"/>
            <w:hideMark/>
          </w:tcPr>
          <w:p w14:paraId="4439B38C"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0.034</w:t>
            </w:r>
          </w:p>
        </w:tc>
        <w:tc>
          <w:tcPr>
            <w:tcW w:w="900" w:type="dxa"/>
            <w:tcBorders>
              <w:top w:val="nil"/>
              <w:left w:val="nil"/>
              <w:bottom w:val="single" w:sz="4" w:space="0" w:color="auto"/>
              <w:right w:val="single" w:sz="4" w:space="0" w:color="auto"/>
            </w:tcBorders>
            <w:shd w:val="clear" w:color="auto" w:fill="auto"/>
            <w:noWrap/>
            <w:vAlign w:val="center"/>
            <w:hideMark/>
          </w:tcPr>
          <w:p w14:paraId="74A9E7D5"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0.019</w:t>
            </w:r>
          </w:p>
        </w:tc>
        <w:tc>
          <w:tcPr>
            <w:tcW w:w="900" w:type="dxa"/>
            <w:tcBorders>
              <w:top w:val="nil"/>
              <w:left w:val="nil"/>
              <w:bottom w:val="single" w:sz="4" w:space="0" w:color="auto"/>
              <w:right w:val="single" w:sz="4" w:space="0" w:color="auto"/>
            </w:tcBorders>
            <w:shd w:val="clear" w:color="auto" w:fill="auto"/>
            <w:noWrap/>
            <w:vAlign w:val="center"/>
            <w:hideMark/>
          </w:tcPr>
          <w:p w14:paraId="352FDEC0"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0.053</w:t>
            </w:r>
          </w:p>
        </w:tc>
        <w:tc>
          <w:tcPr>
            <w:tcW w:w="1260" w:type="dxa"/>
            <w:tcBorders>
              <w:top w:val="nil"/>
              <w:left w:val="nil"/>
              <w:bottom w:val="single" w:sz="4" w:space="0" w:color="auto"/>
              <w:right w:val="single" w:sz="4" w:space="0" w:color="auto"/>
            </w:tcBorders>
            <w:shd w:val="clear" w:color="auto" w:fill="auto"/>
            <w:noWrap/>
            <w:vAlign w:val="center"/>
            <w:hideMark/>
          </w:tcPr>
          <w:p w14:paraId="088135B5" w14:textId="77777777" w:rsidR="00943003" w:rsidRPr="00943003" w:rsidRDefault="00943003" w:rsidP="006E1FAA">
            <w:pPr>
              <w:keepNext/>
              <w:spacing w:after="0" w:line="240" w:lineRule="auto"/>
              <w:ind w:firstLine="0"/>
              <w:jc w:val="center"/>
              <w:rPr>
                <w:rFonts w:eastAsia="Times New Roman"/>
                <w:color w:val="000000"/>
              </w:rPr>
            </w:pPr>
            <w:r w:rsidRPr="00943003">
              <w:rPr>
                <w:rFonts w:eastAsia="Times New Roman"/>
                <w:color w:val="000000"/>
              </w:rPr>
              <w:t>431.8</w:t>
            </w:r>
          </w:p>
        </w:tc>
      </w:tr>
    </w:tbl>
    <w:p w14:paraId="15FCFF96" w14:textId="3778F784" w:rsidR="00893485" w:rsidRDefault="00893485" w:rsidP="00CB1A5B">
      <w:pPr>
        <w:pStyle w:val="Heading2"/>
      </w:pPr>
      <w:r>
        <w:fldChar w:fldCharType="begin"/>
      </w:r>
      <w:r>
        <w:instrText xml:space="preserve"> LISTNUM CHAP \l 2 </w:instrText>
      </w:r>
      <w:bookmarkStart w:id="260" w:name="_Toc382921556"/>
      <w:r>
        <w:fldChar w:fldCharType="end"/>
      </w:r>
      <w:r>
        <w:t xml:space="preserve">    </w:t>
      </w:r>
      <w:r w:rsidR="00822CAD">
        <w:t>Coupled Model Mesh Convergence</w:t>
      </w:r>
      <w:bookmarkEnd w:id="260"/>
    </w:p>
    <w:p w14:paraId="4E4F29B5" w14:textId="30F4B94C" w:rsidR="009C048F" w:rsidRDefault="008839EA" w:rsidP="00B92FA2">
      <w:r>
        <w:t>The separation of the coupled model into two distinct domains permits a more detailed mesh convergence study to be performed.  In fact, it permits two mesh convergence studies to be performed—one for the coolant and one for the fuel plate.  Using the previously defined local error quantities, this permits the mesh in each domain to be optimized individually, thus ensuring adequate mesh resolution to capture physics while precluding the risk of unnecessary refinement.</w:t>
      </w:r>
      <w:r w:rsidR="00D7103B">
        <w:t xml:space="preserve">  The coolant domain mesh convergence was performed first.  </w:t>
      </w:r>
      <w:r w:rsidR="00F1182C">
        <w:t xml:space="preserve">In it the fuel plate domain mesh was held constant and the coolant domain successively refined until a mesh-converged solution was achieved.  </w:t>
      </w:r>
      <w:r w:rsidR="009C048F">
        <w:t xml:space="preserve">The fuel mesh chosen was of a sufficient </w:t>
      </w:r>
      <w:r w:rsidR="00D0516F">
        <w:t>resolution</w:t>
      </w:r>
      <w:r w:rsidR="009C048F">
        <w:t xml:space="preserve"> that </w:t>
      </w:r>
      <w:r w:rsidR="009C048F">
        <w:rPr>
          <w:i/>
        </w:rPr>
        <w:t>e</w:t>
      </w:r>
      <w:r w:rsidR="009C048F">
        <w:rPr>
          <w:i/>
          <w:vertAlign w:val="subscript"/>
        </w:rPr>
        <w:t>p</w:t>
      </w:r>
      <w:r w:rsidR="009C048F">
        <w:t xml:space="preserve"> equaled zero for all cases.  Similarly, </w:t>
      </w:r>
      <w:r w:rsidR="009C048F">
        <w:rPr>
          <w:i/>
        </w:rPr>
        <w:t>e</w:t>
      </w:r>
      <w:r w:rsidR="009C048F">
        <w:rPr>
          <w:i/>
          <w:vertAlign w:val="subscript"/>
        </w:rPr>
        <w:t>imc</w:t>
      </w:r>
      <w:r w:rsidR="009C048F">
        <w:t xml:space="preserve"> was found to be zero at all times, not just in the coolant mesh convergence study but in every solution obtained </w:t>
      </w:r>
      <w:r w:rsidR="00BD4F7F">
        <w:t>over the duration of thesis-related work.  Thus it can be said that</w:t>
      </w:r>
    </w:p>
    <w:p w14:paraId="274D3A98" w14:textId="1EF5CDFD" w:rsidR="00BD4F7F" w:rsidRDefault="00BD4F7F" w:rsidP="00BD4F7F">
      <w:pPr>
        <w:pStyle w:val="numberedeqnstyle"/>
      </w:pPr>
      <w:r w:rsidRPr="00A025AE">
        <w:tab/>
      </w:r>
      <w:r w:rsidRPr="00BD4F7F">
        <w:rPr>
          <w:position w:val="-10"/>
        </w:rPr>
        <w:object w:dxaOrig="920" w:dyaOrig="320" w14:anchorId="0BAA8216">
          <v:shape id="_x0000_i1218" type="#_x0000_t75" style="width:46.2pt;height:14.5pt" o:ole="">
            <v:imagedata r:id="rId429" o:title=""/>
          </v:shape>
          <o:OLEObject Type="Embed" ProgID="Equation.3" ShapeID="_x0000_i1218" DrawAspect="Content" ObjectID="_1457171869" r:id="rId430"/>
        </w:object>
      </w:r>
      <w:r>
        <w:tab/>
      </w:r>
      <w:r>
        <w:fldChar w:fldCharType="begin"/>
      </w:r>
      <w:r>
        <w:instrText xml:space="preserve"> LISTNUM EQN \l 2 </w:instrText>
      </w:r>
      <w:r>
        <w:fldChar w:fldCharType="end"/>
      </w:r>
      <w:r>
        <w:t>)</w:t>
      </w:r>
    </w:p>
    <w:p w14:paraId="0B8A6FE3" w14:textId="6E54529A" w:rsidR="0088525F" w:rsidRDefault="00BD4F7F" w:rsidP="00AD0103">
      <w:pPr>
        <w:spacing w:after="720"/>
        <w:ind w:firstLine="0"/>
      </w:pPr>
      <w:r>
        <w:t>is true at all times.</w:t>
      </w:r>
      <w:r w:rsidR="00A81331">
        <w:t xml:space="preserve">  Coolant meshes were judged based on </w:t>
      </w:r>
      <w:r w:rsidR="00A81331">
        <w:rPr>
          <w:i/>
        </w:rPr>
        <w:t>e</w:t>
      </w:r>
      <w:r w:rsidR="00A81331">
        <w:rPr>
          <w:i/>
          <w:vertAlign w:val="subscript"/>
        </w:rPr>
        <w:t>c</w:t>
      </w:r>
      <w:r w:rsidR="00A81331">
        <w:t xml:space="preserve"> which, with </w:t>
      </w:r>
      <w:r w:rsidR="00A81331">
        <w:rPr>
          <w:i/>
        </w:rPr>
        <w:t>e</w:t>
      </w:r>
      <w:r w:rsidR="00A81331">
        <w:rPr>
          <w:i/>
          <w:vertAlign w:val="subscript"/>
        </w:rPr>
        <w:t>p</w:t>
      </w:r>
      <w:r w:rsidR="00A81331">
        <w:t xml:space="preserve"> = </w:t>
      </w:r>
      <w:r w:rsidR="00A81331">
        <w:rPr>
          <w:i/>
        </w:rPr>
        <w:t>e</w:t>
      </w:r>
      <w:r w:rsidR="00A81331">
        <w:rPr>
          <w:i/>
          <w:vertAlign w:val="subscript"/>
        </w:rPr>
        <w:t>imc</w:t>
      </w:r>
      <w:r w:rsidR="00A81331">
        <w:t xml:space="preserve"> = 0, equals </w:t>
      </w:r>
      <w:r w:rsidR="00A81331">
        <w:rPr>
          <w:i/>
        </w:rPr>
        <w:t>e</w:t>
      </w:r>
      <w:r w:rsidR="00A81331">
        <w:rPr>
          <w:i/>
          <w:vertAlign w:val="subscript"/>
        </w:rPr>
        <w:t>g</w:t>
      </w:r>
      <w:r w:rsidR="00A81331">
        <w:t xml:space="preserve"> in these cases.  </w:t>
      </w:r>
      <w:r w:rsidR="00F1182C">
        <w:t xml:space="preserve">The results of the coolant mesh convergence study are shown in Table </w:t>
      </w:r>
      <w:r w:rsidR="006E1622">
        <w:fldChar w:fldCharType="begin"/>
      </w:r>
      <w:r w:rsidR="006E1622">
        <w:instrText xml:space="preserve"> REF _Ref381886146 \r \h </w:instrText>
      </w:r>
      <w:r w:rsidR="006E1622">
        <w:fldChar w:fldCharType="separate"/>
      </w:r>
      <w:r w:rsidR="001C5EC1">
        <w:t>7.2</w:t>
      </w:r>
      <w:r w:rsidR="006E1622">
        <w:fldChar w:fldCharType="end"/>
      </w:r>
      <w:r w:rsidR="00F1182C">
        <w:t>.</w:t>
      </w:r>
      <w:r w:rsidR="009C048F">
        <w:t xml:space="preserve">  The data in columns four</w:t>
      </w:r>
      <w:r w:rsidR="005B5154">
        <w:t>, five, and</w:t>
      </w:r>
      <w:r w:rsidR="009C048F">
        <w:t xml:space="preserve"> six</w:t>
      </w:r>
      <w:r w:rsidR="003F0E32">
        <w:t xml:space="preserve"> are plotted in F</w:t>
      </w:r>
      <w:r w:rsidR="009C048F">
        <w:t>igs.</w:t>
      </w:r>
      <w:r w:rsidR="00A30904">
        <w:t xml:space="preserve"> </w:t>
      </w:r>
      <w:r w:rsidR="00A30904">
        <w:fldChar w:fldCharType="begin"/>
      </w:r>
      <w:r w:rsidR="00A30904">
        <w:instrText xml:space="preserve"> REF _Ref381886974 \r \h </w:instrText>
      </w:r>
      <w:r w:rsidR="00A30904">
        <w:fldChar w:fldCharType="separate"/>
      </w:r>
      <w:r w:rsidR="001C5EC1">
        <w:t>7.2</w:t>
      </w:r>
      <w:r w:rsidR="00A30904">
        <w:fldChar w:fldCharType="end"/>
      </w:r>
      <w:r w:rsidR="005B5154">
        <w:t xml:space="preserve">, </w:t>
      </w:r>
      <w:r w:rsidR="005B5154">
        <w:fldChar w:fldCharType="begin"/>
      </w:r>
      <w:r w:rsidR="005B5154">
        <w:instrText xml:space="preserve"> REF _Ref381887650 \r \h </w:instrText>
      </w:r>
      <w:r w:rsidR="005B5154">
        <w:fldChar w:fldCharType="separate"/>
      </w:r>
      <w:r w:rsidR="001C5EC1">
        <w:t>7.3</w:t>
      </w:r>
      <w:r w:rsidR="005B5154">
        <w:fldChar w:fldCharType="end"/>
      </w:r>
      <w:r w:rsidR="005B5154">
        <w:t>, and</w:t>
      </w:r>
      <w:r w:rsidR="00A30904">
        <w:t xml:space="preserve"> </w:t>
      </w:r>
      <w:r w:rsidR="00A30904">
        <w:fldChar w:fldCharType="begin"/>
      </w:r>
      <w:r w:rsidR="00A30904">
        <w:instrText xml:space="preserve"> REF _Ref381886981 \r \h </w:instrText>
      </w:r>
      <w:r w:rsidR="00A30904">
        <w:fldChar w:fldCharType="separate"/>
      </w:r>
      <w:r w:rsidR="001C5EC1">
        <w:t>7.4</w:t>
      </w:r>
      <w:r w:rsidR="00A30904">
        <w:fldChar w:fldCharType="end"/>
      </w:r>
      <w:r w:rsidR="00A30904">
        <w:t>, respectively,</w:t>
      </w:r>
      <w:r w:rsidR="003F0E32">
        <w:t xml:space="preserve"> as </w:t>
      </w:r>
      <w:r w:rsidR="009C048F">
        <w:t xml:space="preserve">functions of the number of coolant </w:t>
      </w:r>
      <w:r w:rsidR="009C048F">
        <w:lastRenderedPageBreak/>
        <w:t>mesh elements</w:t>
      </w:r>
      <w:r w:rsidR="003F0E32">
        <w:t xml:space="preserve"> in each model.</w:t>
      </w:r>
      <w:r w:rsidR="00902392">
        <w:t xml:space="preserve">  The plot of </w:t>
      </w:r>
      <w:r w:rsidR="00902392">
        <w:rPr>
          <w:i/>
        </w:rPr>
        <w:t>e</w:t>
      </w:r>
      <w:r w:rsidR="00902392">
        <w:rPr>
          <w:i/>
          <w:vertAlign w:val="subscript"/>
        </w:rPr>
        <w:t>c</w:t>
      </w:r>
      <w:r w:rsidR="00902392">
        <w:t xml:space="preserve"> is presented in logarithmic format to demonstrate that the </w:t>
      </w:r>
      <w:r w:rsidR="00902392" w:rsidRPr="00AD0103">
        <w:rPr>
          <w:rStyle w:val="NormalBeforeTableChar"/>
        </w:rPr>
        <w:t xml:space="preserve">error is decreasing </w:t>
      </w:r>
      <w:r w:rsidR="00A42A65" w:rsidRPr="00AD0103">
        <w:rPr>
          <w:rStyle w:val="NormalBeforeTableChar"/>
        </w:rPr>
        <w:t>near-</w:t>
      </w:r>
      <w:r w:rsidR="00072582">
        <w:rPr>
          <w:rStyle w:val="NormalBeforeTableChar"/>
        </w:rPr>
        <w:t>logarithmically</w:t>
      </w:r>
      <w:r w:rsidR="00902392" w:rsidRPr="00AD0103">
        <w:rPr>
          <w:rStyle w:val="NormalBeforeTableChar"/>
        </w:rPr>
        <w:t xml:space="preserve"> in accordance with </w:t>
      </w:r>
      <w:r w:rsidR="000C29E8" w:rsidRPr="00AD0103">
        <w:rPr>
          <w:rStyle w:val="NormalBeforeTableChar"/>
        </w:rPr>
        <w:t>finite element analysis theory.</w:t>
      </w:r>
    </w:p>
    <w:tbl>
      <w:tblPr>
        <w:tblW w:w="8475" w:type="dxa"/>
        <w:jc w:val="center"/>
        <w:tblLook w:val="04A0" w:firstRow="1" w:lastRow="0" w:firstColumn="1" w:lastColumn="0" w:noHBand="0" w:noVBand="1"/>
      </w:tblPr>
      <w:tblGrid>
        <w:gridCol w:w="820"/>
        <w:gridCol w:w="3009"/>
        <w:gridCol w:w="1087"/>
        <w:gridCol w:w="1129"/>
        <w:gridCol w:w="1080"/>
        <w:gridCol w:w="1350"/>
      </w:tblGrid>
      <w:tr w:rsidR="006E1622" w:rsidRPr="006E1622" w14:paraId="3D84A2E0" w14:textId="77777777" w:rsidTr="00840BE5">
        <w:trPr>
          <w:trHeight w:val="300"/>
          <w:jc w:val="center"/>
        </w:trPr>
        <w:tc>
          <w:tcPr>
            <w:tcW w:w="8475"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A7FA25C" w14:textId="2D08406F" w:rsidR="006E1622" w:rsidRPr="006E1622" w:rsidRDefault="006E1622" w:rsidP="004969BA">
            <w:pPr>
              <w:pStyle w:val="NoSpacing"/>
            </w:pPr>
            <w:bookmarkStart w:id="261" w:name="_Toc382920200"/>
            <w:r>
              <w:t xml:space="preserve">Table </w:t>
            </w:r>
            <w:r>
              <w:fldChar w:fldCharType="begin"/>
            </w:r>
            <w:bookmarkStart w:id="262" w:name="_Ref381886146"/>
            <w:bookmarkEnd w:id="262"/>
            <w:r>
              <w:instrText xml:space="preserve"> LISTNUM TAB \l 2</w:instrText>
            </w:r>
            <w:r>
              <w:fldChar w:fldCharType="end"/>
            </w:r>
            <w:r w:rsidRPr="006E1622">
              <w:t xml:space="preserve">:  </w:t>
            </w:r>
            <w:r>
              <w:t>Coupled Model Coolant Domain Mesh Convergence Study</w:t>
            </w:r>
            <w:bookmarkEnd w:id="261"/>
          </w:p>
        </w:tc>
      </w:tr>
      <w:tr w:rsidR="006E1622" w:rsidRPr="006E1622" w14:paraId="55B3384C" w14:textId="77777777" w:rsidTr="00840BE5">
        <w:trPr>
          <w:trHeight w:val="710"/>
          <w:jc w:val="center"/>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24694418"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Mesh</w:t>
            </w:r>
          </w:p>
        </w:tc>
        <w:tc>
          <w:tcPr>
            <w:tcW w:w="3009" w:type="dxa"/>
            <w:tcBorders>
              <w:top w:val="nil"/>
              <w:left w:val="nil"/>
              <w:bottom w:val="single" w:sz="4" w:space="0" w:color="auto"/>
              <w:right w:val="single" w:sz="4" w:space="0" w:color="auto"/>
            </w:tcBorders>
            <w:shd w:val="clear" w:color="auto" w:fill="auto"/>
            <w:vAlign w:val="center"/>
            <w:hideMark/>
          </w:tcPr>
          <w:p w14:paraId="75660297"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Coolant Mesh Elements</w:t>
            </w:r>
            <w:r w:rsidRPr="006E1622">
              <w:rPr>
                <w:rFonts w:eastAsia="Times New Roman"/>
                <w:color w:val="000000"/>
              </w:rPr>
              <w:br/>
              <w:t>(in thousands)</w:t>
            </w:r>
          </w:p>
        </w:tc>
        <w:tc>
          <w:tcPr>
            <w:tcW w:w="1087" w:type="dxa"/>
            <w:tcBorders>
              <w:top w:val="nil"/>
              <w:left w:val="nil"/>
              <w:bottom w:val="nil"/>
              <w:right w:val="nil"/>
            </w:tcBorders>
            <w:shd w:val="clear" w:color="auto" w:fill="auto"/>
            <w:noWrap/>
            <w:vAlign w:val="center"/>
            <w:hideMark/>
          </w:tcPr>
          <w:p w14:paraId="657E4BB2" w14:textId="22799332" w:rsidR="006E1622" w:rsidRPr="006E1622" w:rsidRDefault="00A30904" w:rsidP="004969BA">
            <w:pPr>
              <w:keepNext/>
              <w:spacing w:after="0" w:line="240" w:lineRule="auto"/>
              <w:ind w:firstLine="0"/>
              <w:jc w:val="center"/>
              <w:rPr>
                <w:rFonts w:eastAsia="Times New Roman"/>
                <w:color w:val="000000"/>
              </w:rPr>
            </w:pPr>
            <w:r w:rsidRPr="006E1622">
              <w:rPr>
                <w:position w:val="-14"/>
              </w:rPr>
              <w:object w:dxaOrig="859" w:dyaOrig="360" w14:anchorId="0D6FCFEC">
                <v:shape id="_x0000_i1219" type="#_x0000_t75" style="width:43.5pt;height:17.75pt" o:ole="">
                  <v:imagedata r:id="rId431" o:title=""/>
                </v:shape>
                <o:OLEObject Type="Embed" ProgID="Equation.3" ShapeID="_x0000_i1219" DrawAspect="Content" ObjectID="_1457171870" r:id="rId432"/>
              </w:object>
            </w:r>
          </w:p>
        </w:tc>
        <w:tc>
          <w:tcPr>
            <w:tcW w:w="1129" w:type="dxa"/>
            <w:tcBorders>
              <w:top w:val="nil"/>
              <w:left w:val="single" w:sz="4" w:space="0" w:color="auto"/>
              <w:bottom w:val="single" w:sz="4" w:space="0" w:color="auto"/>
              <w:right w:val="nil"/>
            </w:tcBorders>
            <w:shd w:val="clear" w:color="auto" w:fill="auto"/>
            <w:vAlign w:val="center"/>
            <w:hideMark/>
          </w:tcPr>
          <w:p w14:paraId="392ADAA2" w14:textId="66616280" w:rsidR="006E1622" w:rsidRPr="006E1622" w:rsidRDefault="006E1622" w:rsidP="004969BA">
            <w:pPr>
              <w:keepNext/>
              <w:spacing w:after="0" w:line="240" w:lineRule="auto"/>
              <w:ind w:firstLine="0"/>
              <w:jc w:val="center"/>
              <w:rPr>
                <w:rFonts w:eastAsia="Times New Roman"/>
                <w:color w:val="000000"/>
              </w:rPr>
            </w:pPr>
            <w:r w:rsidRPr="006E1622">
              <w:rPr>
                <w:position w:val="-10"/>
              </w:rPr>
              <w:object w:dxaOrig="460" w:dyaOrig="320" w14:anchorId="22FD3184">
                <v:shape id="_x0000_i1220" type="#_x0000_t75" style="width:23.1pt;height:16.1pt" o:ole="">
                  <v:imagedata r:id="rId433" o:title=""/>
                </v:shape>
                <o:OLEObject Type="Embed" ProgID="Equation.3" ShapeID="_x0000_i1220" DrawAspect="Content" ObjectID="_1457171871" r:id="rId434"/>
              </w:objec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C125311" w14:textId="751B9F99" w:rsidR="006E1622" w:rsidRPr="006E1622" w:rsidRDefault="006E1622" w:rsidP="004969BA">
            <w:pPr>
              <w:keepNext/>
              <w:spacing w:after="0" w:line="240" w:lineRule="auto"/>
              <w:ind w:firstLine="0"/>
              <w:jc w:val="center"/>
              <w:rPr>
                <w:rFonts w:eastAsia="Times New Roman"/>
                <w:color w:val="000000"/>
              </w:rPr>
            </w:pPr>
            <w:r>
              <w:rPr>
                <w:rFonts w:eastAsia="Times New Roman"/>
                <w:i/>
                <w:color w:val="000000"/>
              </w:rPr>
              <w:t>e</w:t>
            </w:r>
            <w:r>
              <w:rPr>
                <w:rFonts w:eastAsia="Times New Roman"/>
                <w:i/>
                <w:color w:val="000000"/>
                <w:vertAlign w:val="subscript"/>
              </w:rPr>
              <w:t>c</w:t>
            </w:r>
            <w:r>
              <w:rPr>
                <w:rFonts w:eastAsia="Times New Roman"/>
                <w:color w:val="000000"/>
                <w:vertAlign w:val="subscript"/>
              </w:rPr>
              <w:t xml:space="preserve"> </w:t>
            </w:r>
            <w:r w:rsidRPr="006E1622">
              <w:rPr>
                <w:rFonts w:eastAsia="Times New Roman"/>
                <w:color w:val="000000"/>
              </w:rPr>
              <w:t>(%)</w:t>
            </w:r>
          </w:p>
        </w:tc>
        <w:tc>
          <w:tcPr>
            <w:tcW w:w="1350" w:type="dxa"/>
            <w:tcBorders>
              <w:top w:val="nil"/>
              <w:left w:val="nil"/>
              <w:bottom w:val="single" w:sz="4" w:space="0" w:color="auto"/>
              <w:right w:val="single" w:sz="4" w:space="0" w:color="auto"/>
            </w:tcBorders>
            <w:shd w:val="clear" w:color="auto" w:fill="auto"/>
            <w:vAlign w:val="center"/>
            <w:hideMark/>
          </w:tcPr>
          <w:p w14:paraId="26098154" w14:textId="5B1BC899" w:rsidR="006E1622" w:rsidRPr="006E1622" w:rsidRDefault="004969BA" w:rsidP="004969BA">
            <w:pPr>
              <w:keepNext/>
              <w:spacing w:after="0" w:line="240" w:lineRule="auto"/>
              <w:ind w:firstLine="0"/>
              <w:jc w:val="center"/>
              <w:rPr>
                <w:rFonts w:eastAsia="Times New Roman"/>
                <w:color w:val="000000"/>
              </w:rPr>
            </w:pPr>
            <w:r>
              <w:rPr>
                <w:rFonts w:eastAsia="Times New Roman"/>
                <w:color w:val="000000"/>
              </w:rPr>
              <w:t xml:space="preserve">Max Fuel </w:t>
            </w:r>
            <w:r>
              <w:rPr>
                <w:rFonts w:eastAsia="Times New Roman"/>
                <w:color w:val="000000"/>
              </w:rPr>
              <w:br/>
              <w:t>Meat T (K)</w:t>
            </w:r>
          </w:p>
        </w:tc>
      </w:tr>
      <w:tr w:rsidR="006E1622" w:rsidRPr="006E1622" w14:paraId="04628593" w14:textId="77777777" w:rsidTr="00840BE5">
        <w:trPr>
          <w:trHeight w:val="300"/>
          <w:jc w:val="center"/>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783B212"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c1</w:t>
            </w:r>
          </w:p>
        </w:tc>
        <w:tc>
          <w:tcPr>
            <w:tcW w:w="3009" w:type="dxa"/>
            <w:tcBorders>
              <w:top w:val="nil"/>
              <w:left w:val="nil"/>
              <w:bottom w:val="single" w:sz="4" w:space="0" w:color="auto"/>
              <w:right w:val="single" w:sz="4" w:space="0" w:color="auto"/>
            </w:tcBorders>
            <w:shd w:val="clear" w:color="auto" w:fill="auto"/>
            <w:noWrap/>
            <w:vAlign w:val="center"/>
            <w:hideMark/>
          </w:tcPr>
          <w:p w14:paraId="72533D0B"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163</w:t>
            </w:r>
          </w:p>
        </w:tc>
        <w:tc>
          <w:tcPr>
            <w:tcW w:w="1087" w:type="dxa"/>
            <w:tcBorders>
              <w:top w:val="single" w:sz="4" w:space="0" w:color="auto"/>
              <w:left w:val="nil"/>
              <w:bottom w:val="single" w:sz="4" w:space="0" w:color="auto"/>
              <w:right w:val="single" w:sz="4" w:space="0" w:color="auto"/>
            </w:tcBorders>
            <w:shd w:val="clear" w:color="auto" w:fill="auto"/>
            <w:noWrap/>
            <w:vAlign w:val="center"/>
            <w:hideMark/>
          </w:tcPr>
          <w:p w14:paraId="7E59CD66"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1.0000</w:t>
            </w:r>
          </w:p>
        </w:tc>
        <w:tc>
          <w:tcPr>
            <w:tcW w:w="1129" w:type="dxa"/>
            <w:tcBorders>
              <w:top w:val="nil"/>
              <w:left w:val="nil"/>
              <w:bottom w:val="single" w:sz="4" w:space="0" w:color="auto"/>
              <w:right w:val="single" w:sz="4" w:space="0" w:color="auto"/>
            </w:tcBorders>
            <w:shd w:val="clear" w:color="auto" w:fill="auto"/>
            <w:noWrap/>
            <w:vAlign w:val="center"/>
            <w:hideMark/>
          </w:tcPr>
          <w:p w14:paraId="5629AC60"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0.8493</w:t>
            </w:r>
          </w:p>
        </w:tc>
        <w:tc>
          <w:tcPr>
            <w:tcW w:w="1080" w:type="dxa"/>
            <w:tcBorders>
              <w:top w:val="nil"/>
              <w:left w:val="nil"/>
              <w:bottom w:val="single" w:sz="4" w:space="0" w:color="auto"/>
              <w:right w:val="single" w:sz="4" w:space="0" w:color="auto"/>
            </w:tcBorders>
            <w:shd w:val="clear" w:color="auto" w:fill="auto"/>
            <w:noWrap/>
            <w:vAlign w:val="center"/>
            <w:hideMark/>
          </w:tcPr>
          <w:p w14:paraId="17C6D57D"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15.07</w:t>
            </w:r>
          </w:p>
        </w:tc>
        <w:tc>
          <w:tcPr>
            <w:tcW w:w="1350" w:type="dxa"/>
            <w:tcBorders>
              <w:top w:val="nil"/>
              <w:left w:val="nil"/>
              <w:bottom w:val="single" w:sz="4" w:space="0" w:color="auto"/>
              <w:right w:val="single" w:sz="4" w:space="0" w:color="auto"/>
            </w:tcBorders>
            <w:shd w:val="clear" w:color="auto" w:fill="auto"/>
            <w:noWrap/>
            <w:vAlign w:val="center"/>
            <w:hideMark/>
          </w:tcPr>
          <w:p w14:paraId="41F8E47E"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425.1</w:t>
            </w:r>
          </w:p>
        </w:tc>
      </w:tr>
      <w:tr w:rsidR="006E1622" w:rsidRPr="006E1622" w14:paraId="37E94E7B" w14:textId="77777777" w:rsidTr="00840BE5">
        <w:trPr>
          <w:trHeight w:val="300"/>
          <w:jc w:val="center"/>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2AB1D09"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c2</w:t>
            </w:r>
          </w:p>
        </w:tc>
        <w:tc>
          <w:tcPr>
            <w:tcW w:w="3009" w:type="dxa"/>
            <w:tcBorders>
              <w:top w:val="nil"/>
              <w:left w:val="nil"/>
              <w:bottom w:val="single" w:sz="4" w:space="0" w:color="auto"/>
              <w:right w:val="single" w:sz="4" w:space="0" w:color="auto"/>
            </w:tcBorders>
            <w:shd w:val="clear" w:color="auto" w:fill="auto"/>
            <w:noWrap/>
            <w:vAlign w:val="center"/>
            <w:hideMark/>
          </w:tcPr>
          <w:p w14:paraId="0985CACC"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301</w:t>
            </w:r>
          </w:p>
        </w:tc>
        <w:tc>
          <w:tcPr>
            <w:tcW w:w="1087" w:type="dxa"/>
            <w:tcBorders>
              <w:top w:val="nil"/>
              <w:left w:val="nil"/>
              <w:bottom w:val="single" w:sz="4" w:space="0" w:color="auto"/>
              <w:right w:val="single" w:sz="4" w:space="0" w:color="auto"/>
            </w:tcBorders>
            <w:shd w:val="clear" w:color="auto" w:fill="auto"/>
            <w:noWrap/>
            <w:vAlign w:val="center"/>
            <w:hideMark/>
          </w:tcPr>
          <w:p w14:paraId="6CC1B67E"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1.0000</w:t>
            </w:r>
          </w:p>
        </w:tc>
        <w:tc>
          <w:tcPr>
            <w:tcW w:w="1129" w:type="dxa"/>
            <w:tcBorders>
              <w:top w:val="nil"/>
              <w:left w:val="nil"/>
              <w:bottom w:val="single" w:sz="4" w:space="0" w:color="auto"/>
              <w:right w:val="single" w:sz="4" w:space="0" w:color="auto"/>
            </w:tcBorders>
            <w:shd w:val="clear" w:color="auto" w:fill="auto"/>
            <w:noWrap/>
            <w:vAlign w:val="center"/>
            <w:hideMark/>
          </w:tcPr>
          <w:p w14:paraId="5E82FD6D"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0.9301</w:t>
            </w:r>
          </w:p>
        </w:tc>
        <w:tc>
          <w:tcPr>
            <w:tcW w:w="1080" w:type="dxa"/>
            <w:tcBorders>
              <w:top w:val="nil"/>
              <w:left w:val="nil"/>
              <w:bottom w:val="single" w:sz="4" w:space="0" w:color="auto"/>
              <w:right w:val="single" w:sz="4" w:space="0" w:color="auto"/>
            </w:tcBorders>
            <w:shd w:val="clear" w:color="auto" w:fill="auto"/>
            <w:noWrap/>
            <w:vAlign w:val="center"/>
            <w:hideMark/>
          </w:tcPr>
          <w:p w14:paraId="62412FF6"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6.99</w:t>
            </w:r>
          </w:p>
        </w:tc>
        <w:tc>
          <w:tcPr>
            <w:tcW w:w="1350" w:type="dxa"/>
            <w:tcBorders>
              <w:top w:val="nil"/>
              <w:left w:val="nil"/>
              <w:bottom w:val="single" w:sz="4" w:space="0" w:color="auto"/>
              <w:right w:val="single" w:sz="4" w:space="0" w:color="auto"/>
            </w:tcBorders>
            <w:shd w:val="clear" w:color="auto" w:fill="auto"/>
            <w:noWrap/>
            <w:vAlign w:val="center"/>
            <w:hideMark/>
          </w:tcPr>
          <w:p w14:paraId="79D9E9BF"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427.2</w:t>
            </w:r>
          </w:p>
        </w:tc>
      </w:tr>
      <w:tr w:rsidR="006E1622" w:rsidRPr="006E1622" w14:paraId="1933A101" w14:textId="77777777" w:rsidTr="00840BE5">
        <w:trPr>
          <w:trHeight w:val="300"/>
          <w:jc w:val="center"/>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C749589"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c3</w:t>
            </w:r>
          </w:p>
        </w:tc>
        <w:tc>
          <w:tcPr>
            <w:tcW w:w="3009" w:type="dxa"/>
            <w:tcBorders>
              <w:top w:val="nil"/>
              <w:left w:val="nil"/>
              <w:bottom w:val="single" w:sz="4" w:space="0" w:color="auto"/>
              <w:right w:val="single" w:sz="4" w:space="0" w:color="auto"/>
            </w:tcBorders>
            <w:shd w:val="clear" w:color="auto" w:fill="auto"/>
            <w:noWrap/>
            <w:vAlign w:val="center"/>
            <w:hideMark/>
          </w:tcPr>
          <w:p w14:paraId="6F995BDE"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456</w:t>
            </w:r>
          </w:p>
        </w:tc>
        <w:tc>
          <w:tcPr>
            <w:tcW w:w="1087" w:type="dxa"/>
            <w:tcBorders>
              <w:top w:val="nil"/>
              <w:left w:val="nil"/>
              <w:bottom w:val="single" w:sz="4" w:space="0" w:color="auto"/>
              <w:right w:val="single" w:sz="4" w:space="0" w:color="auto"/>
            </w:tcBorders>
            <w:shd w:val="clear" w:color="auto" w:fill="auto"/>
            <w:noWrap/>
            <w:vAlign w:val="center"/>
            <w:hideMark/>
          </w:tcPr>
          <w:p w14:paraId="69664F34"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1.0000</w:t>
            </w:r>
          </w:p>
        </w:tc>
        <w:tc>
          <w:tcPr>
            <w:tcW w:w="1129" w:type="dxa"/>
            <w:tcBorders>
              <w:top w:val="nil"/>
              <w:left w:val="nil"/>
              <w:bottom w:val="single" w:sz="4" w:space="0" w:color="auto"/>
              <w:right w:val="single" w:sz="4" w:space="0" w:color="auto"/>
            </w:tcBorders>
            <w:shd w:val="clear" w:color="auto" w:fill="auto"/>
            <w:noWrap/>
            <w:vAlign w:val="center"/>
            <w:hideMark/>
          </w:tcPr>
          <w:p w14:paraId="14F96BF7"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0.9686</w:t>
            </w:r>
          </w:p>
        </w:tc>
        <w:tc>
          <w:tcPr>
            <w:tcW w:w="1080" w:type="dxa"/>
            <w:tcBorders>
              <w:top w:val="nil"/>
              <w:left w:val="nil"/>
              <w:bottom w:val="single" w:sz="4" w:space="0" w:color="auto"/>
              <w:right w:val="single" w:sz="4" w:space="0" w:color="auto"/>
            </w:tcBorders>
            <w:shd w:val="clear" w:color="auto" w:fill="auto"/>
            <w:noWrap/>
            <w:vAlign w:val="center"/>
            <w:hideMark/>
          </w:tcPr>
          <w:p w14:paraId="3FAF8FB0"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3.14</w:t>
            </w:r>
          </w:p>
        </w:tc>
        <w:tc>
          <w:tcPr>
            <w:tcW w:w="1350" w:type="dxa"/>
            <w:tcBorders>
              <w:top w:val="nil"/>
              <w:left w:val="nil"/>
              <w:bottom w:val="single" w:sz="4" w:space="0" w:color="auto"/>
              <w:right w:val="single" w:sz="4" w:space="0" w:color="auto"/>
            </w:tcBorders>
            <w:shd w:val="clear" w:color="auto" w:fill="auto"/>
            <w:noWrap/>
            <w:vAlign w:val="center"/>
            <w:hideMark/>
          </w:tcPr>
          <w:p w14:paraId="4D282C2D"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428.2</w:t>
            </w:r>
          </w:p>
        </w:tc>
      </w:tr>
      <w:tr w:rsidR="006E1622" w:rsidRPr="006E1622" w14:paraId="41618711" w14:textId="77777777" w:rsidTr="00840BE5">
        <w:trPr>
          <w:trHeight w:val="300"/>
          <w:jc w:val="center"/>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CB450FE"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c4</w:t>
            </w:r>
          </w:p>
        </w:tc>
        <w:tc>
          <w:tcPr>
            <w:tcW w:w="3009" w:type="dxa"/>
            <w:tcBorders>
              <w:top w:val="nil"/>
              <w:left w:val="nil"/>
              <w:bottom w:val="single" w:sz="4" w:space="0" w:color="auto"/>
              <w:right w:val="single" w:sz="4" w:space="0" w:color="auto"/>
            </w:tcBorders>
            <w:shd w:val="clear" w:color="auto" w:fill="auto"/>
            <w:noWrap/>
            <w:vAlign w:val="center"/>
            <w:hideMark/>
          </w:tcPr>
          <w:p w14:paraId="5C9411DD"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717</w:t>
            </w:r>
          </w:p>
        </w:tc>
        <w:tc>
          <w:tcPr>
            <w:tcW w:w="1087" w:type="dxa"/>
            <w:tcBorders>
              <w:top w:val="nil"/>
              <w:left w:val="nil"/>
              <w:bottom w:val="single" w:sz="4" w:space="0" w:color="auto"/>
              <w:right w:val="single" w:sz="4" w:space="0" w:color="auto"/>
            </w:tcBorders>
            <w:shd w:val="clear" w:color="auto" w:fill="auto"/>
            <w:noWrap/>
            <w:vAlign w:val="center"/>
            <w:hideMark/>
          </w:tcPr>
          <w:p w14:paraId="377E3336"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1.0000</w:t>
            </w:r>
          </w:p>
        </w:tc>
        <w:tc>
          <w:tcPr>
            <w:tcW w:w="1129" w:type="dxa"/>
            <w:tcBorders>
              <w:top w:val="nil"/>
              <w:left w:val="nil"/>
              <w:bottom w:val="single" w:sz="4" w:space="0" w:color="auto"/>
              <w:right w:val="single" w:sz="4" w:space="0" w:color="auto"/>
            </w:tcBorders>
            <w:shd w:val="clear" w:color="auto" w:fill="auto"/>
            <w:noWrap/>
            <w:vAlign w:val="center"/>
            <w:hideMark/>
          </w:tcPr>
          <w:p w14:paraId="7F7F75FB"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0.9900</w:t>
            </w:r>
          </w:p>
        </w:tc>
        <w:tc>
          <w:tcPr>
            <w:tcW w:w="1080" w:type="dxa"/>
            <w:tcBorders>
              <w:top w:val="nil"/>
              <w:left w:val="nil"/>
              <w:bottom w:val="single" w:sz="4" w:space="0" w:color="auto"/>
              <w:right w:val="single" w:sz="4" w:space="0" w:color="auto"/>
            </w:tcBorders>
            <w:shd w:val="clear" w:color="auto" w:fill="auto"/>
            <w:noWrap/>
            <w:vAlign w:val="center"/>
            <w:hideMark/>
          </w:tcPr>
          <w:p w14:paraId="57DE1671"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1.00</w:t>
            </w:r>
          </w:p>
        </w:tc>
        <w:tc>
          <w:tcPr>
            <w:tcW w:w="1350" w:type="dxa"/>
            <w:tcBorders>
              <w:top w:val="nil"/>
              <w:left w:val="nil"/>
              <w:bottom w:val="single" w:sz="4" w:space="0" w:color="auto"/>
              <w:right w:val="single" w:sz="4" w:space="0" w:color="auto"/>
            </w:tcBorders>
            <w:shd w:val="clear" w:color="auto" w:fill="auto"/>
            <w:noWrap/>
            <w:vAlign w:val="center"/>
            <w:hideMark/>
          </w:tcPr>
          <w:p w14:paraId="7E0FDB6B"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428.7</w:t>
            </w:r>
          </w:p>
        </w:tc>
      </w:tr>
      <w:tr w:rsidR="006E1622" w:rsidRPr="006E1622" w14:paraId="5A792E6B" w14:textId="77777777" w:rsidTr="00840BE5">
        <w:trPr>
          <w:trHeight w:val="300"/>
          <w:jc w:val="center"/>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5875FEE"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c5</w:t>
            </w:r>
          </w:p>
        </w:tc>
        <w:tc>
          <w:tcPr>
            <w:tcW w:w="3009" w:type="dxa"/>
            <w:tcBorders>
              <w:top w:val="nil"/>
              <w:left w:val="nil"/>
              <w:bottom w:val="single" w:sz="4" w:space="0" w:color="auto"/>
              <w:right w:val="single" w:sz="4" w:space="0" w:color="auto"/>
            </w:tcBorders>
            <w:shd w:val="clear" w:color="auto" w:fill="auto"/>
            <w:noWrap/>
            <w:vAlign w:val="center"/>
            <w:hideMark/>
          </w:tcPr>
          <w:p w14:paraId="4578159C"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1,035</w:t>
            </w:r>
          </w:p>
        </w:tc>
        <w:tc>
          <w:tcPr>
            <w:tcW w:w="1087" w:type="dxa"/>
            <w:tcBorders>
              <w:top w:val="nil"/>
              <w:left w:val="nil"/>
              <w:bottom w:val="single" w:sz="4" w:space="0" w:color="auto"/>
              <w:right w:val="single" w:sz="4" w:space="0" w:color="auto"/>
            </w:tcBorders>
            <w:shd w:val="clear" w:color="auto" w:fill="auto"/>
            <w:noWrap/>
            <w:vAlign w:val="center"/>
            <w:hideMark/>
          </w:tcPr>
          <w:p w14:paraId="2AE1EDF2"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1.0000</w:t>
            </w:r>
          </w:p>
        </w:tc>
        <w:tc>
          <w:tcPr>
            <w:tcW w:w="1129" w:type="dxa"/>
            <w:tcBorders>
              <w:top w:val="nil"/>
              <w:left w:val="nil"/>
              <w:bottom w:val="single" w:sz="4" w:space="0" w:color="auto"/>
              <w:right w:val="single" w:sz="4" w:space="0" w:color="auto"/>
            </w:tcBorders>
            <w:shd w:val="clear" w:color="auto" w:fill="auto"/>
            <w:noWrap/>
            <w:vAlign w:val="center"/>
            <w:hideMark/>
          </w:tcPr>
          <w:p w14:paraId="38722273"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0.9971</w:t>
            </w:r>
          </w:p>
        </w:tc>
        <w:tc>
          <w:tcPr>
            <w:tcW w:w="1080" w:type="dxa"/>
            <w:tcBorders>
              <w:top w:val="nil"/>
              <w:left w:val="nil"/>
              <w:bottom w:val="single" w:sz="4" w:space="0" w:color="auto"/>
              <w:right w:val="single" w:sz="4" w:space="0" w:color="auto"/>
            </w:tcBorders>
            <w:shd w:val="clear" w:color="auto" w:fill="auto"/>
            <w:noWrap/>
            <w:vAlign w:val="center"/>
            <w:hideMark/>
          </w:tcPr>
          <w:p w14:paraId="0DA05ED6"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0.29</w:t>
            </w:r>
          </w:p>
        </w:tc>
        <w:tc>
          <w:tcPr>
            <w:tcW w:w="1350" w:type="dxa"/>
            <w:tcBorders>
              <w:top w:val="nil"/>
              <w:left w:val="nil"/>
              <w:bottom w:val="single" w:sz="4" w:space="0" w:color="auto"/>
              <w:right w:val="single" w:sz="4" w:space="0" w:color="auto"/>
            </w:tcBorders>
            <w:shd w:val="clear" w:color="auto" w:fill="auto"/>
            <w:noWrap/>
            <w:vAlign w:val="center"/>
            <w:hideMark/>
          </w:tcPr>
          <w:p w14:paraId="5C62EF0A"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428.9</w:t>
            </w:r>
          </w:p>
        </w:tc>
      </w:tr>
      <w:tr w:rsidR="006E1622" w:rsidRPr="006E1622" w14:paraId="6E5291B3" w14:textId="77777777" w:rsidTr="00840BE5">
        <w:trPr>
          <w:trHeight w:val="300"/>
          <w:jc w:val="center"/>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5F6AC43"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c6</w:t>
            </w:r>
          </w:p>
        </w:tc>
        <w:tc>
          <w:tcPr>
            <w:tcW w:w="3009" w:type="dxa"/>
            <w:tcBorders>
              <w:top w:val="nil"/>
              <w:left w:val="nil"/>
              <w:bottom w:val="single" w:sz="4" w:space="0" w:color="auto"/>
              <w:right w:val="single" w:sz="4" w:space="0" w:color="auto"/>
            </w:tcBorders>
            <w:shd w:val="clear" w:color="auto" w:fill="auto"/>
            <w:noWrap/>
            <w:vAlign w:val="center"/>
            <w:hideMark/>
          </w:tcPr>
          <w:p w14:paraId="133B8E0A"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1,429</w:t>
            </w:r>
          </w:p>
        </w:tc>
        <w:tc>
          <w:tcPr>
            <w:tcW w:w="1087" w:type="dxa"/>
            <w:tcBorders>
              <w:top w:val="nil"/>
              <w:left w:val="nil"/>
              <w:bottom w:val="single" w:sz="4" w:space="0" w:color="auto"/>
              <w:right w:val="single" w:sz="4" w:space="0" w:color="auto"/>
            </w:tcBorders>
            <w:shd w:val="clear" w:color="auto" w:fill="auto"/>
            <w:noWrap/>
            <w:vAlign w:val="center"/>
            <w:hideMark/>
          </w:tcPr>
          <w:p w14:paraId="6EC4C74F"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1.0000</w:t>
            </w:r>
          </w:p>
        </w:tc>
        <w:tc>
          <w:tcPr>
            <w:tcW w:w="1129" w:type="dxa"/>
            <w:tcBorders>
              <w:top w:val="nil"/>
              <w:left w:val="nil"/>
              <w:bottom w:val="single" w:sz="4" w:space="0" w:color="auto"/>
              <w:right w:val="single" w:sz="4" w:space="0" w:color="auto"/>
            </w:tcBorders>
            <w:shd w:val="clear" w:color="auto" w:fill="auto"/>
            <w:noWrap/>
            <w:vAlign w:val="center"/>
            <w:hideMark/>
          </w:tcPr>
          <w:p w14:paraId="0E1F0BF3"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1.0006</w:t>
            </w:r>
          </w:p>
        </w:tc>
        <w:tc>
          <w:tcPr>
            <w:tcW w:w="1080" w:type="dxa"/>
            <w:tcBorders>
              <w:top w:val="nil"/>
              <w:left w:val="nil"/>
              <w:bottom w:val="single" w:sz="4" w:space="0" w:color="auto"/>
              <w:right w:val="single" w:sz="4" w:space="0" w:color="auto"/>
            </w:tcBorders>
            <w:shd w:val="clear" w:color="auto" w:fill="auto"/>
            <w:noWrap/>
            <w:vAlign w:val="center"/>
            <w:hideMark/>
          </w:tcPr>
          <w:p w14:paraId="581A327B"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0.06</w:t>
            </w:r>
          </w:p>
        </w:tc>
        <w:tc>
          <w:tcPr>
            <w:tcW w:w="1350" w:type="dxa"/>
            <w:tcBorders>
              <w:top w:val="nil"/>
              <w:left w:val="nil"/>
              <w:bottom w:val="single" w:sz="4" w:space="0" w:color="auto"/>
              <w:right w:val="single" w:sz="4" w:space="0" w:color="auto"/>
            </w:tcBorders>
            <w:shd w:val="clear" w:color="auto" w:fill="auto"/>
            <w:noWrap/>
            <w:vAlign w:val="center"/>
            <w:hideMark/>
          </w:tcPr>
          <w:p w14:paraId="000F8449" w14:textId="77777777" w:rsidR="006E1622" w:rsidRPr="006E1622" w:rsidRDefault="006E1622" w:rsidP="004969BA">
            <w:pPr>
              <w:keepNext/>
              <w:spacing w:after="0" w:line="240" w:lineRule="auto"/>
              <w:ind w:firstLine="0"/>
              <w:jc w:val="center"/>
              <w:rPr>
                <w:rFonts w:eastAsia="Times New Roman"/>
                <w:color w:val="000000"/>
              </w:rPr>
            </w:pPr>
            <w:r w:rsidRPr="006E1622">
              <w:rPr>
                <w:rFonts w:eastAsia="Times New Roman"/>
                <w:color w:val="000000"/>
              </w:rPr>
              <w:t>429.0</w:t>
            </w:r>
          </w:p>
        </w:tc>
      </w:tr>
    </w:tbl>
    <w:p w14:paraId="3515DBE8" w14:textId="45BFB22D" w:rsidR="009C048F" w:rsidRPr="009C048F" w:rsidRDefault="009C048F" w:rsidP="00840BE5">
      <w:pPr>
        <w:spacing w:after="0" w:line="240" w:lineRule="auto"/>
        <w:ind w:left="450" w:firstLine="0"/>
        <w:rPr>
          <w:sz w:val="20"/>
        </w:rPr>
      </w:pPr>
      <w:r w:rsidRPr="009C048F">
        <w:rPr>
          <w:sz w:val="20"/>
        </w:rPr>
        <w:t xml:space="preserve">*Fuel plate domain mesh </w:t>
      </w:r>
      <w:r>
        <w:rPr>
          <w:sz w:val="20"/>
        </w:rPr>
        <w:t xml:space="preserve">elements </w:t>
      </w:r>
      <w:r w:rsidRPr="009C048F">
        <w:rPr>
          <w:sz w:val="20"/>
        </w:rPr>
        <w:t xml:space="preserve">(in thousands) = </w:t>
      </w:r>
      <w:r w:rsidR="00330E21">
        <w:rPr>
          <w:sz w:val="20"/>
        </w:rPr>
        <w:t>454</w:t>
      </w:r>
    </w:p>
    <w:p w14:paraId="6DA3ADE7" w14:textId="65560800" w:rsidR="009C048F" w:rsidRPr="000C67E5" w:rsidRDefault="009C048F" w:rsidP="00840BE5">
      <w:pPr>
        <w:spacing w:after="720"/>
        <w:ind w:left="450" w:firstLine="0"/>
      </w:pPr>
      <w:r>
        <w:rPr>
          <w:sz w:val="20"/>
        </w:rPr>
        <w:t>**Residual tolerance = 1.00X10</w:t>
      </w:r>
      <w:r>
        <w:rPr>
          <w:sz w:val="20"/>
          <w:vertAlign w:val="superscript"/>
        </w:rPr>
        <w:t>-2</w:t>
      </w:r>
    </w:p>
    <w:p w14:paraId="67D2FAC6" w14:textId="437CD410" w:rsidR="000C67E5" w:rsidRDefault="00F73ECB" w:rsidP="00A30904">
      <w:pPr>
        <w:pStyle w:val="PictureSytel"/>
      </w:pPr>
      <w:r>
        <w:rPr>
          <w:noProof/>
        </w:rPr>
        <w:drawing>
          <wp:inline distT="0" distB="0" distL="0" distR="0" wp14:anchorId="26E044B4" wp14:editId="1DA233F8">
            <wp:extent cx="5019675" cy="2743200"/>
            <wp:effectExtent l="0" t="0" r="9525" b="19050"/>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5"/>
              </a:graphicData>
            </a:graphic>
          </wp:inline>
        </w:drawing>
      </w:r>
    </w:p>
    <w:p w14:paraId="7E76DE00" w14:textId="2ED2E11A" w:rsidR="00A30904" w:rsidRDefault="00A30904" w:rsidP="00A30904">
      <w:pPr>
        <w:pStyle w:val="FigTitleStyle"/>
        <w:rPr>
          <w:b w:val="0"/>
        </w:rPr>
      </w:pPr>
      <w:bookmarkStart w:id="263" w:name="_Toc382920287"/>
      <w:r w:rsidRPr="00DF60FB">
        <w:t xml:space="preserve">Fig. </w:t>
      </w:r>
      <w:r w:rsidRPr="00DF60FB">
        <w:fldChar w:fldCharType="begin"/>
      </w:r>
      <w:bookmarkStart w:id="264" w:name="_Ref381886974"/>
      <w:bookmarkEnd w:id="264"/>
      <w:r w:rsidRPr="00DF60FB">
        <w:instrText xml:space="preserve"> LISTNUM FIG \l 2 </w:instrText>
      </w:r>
      <w:r w:rsidRPr="00DF60FB">
        <w:fldChar w:fldCharType="end"/>
      </w:r>
      <w:r>
        <w:t xml:space="preserve">.  Coupled Model </w:t>
      </w:r>
      <w:r w:rsidR="00B27276">
        <w:t xml:space="preserve">Coolant </w:t>
      </w:r>
      <w:r>
        <w:t>Mesh Convergence—Coolant Channel Enthalpy</w:t>
      </w:r>
      <w:r w:rsidRPr="00DF60FB">
        <w:t>.</w:t>
      </w:r>
      <w:r w:rsidR="005B5154">
        <w:rPr>
          <w:b w:val="0"/>
        </w:rPr>
        <w:t xml:space="preserve">  The normalized nuclear heat generation, 1.</w:t>
      </w:r>
      <w:r w:rsidR="000105AC">
        <w:rPr>
          <w:b w:val="0"/>
        </w:rPr>
        <w:t>0</w:t>
      </w:r>
      <w:r w:rsidR="005B5154">
        <w:rPr>
          <w:b w:val="0"/>
        </w:rPr>
        <w:t>0, is marked with a red line to show the coolant channel’s convergence towards the correct value.</w:t>
      </w:r>
      <w:bookmarkEnd w:id="263"/>
    </w:p>
    <w:p w14:paraId="5A4E18A9" w14:textId="7D4A5F4C" w:rsidR="005B5154" w:rsidRDefault="00631CEB" w:rsidP="005B5154">
      <w:pPr>
        <w:pStyle w:val="PictureSytel"/>
      </w:pPr>
      <w:r>
        <w:rPr>
          <w:noProof/>
        </w:rPr>
        <w:lastRenderedPageBreak/>
        <w:drawing>
          <wp:inline distT="0" distB="0" distL="0" distR="0" wp14:anchorId="2936DC19" wp14:editId="55FC1DD9">
            <wp:extent cx="5029200" cy="2743200"/>
            <wp:effectExtent l="0" t="0" r="19050" b="19050"/>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6"/>
              </a:graphicData>
            </a:graphic>
          </wp:inline>
        </w:drawing>
      </w:r>
    </w:p>
    <w:p w14:paraId="11712D7D" w14:textId="270992FD" w:rsidR="005B5154" w:rsidRPr="005B5154" w:rsidRDefault="005B5154" w:rsidP="005B5154">
      <w:pPr>
        <w:pStyle w:val="FigTitleStyle"/>
        <w:rPr>
          <w:b w:val="0"/>
        </w:rPr>
      </w:pPr>
      <w:bookmarkStart w:id="265" w:name="_Toc382920288"/>
      <w:r w:rsidRPr="00DF60FB">
        <w:t xml:space="preserve">Fig. </w:t>
      </w:r>
      <w:r w:rsidRPr="00DF60FB">
        <w:fldChar w:fldCharType="begin"/>
      </w:r>
      <w:bookmarkStart w:id="266" w:name="_Ref381887650"/>
      <w:bookmarkEnd w:id="266"/>
      <w:r w:rsidRPr="00DF60FB">
        <w:instrText xml:space="preserve"> LISTNUM FIG \l 2 </w:instrText>
      </w:r>
      <w:r w:rsidRPr="00DF60FB">
        <w:fldChar w:fldCharType="end"/>
      </w:r>
      <w:r>
        <w:t xml:space="preserve">.  Coupled Model </w:t>
      </w:r>
      <w:r w:rsidR="00B27276">
        <w:t xml:space="preserve">Coolant </w:t>
      </w:r>
      <w:r>
        <w:t>Mesh Convergence—Logarithmic Coolant Error</w:t>
      </w:r>
      <w:r w:rsidRPr="00DF60FB">
        <w:t>.</w:t>
      </w:r>
      <w:bookmarkEnd w:id="265"/>
    </w:p>
    <w:p w14:paraId="239DF807" w14:textId="23EDE5AF" w:rsidR="000C67E5" w:rsidRDefault="00F73ECB" w:rsidP="00A30904">
      <w:pPr>
        <w:pStyle w:val="PictureSytel"/>
      </w:pPr>
      <w:r>
        <w:rPr>
          <w:noProof/>
        </w:rPr>
        <w:drawing>
          <wp:inline distT="0" distB="0" distL="0" distR="0" wp14:anchorId="78912C82" wp14:editId="1EE044F0">
            <wp:extent cx="5038725" cy="2743200"/>
            <wp:effectExtent l="0" t="0" r="9525" b="1905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7"/>
              </a:graphicData>
            </a:graphic>
          </wp:inline>
        </w:drawing>
      </w:r>
    </w:p>
    <w:p w14:paraId="69ED7C8F" w14:textId="5E6FADC6" w:rsidR="00A30904" w:rsidRPr="005D38CF" w:rsidRDefault="00A30904" w:rsidP="00A30904">
      <w:pPr>
        <w:pStyle w:val="FigTitleStyle"/>
        <w:rPr>
          <w:b w:val="0"/>
        </w:rPr>
      </w:pPr>
      <w:bookmarkStart w:id="267" w:name="_Toc382920289"/>
      <w:r w:rsidRPr="00DF60FB">
        <w:t xml:space="preserve">Fig. </w:t>
      </w:r>
      <w:r w:rsidRPr="00DF60FB">
        <w:fldChar w:fldCharType="begin"/>
      </w:r>
      <w:bookmarkStart w:id="268" w:name="_Ref381886981"/>
      <w:bookmarkEnd w:id="268"/>
      <w:r w:rsidRPr="00DF60FB">
        <w:instrText xml:space="preserve"> LISTNUM FIG \l 2 </w:instrText>
      </w:r>
      <w:r w:rsidRPr="00DF60FB">
        <w:fldChar w:fldCharType="end"/>
      </w:r>
      <w:r>
        <w:t xml:space="preserve">.  Coupled Model </w:t>
      </w:r>
      <w:r w:rsidR="00B27276">
        <w:t xml:space="preserve">Coolant </w:t>
      </w:r>
      <w:r w:rsidR="009C4EA9">
        <w:t>Mesh Convergence—Max</w:t>
      </w:r>
      <w:r>
        <w:t xml:space="preserve"> Fuel Meat Temperature</w:t>
      </w:r>
      <w:r w:rsidRPr="00DF60FB">
        <w:t>.</w:t>
      </w:r>
      <w:r w:rsidR="00631CEB">
        <w:t xml:space="preserve">  </w:t>
      </w:r>
      <w:r w:rsidR="00631CEB">
        <w:rPr>
          <w:b w:val="0"/>
        </w:rPr>
        <w:t xml:space="preserve">The 3D model’s maximum fuel meat temperature is marked with a red line to </w:t>
      </w:r>
      <w:r w:rsidR="00A95641">
        <w:rPr>
          <w:b w:val="0"/>
        </w:rPr>
        <w:t>demonstrate</w:t>
      </w:r>
      <w:r w:rsidR="000105AC">
        <w:rPr>
          <w:b w:val="0"/>
        </w:rPr>
        <w:t xml:space="preserve"> the </w:t>
      </w:r>
      <w:r w:rsidR="00631CEB">
        <w:rPr>
          <w:b w:val="0"/>
        </w:rPr>
        <w:t>offset between the two models’ converged states.</w:t>
      </w:r>
      <w:bookmarkEnd w:id="267"/>
    </w:p>
    <w:p w14:paraId="7E40DB3D" w14:textId="5E978D54" w:rsidR="000C67E5" w:rsidRDefault="00D21ECF" w:rsidP="00B92FA2">
      <w:r>
        <w:t>The coolant mesh convergence study shows not only good convergence but also that the model is converging to a state very similar to that of the converged 3D model.</w:t>
      </w:r>
      <w:r w:rsidR="00F73ECB">
        <w:t xml:space="preserve">  The converged temperature is only 2.8 K below that of the 3D model.</w:t>
      </w:r>
      <w:r w:rsidR="00330E21">
        <w:t xml:space="preserve">  With the goal of balancing the efficiency and accuracy of the model, a total error of </w:t>
      </w:r>
      <w:r w:rsidR="00330E21">
        <w:rPr>
          <w:i/>
        </w:rPr>
        <w:t>e</w:t>
      </w:r>
      <w:r w:rsidR="00330E21">
        <w:rPr>
          <w:i/>
          <w:vertAlign w:val="subscript"/>
        </w:rPr>
        <w:t>g</w:t>
      </w:r>
      <w:r w:rsidR="008C6F92">
        <w:t xml:space="preserve"> ≈</w:t>
      </w:r>
      <w:r w:rsidR="00330E21">
        <w:t xml:space="preserve"> 5% was chosen as an acceptable margin.</w:t>
      </w:r>
      <w:r w:rsidR="00D1003C">
        <w:t xml:space="preserve">  Given the relative difficulty of modeling the </w:t>
      </w:r>
      <w:r w:rsidR="00D1003C">
        <w:lastRenderedPageBreak/>
        <w:t xml:space="preserve">RANS equations in the coolant versus modeling heat transfer in the fuel plate, </w:t>
      </w:r>
      <w:r w:rsidR="00630816">
        <w:t xml:space="preserve">the majority of this error should </w:t>
      </w:r>
      <w:r w:rsidR="001107CE">
        <w:t xml:space="preserve">be expected to </w:t>
      </w:r>
      <w:r w:rsidR="00630816">
        <w:t>come from the coolant.</w:t>
      </w:r>
      <w:r w:rsidR="00330E21">
        <w:t xml:space="preserve">  </w:t>
      </w:r>
      <w:r w:rsidR="00630816">
        <w:t>Thus mesh c3 was</w:t>
      </w:r>
      <w:r w:rsidR="00330E21">
        <w:t xml:space="preserve"> chosen a</w:t>
      </w:r>
      <w:r w:rsidR="00630816">
        <w:t xml:space="preserve">s the ideal coolant mesh </w:t>
      </w:r>
      <w:r w:rsidR="00D0516F">
        <w:t>resolution</w:t>
      </w:r>
      <w:r w:rsidR="00330E21">
        <w:t>.  With only 456,000 mesh elements it has one-third the number of mesh elements as the “converged” mesh.  Even still it only has an energy balance error of 3% and its maximum fuel meat temperature is within 1 K of the converged value.</w:t>
      </w:r>
    </w:p>
    <w:p w14:paraId="1925732F" w14:textId="73E0D4A7" w:rsidR="00330E21" w:rsidRDefault="00330E21" w:rsidP="009335A8">
      <w:pPr>
        <w:pStyle w:val="NormalBeforeTable"/>
      </w:pPr>
      <w:r>
        <w:t>With the coolant mesh held constant at mesh c3, a mesh convergence study was then performed on the fuel plate domain.</w:t>
      </w:r>
      <w:r w:rsidR="00A02149">
        <w:t xml:space="preserve">  All meshes considered utilized quadratic basis functions.  The results of the fuel plate mesh convergence study are shown in Table </w:t>
      </w:r>
      <w:r w:rsidR="009335A8">
        <w:fldChar w:fldCharType="begin"/>
      </w:r>
      <w:r w:rsidR="009335A8">
        <w:instrText xml:space="preserve"> REF _Ref382214212 \r \h </w:instrText>
      </w:r>
      <w:r w:rsidR="009335A8">
        <w:fldChar w:fldCharType="separate"/>
      </w:r>
      <w:r w:rsidR="001C5EC1">
        <w:t>7.3</w:t>
      </w:r>
      <w:r w:rsidR="009335A8">
        <w:fldChar w:fldCharType="end"/>
      </w:r>
      <w:r w:rsidR="00A02149">
        <w:t>.</w:t>
      </w:r>
      <w:r w:rsidR="00CD7D8C">
        <w:t xml:space="preserve">  The data in columns </w:t>
      </w:r>
      <w:r w:rsidR="002A4035">
        <w:t xml:space="preserve">six, eight, and nine are plotted in Figs. </w:t>
      </w:r>
      <w:r w:rsidR="00BB2973">
        <w:fldChar w:fldCharType="begin"/>
      </w:r>
      <w:r w:rsidR="00BB2973">
        <w:instrText xml:space="preserve"> REF _Ref382478643 \r \h </w:instrText>
      </w:r>
      <w:r w:rsidR="00BB2973">
        <w:fldChar w:fldCharType="separate"/>
      </w:r>
      <w:r w:rsidR="001C5EC1">
        <w:t>7.5</w:t>
      </w:r>
      <w:r w:rsidR="00BB2973">
        <w:fldChar w:fldCharType="end"/>
      </w:r>
      <w:r w:rsidR="00BB2973">
        <w:t xml:space="preserve">, </w:t>
      </w:r>
      <w:r w:rsidR="00BB2973">
        <w:fldChar w:fldCharType="begin"/>
      </w:r>
      <w:r w:rsidR="00BB2973">
        <w:instrText xml:space="preserve"> REF _Ref382478648 \r \h </w:instrText>
      </w:r>
      <w:r w:rsidR="00BB2973">
        <w:fldChar w:fldCharType="separate"/>
      </w:r>
      <w:r w:rsidR="001C5EC1">
        <w:t>7.6</w:t>
      </w:r>
      <w:r w:rsidR="00BB2973">
        <w:fldChar w:fldCharType="end"/>
      </w:r>
      <w:r w:rsidR="00BB2973">
        <w:t xml:space="preserve">, and </w:t>
      </w:r>
      <w:r w:rsidR="00BB2973">
        <w:fldChar w:fldCharType="begin"/>
      </w:r>
      <w:r w:rsidR="00BB2973">
        <w:instrText xml:space="preserve"> REF _Ref382478654 \r \h </w:instrText>
      </w:r>
      <w:r w:rsidR="00BB2973">
        <w:fldChar w:fldCharType="separate"/>
      </w:r>
      <w:r w:rsidR="001C5EC1">
        <w:t>7.7</w:t>
      </w:r>
      <w:r w:rsidR="00BB2973">
        <w:fldChar w:fldCharType="end"/>
      </w:r>
      <w:r w:rsidR="00BB2973">
        <w:t>, respectively.</w:t>
      </w:r>
    </w:p>
    <w:tbl>
      <w:tblPr>
        <w:tblW w:w="9171" w:type="dxa"/>
        <w:jc w:val="center"/>
        <w:tblLook w:val="04A0" w:firstRow="1" w:lastRow="0" w:firstColumn="1" w:lastColumn="0" w:noHBand="0" w:noVBand="1"/>
      </w:tblPr>
      <w:tblGrid>
        <w:gridCol w:w="900"/>
        <w:gridCol w:w="1800"/>
        <w:gridCol w:w="921"/>
        <w:gridCol w:w="889"/>
        <w:gridCol w:w="900"/>
        <w:gridCol w:w="890"/>
        <w:gridCol w:w="900"/>
        <w:gridCol w:w="901"/>
        <w:gridCol w:w="1070"/>
      </w:tblGrid>
      <w:tr w:rsidR="004969BA" w:rsidRPr="004969BA" w14:paraId="12CF1BEB" w14:textId="77777777" w:rsidTr="00840BE5">
        <w:trPr>
          <w:trHeight w:val="300"/>
          <w:jc w:val="center"/>
        </w:trPr>
        <w:tc>
          <w:tcPr>
            <w:tcW w:w="9171"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584800" w14:textId="63BF168F" w:rsidR="004969BA" w:rsidRPr="004969BA" w:rsidRDefault="004969BA" w:rsidP="004969BA">
            <w:pPr>
              <w:pStyle w:val="NoSpacing"/>
            </w:pPr>
            <w:bookmarkStart w:id="269" w:name="_Toc382920201"/>
            <w:r>
              <w:t xml:space="preserve">Table </w:t>
            </w:r>
            <w:r>
              <w:fldChar w:fldCharType="begin"/>
            </w:r>
            <w:bookmarkStart w:id="270" w:name="_Ref382214212"/>
            <w:bookmarkEnd w:id="270"/>
            <w:r>
              <w:instrText xml:space="preserve"> LISTNUM TAB \l 2</w:instrText>
            </w:r>
            <w:r>
              <w:fldChar w:fldCharType="end"/>
            </w:r>
            <w:r w:rsidRPr="006E1622">
              <w:t xml:space="preserve">:  </w:t>
            </w:r>
            <w:r w:rsidRPr="004969BA">
              <w:t>Coupled Model Fuel Plate Domain Mesh Convergence Study</w:t>
            </w:r>
            <w:bookmarkEnd w:id="269"/>
          </w:p>
        </w:tc>
      </w:tr>
      <w:tr w:rsidR="004969BA" w:rsidRPr="004969BA" w14:paraId="5553773E" w14:textId="77777777" w:rsidTr="00840BE5">
        <w:trPr>
          <w:trHeight w:val="665"/>
          <w:jc w:val="center"/>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2E6EB9C6"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Mesh</w:t>
            </w:r>
          </w:p>
        </w:tc>
        <w:tc>
          <w:tcPr>
            <w:tcW w:w="1800" w:type="dxa"/>
            <w:tcBorders>
              <w:top w:val="nil"/>
              <w:left w:val="nil"/>
              <w:bottom w:val="single" w:sz="4" w:space="0" w:color="auto"/>
              <w:right w:val="single" w:sz="4" w:space="0" w:color="auto"/>
            </w:tcBorders>
            <w:shd w:val="clear" w:color="auto" w:fill="auto"/>
            <w:vAlign w:val="center"/>
            <w:hideMark/>
          </w:tcPr>
          <w:p w14:paraId="68D9ABA2"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Fuel Plate Mesh Elements</w:t>
            </w:r>
            <w:r w:rsidRPr="004969BA">
              <w:rPr>
                <w:rFonts w:eastAsia="Times New Roman"/>
                <w:color w:val="000000"/>
              </w:rPr>
              <w:br/>
              <w:t>(in thousands)</w:t>
            </w:r>
          </w:p>
        </w:tc>
        <w:tc>
          <w:tcPr>
            <w:tcW w:w="921" w:type="dxa"/>
            <w:tcBorders>
              <w:top w:val="nil"/>
              <w:left w:val="nil"/>
              <w:bottom w:val="single" w:sz="4" w:space="0" w:color="auto"/>
              <w:right w:val="single" w:sz="4" w:space="0" w:color="auto"/>
            </w:tcBorders>
            <w:shd w:val="clear" w:color="auto" w:fill="auto"/>
            <w:vAlign w:val="center"/>
            <w:hideMark/>
          </w:tcPr>
          <w:p w14:paraId="019A435E" w14:textId="329F8FF6" w:rsidR="004969BA" w:rsidRPr="004969BA" w:rsidRDefault="004969BA" w:rsidP="004969BA">
            <w:pPr>
              <w:keepNext/>
              <w:spacing w:after="0" w:line="240" w:lineRule="auto"/>
              <w:ind w:firstLine="0"/>
              <w:jc w:val="center"/>
              <w:rPr>
                <w:rFonts w:eastAsia="Times New Roman"/>
                <w:i/>
                <w:color w:val="000000"/>
                <w:vertAlign w:val="subscript"/>
              </w:rPr>
            </w:pPr>
            <w:r>
              <w:rPr>
                <w:rFonts w:eastAsia="Times New Roman"/>
                <w:i/>
                <w:color w:val="000000"/>
              </w:rPr>
              <w:t>E’</w:t>
            </w:r>
            <w:r>
              <w:rPr>
                <w:rFonts w:eastAsia="Times New Roman"/>
                <w:i/>
                <w:color w:val="000000"/>
                <w:vertAlign w:val="subscript"/>
              </w:rPr>
              <w:t>p,gen</w:t>
            </w:r>
          </w:p>
        </w:tc>
        <w:tc>
          <w:tcPr>
            <w:tcW w:w="889" w:type="dxa"/>
            <w:tcBorders>
              <w:top w:val="nil"/>
              <w:left w:val="nil"/>
              <w:bottom w:val="single" w:sz="4" w:space="0" w:color="auto"/>
              <w:right w:val="single" w:sz="4" w:space="0" w:color="auto"/>
            </w:tcBorders>
            <w:shd w:val="clear" w:color="auto" w:fill="auto"/>
            <w:vAlign w:val="center"/>
            <w:hideMark/>
          </w:tcPr>
          <w:p w14:paraId="161714A3" w14:textId="244BF37B" w:rsidR="004969BA" w:rsidRPr="004969BA" w:rsidRDefault="004969BA" w:rsidP="004969BA">
            <w:pPr>
              <w:keepNext/>
              <w:spacing w:after="0" w:line="240" w:lineRule="auto"/>
              <w:ind w:firstLine="0"/>
              <w:jc w:val="center"/>
              <w:rPr>
                <w:rFonts w:eastAsia="Times New Roman"/>
                <w:i/>
                <w:color w:val="000000"/>
                <w:vertAlign w:val="subscript"/>
              </w:rPr>
            </w:pPr>
            <w:r>
              <w:rPr>
                <w:rFonts w:eastAsia="Times New Roman"/>
                <w:i/>
                <w:color w:val="000000"/>
              </w:rPr>
              <w:t>E’</w:t>
            </w:r>
            <w:r>
              <w:rPr>
                <w:rFonts w:eastAsia="Times New Roman"/>
                <w:i/>
                <w:color w:val="000000"/>
                <w:vertAlign w:val="subscript"/>
              </w:rPr>
              <w:t>p,out</w:t>
            </w:r>
          </w:p>
        </w:tc>
        <w:tc>
          <w:tcPr>
            <w:tcW w:w="900" w:type="dxa"/>
            <w:tcBorders>
              <w:top w:val="nil"/>
              <w:left w:val="nil"/>
              <w:bottom w:val="single" w:sz="4" w:space="0" w:color="auto"/>
              <w:right w:val="single" w:sz="4" w:space="0" w:color="auto"/>
            </w:tcBorders>
            <w:shd w:val="clear" w:color="auto" w:fill="auto"/>
            <w:vAlign w:val="center"/>
            <w:hideMark/>
          </w:tcPr>
          <w:p w14:paraId="0E7F807E" w14:textId="213FFEFF" w:rsidR="004969BA" w:rsidRPr="004969BA" w:rsidRDefault="004969BA" w:rsidP="004969BA">
            <w:pPr>
              <w:keepNext/>
              <w:spacing w:after="0" w:line="240" w:lineRule="auto"/>
              <w:ind w:firstLine="0"/>
              <w:jc w:val="center"/>
              <w:rPr>
                <w:rFonts w:eastAsia="Times New Roman"/>
                <w:i/>
                <w:color w:val="000000"/>
                <w:vertAlign w:val="subscript"/>
              </w:rPr>
            </w:pPr>
            <w:r>
              <w:rPr>
                <w:rFonts w:eastAsia="Times New Roman"/>
                <w:color w:val="000000"/>
              </w:rPr>
              <w:t>Δ</w:t>
            </w:r>
            <w:r>
              <w:rPr>
                <w:rFonts w:eastAsia="Times New Roman"/>
                <w:i/>
                <w:color w:val="000000"/>
              </w:rPr>
              <w:t>H’</w:t>
            </w:r>
            <w:r>
              <w:rPr>
                <w:rFonts w:eastAsia="Times New Roman"/>
                <w:i/>
                <w:color w:val="000000"/>
                <w:vertAlign w:val="subscript"/>
              </w:rPr>
              <w:t>c</w:t>
            </w:r>
          </w:p>
        </w:tc>
        <w:tc>
          <w:tcPr>
            <w:tcW w:w="890" w:type="dxa"/>
            <w:tcBorders>
              <w:top w:val="nil"/>
              <w:left w:val="nil"/>
              <w:bottom w:val="single" w:sz="4" w:space="0" w:color="auto"/>
              <w:right w:val="single" w:sz="4" w:space="0" w:color="auto"/>
            </w:tcBorders>
            <w:shd w:val="clear" w:color="auto" w:fill="auto"/>
            <w:vAlign w:val="center"/>
            <w:hideMark/>
          </w:tcPr>
          <w:p w14:paraId="4C71277E" w14:textId="0A56FE7E" w:rsidR="004969BA" w:rsidRPr="004969BA" w:rsidRDefault="004969BA" w:rsidP="004969BA">
            <w:pPr>
              <w:keepNext/>
              <w:spacing w:after="0" w:line="240" w:lineRule="auto"/>
              <w:ind w:firstLine="0"/>
              <w:jc w:val="center"/>
              <w:rPr>
                <w:rFonts w:eastAsia="Times New Roman"/>
                <w:color w:val="000000"/>
              </w:rPr>
            </w:pPr>
            <w:r>
              <w:rPr>
                <w:rFonts w:eastAsia="Times New Roman"/>
                <w:i/>
                <w:color w:val="000000"/>
              </w:rPr>
              <w:t>e</w:t>
            </w:r>
            <w:r>
              <w:rPr>
                <w:rFonts w:eastAsia="Times New Roman"/>
                <w:i/>
                <w:color w:val="000000"/>
                <w:vertAlign w:val="subscript"/>
              </w:rPr>
              <w:t>p</w:t>
            </w:r>
            <w:r>
              <w:rPr>
                <w:rFonts w:eastAsia="Times New Roman"/>
                <w:color w:val="000000"/>
              </w:rPr>
              <w:t xml:space="preserve"> (%)</w:t>
            </w:r>
          </w:p>
        </w:tc>
        <w:tc>
          <w:tcPr>
            <w:tcW w:w="900" w:type="dxa"/>
            <w:tcBorders>
              <w:top w:val="nil"/>
              <w:left w:val="nil"/>
              <w:bottom w:val="single" w:sz="4" w:space="0" w:color="auto"/>
              <w:right w:val="single" w:sz="4" w:space="0" w:color="auto"/>
            </w:tcBorders>
            <w:shd w:val="clear" w:color="auto" w:fill="auto"/>
            <w:noWrap/>
            <w:vAlign w:val="center"/>
            <w:hideMark/>
          </w:tcPr>
          <w:p w14:paraId="2C04FA6F" w14:textId="58A101A7" w:rsidR="004969BA" w:rsidRPr="004969BA" w:rsidRDefault="004969BA" w:rsidP="004969BA">
            <w:pPr>
              <w:keepNext/>
              <w:spacing w:after="0" w:line="240" w:lineRule="auto"/>
              <w:ind w:firstLine="0"/>
              <w:jc w:val="center"/>
              <w:rPr>
                <w:rFonts w:eastAsia="Times New Roman"/>
                <w:color w:val="000000"/>
              </w:rPr>
            </w:pPr>
            <w:r>
              <w:rPr>
                <w:rFonts w:eastAsia="Times New Roman"/>
                <w:i/>
                <w:color w:val="000000"/>
              </w:rPr>
              <w:t>e</w:t>
            </w:r>
            <w:r>
              <w:rPr>
                <w:rFonts w:eastAsia="Times New Roman"/>
                <w:i/>
                <w:color w:val="000000"/>
                <w:vertAlign w:val="subscript"/>
              </w:rPr>
              <w:t>c</w:t>
            </w:r>
            <w:r>
              <w:rPr>
                <w:rFonts w:eastAsia="Times New Roman"/>
                <w:color w:val="000000"/>
              </w:rPr>
              <w:t xml:space="preserve"> (%)</w:t>
            </w:r>
          </w:p>
        </w:tc>
        <w:tc>
          <w:tcPr>
            <w:tcW w:w="901" w:type="dxa"/>
            <w:tcBorders>
              <w:top w:val="nil"/>
              <w:left w:val="nil"/>
              <w:bottom w:val="single" w:sz="4" w:space="0" w:color="auto"/>
              <w:right w:val="single" w:sz="4" w:space="0" w:color="auto"/>
            </w:tcBorders>
            <w:shd w:val="clear" w:color="auto" w:fill="auto"/>
            <w:vAlign w:val="center"/>
            <w:hideMark/>
          </w:tcPr>
          <w:p w14:paraId="56083489" w14:textId="15A32ED8" w:rsidR="004969BA" w:rsidRPr="004969BA" w:rsidRDefault="004969BA" w:rsidP="004969BA">
            <w:pPr>
              <w:keepNext/>
              <w:spacing w:after="0" w:line="240" w:lineRule="auto"/>
              <w:ind w:firstLine="0"/>
              <w:jc w:val="center"/>
              <w:rPr>
                <w:rFonts w:eastAsia="Times New Roman"/>
                <w:color w:val="000000"/>
              </w:rPr>
            </w:pPr>
            <w:r>
              <w:rPr>
                <w:rFonts w:eastAsia="Times New Roman"/>
                <w:i/>
                <w:color w:val="000000"/>
              </w:rPr>
              <w:t>e</w:t>
            </w:r>
            <w:r>
              <w:rPr>
                <w:rFonts w:eastAsia="Times New Roman"/>
                <w:i/>
                <w:color w:val="000000"/>
                <w:vertAlign w:val="subscript"/>
              </w:rPr>
              <w:t>g</w:t>
            </w:r>
            <w:r>
              <w:rPr>
                <w:rFonts w:eastAsia="Times New Roman"/>
                <w:color w:val="000000"/>
              </w:rPr>
              <w:t xml:space="preserve"> (%)</w:t>
            </w:r>
          </w:p>
        </w:tc>
        <w:tc>
          <w:tcPr>
            <w:tcW w:w="1070" w:type="dxa"/>
            <w:tcBorders>
              <w:top w:val="nil"/>
              <w:left w:val="nil"/>
              <w:bottom w:val="single" w:sz="4" w:space="0" w:color="auto"/>
              <w:right w:val="single" w:sz="4" w:space="0" w:color="auto"/>
            </w:tcBorders>
            <w:shd w:val="clear" w:color="auto" w:fill="auto"/>
            <w:vAlign w:val="center"/>
            <w:hideMark/>
          </w:tcPr>
          <w:p w14:paraId="13D45F2A" w14:textId="7B6C2588" w:rsidR="004969BA" w:rsidRPr="004969BA" w:rsidRDefault="004969BA" w:rsidP="004969BA">
            <w:pPr>
              <w:keepNext/>
              <w:spacing w:after="0" w:line="240" w:lineRule="auto"/>
              <w:ind w:firstLine="0"/>
              <w:jc w:val="center"/>
              <w:rPr>
                <w:rFonts w:eastAsia="Times New Roman"/>
                <w:color w:val="000000"/>
              </w:rPr>
            </w:pPr>
            <w:r>
              <w:rPr>
                <w:rFonts w:eastAsia="Times New Roman"/>
                <w:color w:val="000000"/>
              </w:rPr>
              <w:t xml:space="preserve">Max Fuel </w:t>
            </w:r>
            <w:r>
              <w:rPr>
                <w:rFonts w:eastAsia="Times New Roman"/>
                <w:color w:val="000000"/>
              </w:rPr>
              <w:br/>
              <w:t>Meat T (K)</w:t>
            </w:r>
          </w:p>
        </w:tc>
      </w:tr>
      <w:tr w:rsidR="00840BE5" w:rsidRPr="004969BA" w14:paraId="70911C94" w14:textId="77777777" w:rsidTr="00840BE5">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7E126D12"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p1</w:t>
            </w:r>
          </w:p>
        </w:tc>
        <w:tc>
          <w:tcPr>
            <w:tcW w:w="1800" w:type="dxa"/>
            <w:tcBorders>
              <w:top w:val="nil"/>
              <w:left w:val="nil"/>
              <w:bottom w:val="single" w:sz="4" w:space="0" w:color="auto"/>
              <w:right w:val="single" w:sz="4" w:space="0" w:color="auto"/>
            </w:tcBorders>
            <w:shd w:val="clear" w:color="auto" w:fill="auto"/>
            <w:noWrap/>
            <w:vAlign w:val="center"/>
            <w:hideMark/>
          </w:tcPr>
          <w:p w14:paraId="23EF4CCB"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24</w:t>
            </w:r>
          </w:p>
        </w:tc>
        <w:tc>
          <w:tcPr>
            <w:tcW w:w="921" w:type="dxa"/>
            <w:tcBorders>
              <w:top w:val="nil"/>
              <w:left w:val="nil"/>
              <w:bottom w:val="single" w:sz="4" w:space="0" w:color="auto"/>
              <w:right w:val="single" w:sz="4" w:space="0" w:color="auto"/>
            </w:tcBorders>
            <w:shd w:val="clear" w:color="auto" w:fill="auto"/>
            <w:noWrap/>
            <w:vAlign w:val="center"/>
            <w:hideMark/>
          </w:tcPr>
          <w:p w14:paraId="2E61C7F6"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1.0000</w:t>
            </w:r>
          </w:p>
        </w:tc>
        <w:tc>
          <w:tcPr>
            <w:tcW w:w="889" w:type="dxa"/>
            <w:tcBorders>
              <w:top w:val="nil"/>
              <w:left w:val="nil"/>
              <w:bottom w:val="single" w:sz="4" w:space="0" w:color="auto"/>
              <w:right w:val="single" w:sz="4" w:space="0" w:color="auto"/>
            </w:tcBorders>
            <w:shd w:val="clear" w:color="auto" w:fill="auto"/>
            <w:noWrap/>
            <w:vAlign w:val="center"/>
            <w:hideMark/>
          </w:tcPr>
          <w:p w14:paraId="7840F564"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1.0036</w:t>
            </w:r>
          </w:p>
        </w:tc>
        <w:tc>
          <w:tcPr>
            <w:tcW w:w="900" w:type="dxa"/>
            <w:tcBorders>
              <w:top w:val="nil"/>
              <w:left w:val="nil"/>
              <w:bottom w:val="single" w:sz="4" w:space="0" w:color="auto"/>
              <w:right w:val="single" w:sz="4" w:space="0" w:color="auto"/>
            </w:tcBorders>
            <w:shd w:val="clear" w:color="auto" w:fill="auto"/>
            <w:noWrap/>
            <w:vAlign w:val="center"/>
            <w:hideMark/>
          </w:tcPr>
          <w:p w14:paraId="6F12F30A"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0.9665</w:t>
            </w:r>
          </w:p>
        </w:tc>
        <w:tc>
          <w:tcPr>
            <w:tcW w:w="890" w:type="dxa"/>
            <w:tcBorders>
              <w:top w:val="nil"/>
              <w:left w:val="nil"/>
              <w:bottom w:val="single" w:sz="4" w:space="0" w:color="auto"/>
              <w:right w:val="single" w:sz="4" w:space="0" w:color="auto"/>
            </w:tcBorders>
            <w:shd w:val="clear" w:color="auto" w:fill="auto"/>
            <w:noWrap/>
            <w:vAlign w:val="center"/>
            <w:hideMark/>
          </w:tcPr>
          <w:p w14:paraId="4502AE42"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0.356</w:t>
            </w:r>
          </w:p>
        </w:tc>
        <w:tc>
          <w:tcPr>
            <w:tcW w:w="900" w:type="dxa"/>
            <w:tcBorders>
              <w:top w:val="nil"/>
              <w:left w:val="nil"/>
              <w:bottom w:val="single" w:sz="4" w:space="0" w:color="auto"/>
              <w:right w:val="single" w:sz="4" w:space="0" w:color="auto"/>
            </w:tcBorders>
            <w:shd w:val="clear" w:color="auto" w:fill="auto"/>
            <w:noWrap/>
            <w:vAlign w:val="center"/>
            <w:hideMark/>
          </w:tcPr>
          <w:p w14:paraId="12E3FBE9"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3.689</w:t>
            </w:r>
          </w:p>
        </w:tc>
        <w:tc>
          <w:tcPr>
            <w:tcW w:w="901" w:type="dxa"/>
            <w:tcBorders>
              <w:top w:val="nil"/>
              <w:left w:val="nil"/>
              <w:bottom w:val="single" w:sz="4" w:space="0" w:color="auto"/>
              <w:right w:val="single" w:sz="4" w:space="0" w:color="auto"/>
            </w:tcBorders>
            <w:shd w:val="clear" w:color="auto" w:fill="auto"/>
            <w:vAlign w:val="center"/>
            <w:hideMark/>
          </w:tcPr>
          <w:p w14:paraId="4F43DCA1"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3.346</w:t>
            </w:r>
          </w:p>
        </w:tc>
        <w:tc>
          <w:tcPr>
            <w:tcW w:w="1070" w:type="dxa"/>
            <w:tcBorders>
              <w:top w:val="nil"/>
              <w:left w:val="nil"/>
              <w:bottom w:val="single" w:sz="4" w:space="0" w:color="auto"/>
              <w:right w:val="single" w:sz="4" w:space="0" w:color="auto"/>
            </w:tcBorders>
            <w:shd w:val="clear" w:color="auto" w:fill="auto"/>
            <w:noWrap/>
            <w:vAlign w:val="center"/>
            <w:hideMark/>
          </w:tcPr>
          <w:p w14:paraId="7973F529"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426.9</w:t>
            </w:r>
          </w:p>
        </w:tc>
      </w:tr>
      <w:tr w:rsidR="00840BE5" w:rsidRPr="004969BA" w14:paraId="3182608B" w14:textId="77777777" w:rsidTr="00840BE5">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0A024F2F"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p2</w:t>
            </w:r>
          </w:p>
        </w:tc>
        <w:tc>
          <w:tcPr>
            <w:tcW w:w="1800" w:type="dxa"/>
            <w:tcBorders>
              <w:top w:val="nil"/>
              <w:left w:val="nil"/>
              <w:bottom w:val="single" w:sz="4" w:space="0" w:color="auto"/>
              <w:right w:val="single" w:sz="4" w:space="0" w:color="auto"/>
            </w:tcBorders>
            <w:shd w:val="clear" w:color="auto" w:fill="auto"/>
            <w:noWrap/>
            <w:vAlign w:val="center"/>
            <w:hideMark/>
          </w:tcPr>
          <w:p w14:paraId="15A46377"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35</w:t>
            </w:r>
          </w:p>
        </w:tc>
        <w:tc>
          <w:tcPr>
            <w:tcW w:w="921" w:type="dxa"/>
            <w:tcBorders>
              <w:top w:val="nil"/>
              <w:left w:val="nil"/>
              <w:bottom w:val="single" w:sz="4" w:space="0" w:color="auto"/>
              <w:right w:val="single" w:sz="4" w:space="0" w:color="auto"/>
            </w:tcBorders>
            <w:shd w:val="clear" w:color="auto" w:fill="auto"/>
            <w:noWrap/>
            <w:vAlign w:val="center"/>
            <w:hideMark/>
          </w:tcPr>
          <w:p w14:paraId="5E889835"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1.0000</w:t>
            </w:r>
          </w:p>
        </w:tc>
        <w:tc>
          <w:tcPr>
            <w:tcW w:w="889" w:type="dxa"/>
            <w:tcBorders>
              <w:top w:val="nil"/>
              <w:left w:val="nil"/>
              <w:bottom w:val="single" w:sz="4" w:space="0" w:color="auto"/>
              <w:right w:val="single" w:sz="4" w:space="0" w:color="auto"/>
            </w:tcBorders>
            <w:shd w:val="clear" w:color="auto" w:fill="auto"/>
            <w:noWrap/>
            <w:vAlign w:val="center"/>
            <w:hideMark/>
          </w:tcPr>
          <w:p w14:paraId="39440A23"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1.0003</w:t>
            </w:r>
          </w:p>
        </w:tc>
        <w:tc>
          <w:tcPr>
            <w:tcW w:w="900" w:type="dxa"/>
            <w:tcBorders>
              <w:top w:val="nil"/>
              <w:left w:val="nil"/>
              <w:bottom w:val="single" w:sz="4" w:space="0" w:color="auto"/>
              <w:right w:val="single" w:sz="4" w:space="0" w:color="auto"/>
            </w:tcBorders>
            <w:shd w:val="clear" w:color="auto" w:fill="auto"/>
            <w:noWrap/>
            <w:vAlign w:val="center"/>
            <w:hideMark/>
          </w:tcPr>
          <w:p w14:paraId="0245B53D"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0.9676</w:t>
            </w:r>
          </w:p>
        </w:tc>
        <w:tc>
          <w:tcPr>
            <w:tcW w:w="890" w:type="dxa"/>
            <w:tcBorders>
              <w:top w:val="nil"/>
              <w:left w:val="nil"/>
              <w:bottom w:val="single" w:sz="4" w:space="0" w:color="auto"/>
              <w:right w:val="single" w:sz="4" w:space="0" w:color="auto"/>
            </w:tcBorders>
            <w:shd w:val="clear" w:color="auto" w:fill="auto"/>
            <w:noWrap/>
            <w:vAlign w:val="center"/>
            <w:hideMark/>
          </w:tcPr>
          <w:p w14:paraId="47469471"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0.033</w:t>
            </w:r>
          </w:p>
        </w:tc>
        <w:tc>
          <w:tcPr>
            <w:tcW w:w="900" w:type="dxa"/>
            <w:tcBorders>
              <w:top w:val="nil"/>
              <w:left w:val="nil"/>
              <w:bottom w:val="single" w:sz="4" w:space="0" w:color="auto"/>
              <w:right w:val="single" w:sz="4" w:space="0" w:color="auto"/>
            </w:tcBorders>
            <w:shd w:val="clear" w:color="auto" w:fill="auto"/>
            <w:noWrap/>
            <w:vAlign w:val="center"/>
            <w:hideMark/>
          </w:tcPr>
          <w:p w14:paraId="79B97E21"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3.269</w:t>
            </w:r>
          </w:p>
        </w:tc>
        <w:tc>
          <w:tcPr>
            <w:tcW w:w="901" w:type="dxa"/>
            <w:tcBorders>
              <w:top w:val="nil"/>
              <w:left w:val="nil"/>
              <w:bottom w:val="single" w:sz="4" w:space="0" w:color="auto"/>
              <w:right w:val="single" w:sz="4" w:space="0" w:color="auto"/>
            </w:tcBorders>
            <w:shd w:val="clear" w:color="auto" w:fill="auto"/>
            <w:vAlign w:val="center"/>
            <w:hideMark/>
          </w:tcPr>
          <w:p w14:paraId="5C28A8FB"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3.237</w:t>
            </w:r>
          </w:p>
        </w:tc>
        <w:tc>
          <w:tcPr>
            <w:tcW w:w="1070" w:type="dxa"/>
            <w:tcBorders>
              <w:top w:val="nil"/>
              <w:left w:val="nil"/>
              <w:bottom w:val="single" w:sz="4" w:space="0" w:color="auto"/>
              <w:right w:val="single" w:sz="4" w:space="0" w:color="auto"/>
            </w:tcBorders>
            <w:shd w:val="clear" w:color="auto" w:fill="auto"/>
            <w:noWrap/>
            <w:vAlign w:val="center"/>
            <w:hideMark/>
          </w:tcPr>
          <w:p w14:paraId="1EE77BBA"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427.6</w:t>
            </w:r>
          </w:p>
        </w:tc>
      </w:tr>
      <w:tr w:rsidR="00840BE5" w:rsidRPr="004969BA" w14:paraId="6D844741" w14:textId="77777777" w:rsidTr="00840BE5">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71BE8365"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p3</w:t>
            </w:r>
          </w:p>
        </w:tc>
        <w:tc>
          <w:tcPr>
            <w:tcW w:w="1800" w:type="dxa"/>
            <w:tcBorders>
              <w:top w:val="nil"/>
              <w:left w:val="nil"/>
              <w:bottom w:val="single" w:sz="4" w:space="0" w:color="auto"/>
              <w:right w:val="single" w:sz="4" w:space="0" w:color="auto"/>
            </w:tcBorders>
            <w:shd w:val="clear" w:color="auto" w:fill="auto"/>
            <w:noWrap/>
            <w:vAlign w:val="center"/>
            <w:hideMark/>
          </w:tcPr>
          <w:p w14:paraId="34C39DCC"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51</w:t>
            </w:r>
          </w:p>
        </w:tc>
        <w:tc>
          <w:tcPr>
            <w:tcW w:w="921" w:type="dxa"/>
            <w:tcBorders>
              <w:top w:val="nil"/>
              <w:left w:val="nil"/>
              <w:bottom w:val="single" w:sz="4" w:space="0" w:color="auto"/>
              <w:right w:val="single" w:sz="4" w:space="0" w:color="auto"/>
            </w:tcBorders>
            <w:shd w:val="clear" w:color="auto" w:fill="auto"/>
            <w:noWrap/>
            <w:vAlign w:val="center"/>
            <w:hideMark/>
          </w:tcPr>
          <w:p w14:paraId="4F89685C"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1.0000</w:t>
            </w:r>
          </w:p>
        </w:tc>
        <w:tc>
          <w:tcPr>
            <w:tcW w:w="889" w:type="dxa"/>
            <w:tcBorders>
              <w:top w:val="nil"/>
              <w:left w:val="nil"/>
              <w:bottom w:val="single" w:sz="4" w:space="0" w:color="auto"/>
              <w:right w:val="single" w:sz="4" w:space="0" w:color="auto"/>
            </w:tcBorders>
            <w:shd w:val="clear" w:color="auto" w:fill="auto"/>
            <w:noWrap/>
            <w:vAlign w:val="center"/>
            <w:hideMark/>
          </w:tcPr>
          <w:p w14:paraId="657575AD"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1.0002</w:t>
            </w:r>
          </w:p>
        </w:tc>
        <w:tc>
          <w:tcPr>
            <w:tcW w:w="900" w:type="dxa"/>
            <w:tcBorders>
              <w:top w:val="nil"/>
              <w:left w:val="nil"/>
              <w:bottom w:val="single" w:sz="4" w:space="0" w:color="auto"/>
              <w:right w:val="single" w:sz="4" w:space="0" w:color="auto"/>
            </w:tcBorders>
            <w:shd w:val="clear" w:color="auto" w:fill="auto"/>
            <w:noWrap/>
            <w:vAlign w:val="center"/>
            <w:hideMark/>
          </w:tcPr>
          <w:p w14:paraId="66304909"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0.9681</w:t>
            </w:r>
          </w:p>
        </w:tc>
        <w:tc>
          <w:tcPr>
            <w:tcW w:w="890" w:type="dxa"/>
            <w:tcBorders>
              <w:top w:val="nil"/>
              <w:left w:val="nil"/>
              <w:bottom w:val="single" w:sz="4" w:space="0" w:color="auto"/>
              <w:right w:val="single" w:sz="4" w:space="0" w:color="auto"/>
            </w:tcBorders>
            <w:shd w:val="clear" w:color="auto" w:fill="auto"/>
            <w:noWrap/>
            <w:vAlign w:val="center"/>
            <w:hideMark/>
          </w:tcPr>
          <w:p w14:paraId="656EBA48"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0.020</w:t>
            </w:r>
          </w:p>
        </w:tc>
        <w:tc>
          <w:tcPr>
            <w:tcW w:w="900" w:type="dxa"/>
            <w:tcBorders>
              <w:top w:val="nil"/>
              <w:left w:val="nil"/>
              <w:bottom w:val="single" w:sz="4" w:space="0" w:color="auto"/>
              <w:right w:val="single" w:sz="4" w:space="0" w:color="auto"/>
            </w:tcBorders>
            <w:shd w:val="clear" w:color="auto" w:fill="auto"/>
            <w:noWrap/>
            <w:vAlign w:val="center"/>
            <w:hideMark/>
          </w:tcPr>
          <w:p w14:paraId="63ED3817"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3.209</w:t>
            </w:r>
          </w:p>
        </w:tc>
        <w:tc>
          <w:tcPr>
            <w:tcW w:w="901" w:type="dxa"/>
            <w:tcBorders>
              <w:top w:val="nil"/>
              <w:left w:val="nil"/>
              <w:bottom w:val="single" w:sz="4" w:space="0" w:color="auto"/>
              <w:right w:val="single" w:sz="4" w:space="0" w:color="auto"/>
            </w:tcBorders>
            <w:shd w:val="clear" w:color="auto" w:fill="auto"/>
            <w:vAlign w:val="center"/>
            <w:hideMark/>
          </w:tcPr>
          <w:p w14:paraId="1E8DC5B1"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3.190</w:t>
            </w:r>
          </w:p>
        </w:tc>
        <w:tc>
          <w:tcPr>
            <w:tcW w:w="1070" w:type="dxa"/>
            <w:tcBorders>
              <w:top w:val="nil"/>
              <w:left w:val="nil"/>
              <w:bottom w:val="single" w:sz="4" w:space="0" w:color="auto"/>
              <w:right w:val="single" w:sz="4" w:space="0" w:color="auto"/>
            </w:tcBorders>
            <w:shd w:val="clear" w:color="auto" w:fill="auto"/>
            <w:noWrap/>
            <w:vAlign w:val="center"/>
            <w:hideMark/>
          </w:tcPr>
          <w:p w14:paraId="3FE5CA07"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427.9</w:t>
            </w:r>
          </w:p>
        </w:tc>
      </w:tr>
      <w:tr w:rsidR="00840BE5" w:rsidRPr="004969BA" w14:paraId="2D278F9C" w14:textId="77777777" w:rsidTr="00840BE5">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06AE8B38"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p4</w:t>
            </w:r>
          </w:p>
        </w:tc>
        <w:tc>
          <w:tcPr>
            <w:tcW w:w="1800" w:type="dxa"/>
            <w:tcBorders>
              <w:top w:val="nil"/>
              <w:left w:val="nil"/>
              <w:bottom w:val="single" w:sz="4" w:space="0" w:color="auto"/>
              <w:right w:val="single" w:sz="4" w:space="0" w:color="auto"/>
            </w:tcBorders>
            <w:shd w:val="clear" w:color="auto" w:fill="auto"/>
            <w:noWrap/>
            <w:vAlign w:val="center"/>
            <w:hideMark/>
          </w:tcPr>
          <w:p w14:paraId="711F8788"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84</w:t>
            </w:r>
          </w:p>
        </w:tc>
        <w:tc>
          <w:tcPr>
            <w:tcW w:w="921" w:type="dxa"/>
            <w:tcBorders>
              <w:top w:val="nil"/>
              <w:left w:val="nil"/>
              <w:bottom w:val="single" w:sz="4" w:space="0" w:color="auto"/>
              <w:right w:val="single" w:sz="4" w:space="0" w:color="auto"/>
            </w:tcBorders>
            <w:shd w:val="clear" w:color="auto" w:fill="auto"/>
            <w:noWrap/>
            <w:vAlign w:val="center"/>
            <w:hideMark/>
          </w:tcPr>
          <w:p w14:paraId="619F6257"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1.0000</w:t>
            </w:r>
          </w:p>
        </w:tc>
        <w:tc>
          <w:tcPr>
            <w:tcW w:w="889" w:type="dxa"/>
            <w:tcBorders>
              <w:top w:val="nil"/>
              <w:left w:val="nil"/>
              <w:bottom w:val="single" w:sz="4" w:space="0" w:color="auto"/>
              <w:right w:val="single" w:sz="4" w:space="0" w:color="auto"/>
            </w:tcBorders>
            <w:shd w:val="clear" w:color="auto" w:fill="auto"/>
            <w:noWrap/>
            <w:vAlign w:val="center"/>
            <w:hideMark/>
          </w:tcPr>
          <w:p w14:paraId="3A8CA010"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1.0002</w:t>
            </w:r>
          </w:p>
        </w:tc>
        <w:tc>
          <w:tcPr>
            <w:tcW w:w="900" w:type="dxa"/>
            <w:tcBorders>
              <w:top w:val="nil"/>
              <w:left w:val="nil"/>
              <w:bottom w:val="single" w:sz="4" w:space="0" w:color="auto"/>
              <w:right w:val="single" w:sz="4" w:space="0" w:color="auto"/>
            </w:tcBorders>
            <w:shd w:val="clear" w:color="auto" w:fill="auto"/>
            <w:noWrap/>
            <w:vAlign w:val="center"/>
            <w:hideMark/>
          </w:tcPr>
          <w:p w14:paraId="3FE55456"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0.9682</w:t>
            </w:r>
          </w:p>
        </w:tc>
        <w:tc>
          <w:tcPr>
            <w:tcW w:w="890" w:type="dxa"/>
            <w:tcBorders>
              <w:top w:val="nil"/>
              <w:left w:val="nil"/>
              <w:bottom w:val="single" w:sz="4" w:space="0" w:color="auto"/>
              <w:right w:val="single" w:sz="4" w:space="0" w:color="auto"/>
            </w:tcBorders>
            <w:shd w:val="clear" w:color="auto" w:fill="auto"/>
            <w:noWrap/>
            <w:vAlign w:val="center"/>
            <w:hideMark/>
          </w:tcPr>
          <w:p w14:paraId="5BE14EDE"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0.016</w:t>
            </w:r>
          </w:p>
        </w:tc>
        <w:tc>
          <w:tcPr>
            <w:tcW w:w="900" w:type="dxa"/>
            <w:tcBorders>
              <w:top w:val="nil"/>
              <w:left w:val="nil"/>
              <w:bottom w:val="single" w:sz="4" w:space="0" w:color="auto"/>
              <w:right w:val="single" w:sz="4" w:space="0" w:color="auto"/>
            </w:tcBorders>
            <w:shd w:val="clear" w:color="auto" w:fill="auto"/>
            <w:noWrap/>
            <w:vAlign w:val="center"/>
            <w:hideMark/>
          </w:tcPr>
          <w:p w14:paraId="6D9B7C81"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3.195</w:t>
            </w:r>
          </w:p>
        </w:tc>
        <w:tc>
          <w:tcPr>
            <w:tcW w:w="901" w:type="dxa"/>
            <w:tcBorders>
              <w:top w:val="nil"/>
              <w:left w:val="nil"/>
              <w:bottom w:val="single" w:sz="4" w:space="0" w:color="auto"/>
              <w:right w:val="single" w:sz="4" w:space="0" w:color="auto"/>
            </w:tcBorders>
            <w:shd w:val="clear" w:color="auto" w:fill="auto"/>
            <w:vAlign w:val="center"/>
            <w:hideMark/>
          </w:tcPr>
          <w:p w14:paraId="01044340"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3.180</w:t>
            </w:r>
          </w:p>
        </w:tc>
        <w:tc>
          <w:tcPr>
            <w:tcW w:w="1070" w:type="dxa"/>
            <w:tcBorders>
              <w:top w:val="nil"/>
              <w:left w:val="nil"/>
              <w:bottom w:val="single" w:sz="4" w:space="0" w:color="auto"/>
              <w:right w:val="single" w:sz="4" w:space="0" w:color="auto"/>
            </w:tcBorders>
            <w:shd w:val="clear" w:color="auto" w:fill="auto"/>
            <w:noWrap/>
            <w:vAlign w:val="center"/>
            <w:hideMark/>
          </w:tcPr>
          <w:p w14:paraId="1B948E66"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428.2</w:t>
            </w:r>
          </w:p>
        </w:tc>
      </w:tr>
      <w:tr w:rsidR="00840BE5" w:rsidRPr="004969BA" w14:paraId="5E56B62F" w14:textId="77777777" w:rsidTr="00840BE5">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61BD2D9F"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p5</w:t>
            </w:r>
          </w:p>
        </w:tc>
        <w:tc>
          <w:tcPr>
            <w:tcW w:w="1800" w:type="dxa"/>
            <w:tcBorders>
              <w:top w:val="nil"/>
              <w:left w:val="nil"/>
              <w:bottom w:val="single" w:sz="4" w:space="0" w:color="auto"/>
              <w:right w:val="single" w:sz="4" w:space="0" w:color="auto"/>
            </w:tcBorders>
            <w:shd w:val="clear" w:color="auto" w:fill="auto"/>
            <w:noWrap/>
            <w:vAlign w:val="center"/>
            <w:hideMark/>
          </w:tcPr>
          <w:p w14:paraId="318C1C12"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110</w:t>
            </w:r>
          </w:p>
        </w:tc>
        <w:tc>
          <w:tcPr>
            <w:tcW w:w="921" w:type="dxa"/>
            <w:tcBorders>
              <w:top w:val="nil"/>
              <w:left w:val="nil"/>
              <w:bottom w:val="single" w:sz="4" w:space="0" w:color="auto"/>
              <w:right w:val="single" w:sz="4" w:space="0" w:color="auto"/>
            </w:tcBorders>
            <w:shd w:val="clear" w:color="auto" w:fill="auto"/>
            <w:noWrap/>
            <w:vAlign w:val="center"/>
            <w:hideMark/>
          </w:tcPr>
          <w:p w14:paraId="671D9E9A"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1.0000</w:t>
            </w:r>
          </w:p>
        </w:tc>
        <w:tc>
          <w:tcPr>
            <w:tcW w:w="889" w:type="dxa"/>
            <w:tcBorders>
              <w:top w:val="nil"/>
              <w:left w:val="nil"/>
              <w:bottom w:val="single" w:sz="4" w:space="0" w:color="auto"/>
              <w:right w:val="single" w:sz="4" w:space="0" w:color="auto"/>
            </w:tcBorders>
            <w:shd w:val="clear" w:color="auto" w:fill="auto"/>
            <w:noWrap/>
            <w:vAlign w:val="center"/>
            <w:hideMark/>
          </w:tcPr>
          <w:p w14:paraId="765A5F65"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1.0001</w:t>
            </w:r>
          </w:p>
        </w:tc>
        <w:tc>
          <w:tcPr>
            <w:tcW w:w="900" w:type="dxa"/>
            <w:tcBorders>
              <w:top w:val="nil"/>
              <w:left w:val="nil"/>
              <w:bottom w:val="single" w:sz="4" w:space="0" w:color="auto"/>
              <w:right w:val="single" w:sz="4" w:space="0" w:color="auto"/>
            </w:tcBorders>
            <w:shd w:val="clear" w:color="auto" w:fill="auto"/>
            <w:noWrap/>
            <w:vAlign w:val="center"/>
            <w:hideMark/>
          </w:tcPr>
          <w:p w14:paraId="040AA3A6"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0.9683</w:t>
            </w:r>
          </w:p>
        </w:tc>
        <w:tc>
          <w:tcPr>
            <w:tcW w:w="890" w:type="dxa"/>
            <w:tcBorders>
              <w:top w:val="nil"/>
              <w:left w:val="nil"/>
              <w:bottom w:val="single" w:sz="4" w:space="0" w:color="auto"/>
              <w:right w:val="single" w:sz="4" w:space="0" w:color="auto"/>
            </w:tcBorders>
            <w:shd w:val="clear" w:color="auto" w:fill="auto"/>
            <w:noWrap/>
            <w:vAlign w:val="center"/>
            <w:hideMark/>
          </w:tcPr>
          <w:p w14:paraId="2734D7D2"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0.009</w:t>
            </w:r>
          </w:p>
        </w:tc>
        <w:tc>
          <w:tcPr>
            <w:tcW w:w="900" w:type="dxa"/>
            <w:tcBorders>
              <w:top w:val="nil"/>
              <w:left w:val="nil"/>
              <w:bottom w:val="single" w:sz="4" w:space="0" w:color="auto"/>
              <w:right w:val="single" w:sz="4" w:space="0" w:color="auto"/>
            </w:tcBorders>
            <w:shd w:val="clear" w:color="auto" w:fill="auto"/>
            <w:noWrap/>
            <w:vAlign w:val="center"/>
            <w:hideMark/>
          </w:tcPr>
          <w:p w14:paraId="314855D4"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3.177</w:t>
            </w:r>
          </w:p>
        </w:tc>
        <w:tc>
          <w:tcPr>
            <w:tcW w:w="901" w:type="dxa"/>
            <w:tcBorders>
              <w:top w:val="nil"/>
              <w:left w:val="nil"/>
              <w:bottom w:val="single" w:sz="4" w:space="0" w:color="auto"/>
              <w:right w:val="single" w:sz="4" w:space="0" w:color="auto"/>
            </w:tcBorders>
            <w:shd w:val="clear" w:color="auto" w:fill="auto"/>
            <w:vAlign w:val="center"/>
            <w:hideMark/>
          </w:tcPr>
          <w:p w14:paraId="3F1164E1"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3.168</w:t>
            </w:r>
          </w:p>
        </w:tc>
        <w:tc>
          <w:tcPr>
            <w:tcW w:w="1070" w:type="dxa"/>
            <w:tcBorders>
              <w:top w:val="nil"/>
              <w:left w:val="nil"/>
              <w:bottom w:val="single" w:sz="4" w:space="0" w:color="auto"/>
              <w:right w:val="single" w:sz="4" w:space="0" w:color="auto"/>
            </w:tcBorders>
            <w:shd w:val="clear" w:color="auto" w:fill="auto"/>
            <w:noWrap/>
            <w:vAlign w:val="center"/>
            <w:hideMark/>
          </w:tcPr>
          <w:p w14:paraId="1957F4CA" w14:textId="77777777" w:rsidR="004969BA" w:rsidRPr="004969BA" w:rsidRDefault="004969BA" w:rsidP="004969BA">
            <w:pPr>
              <w:keepNext/>
              <w:spacing w:after="0" w:line="240" w:lineRule="auto"/>
              <w:ind w:firstLine="0"/>
              <w:jc w:val="center"/>
              <w:rPr>
                <w:rFonts w:eastAsia="Times New Roman"/>
                <w:color w:val="000000"/>
              </w:rPr>
            </w:pPr>
            <w:r w:rsidRPr="004969BA">
              <w:rPr>
                <w:rFonts w:eastAsia="Times New Roman"/>
                <w:color w:val="000000"/>
              </w:rPr>
              <w:t>428.1</w:t>
            </w:r>
          </w:p>
        </w:tc>
      </w:tr>
      <w:tr w:rsidR="00840BE5" w:rsidRPr="004969BA" w14:paraId="6D79F925" w14:textId="77777777" w:rsidTr="00840BE5">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3F9809E2" w14:textId="1FD7CBAC" w:rsidR="004969BA" w:rsidRPr="004969BA" w:rsidRDefault="004969BA" w:rsidP="004969BA">
            <w:pPr>
              <w:spacing w:after="0" w:line="240" w:lineRule="auto"/>
              <w:ind w:firstLine="0"/>
              <w:jc w:val="center"/>
              <w:rPr>
                <w:rFonts w:eastAsia="Times New Roman"/>
                <w:color w:val="000000"/>
              </w:rPr>
            </w:pPr>
            <w:r w:rsidRPr="004969BA">
              <w:rPr>
                <w:rFonts w:eastAsia="Times New Roman"/>
                <w:color w:val="000000"/>
              </w:rPr>
              <w:t>p6</w:t>
            </w:r>
            <w:r w:rsidR="00B27276">
              <w:rPr>
                <w:rFonts w:eastAsia="Times New Roman"/>
                <w:color w:val="000000"/>
              </w:rPr>
              <w:t xml:space="preserve"> (c3)</w:t>
            </w:r>
          </w:p>
        </w:tc>
        <w:tc>
          <w:tcPr>
            <w:tcW w:w="1800" w:type="dxa"/>
            <w:tcBorders>
              <w:top w:val="nil"/>
              <w:left w:val="nil"/>
              <w:bottom w:val="single" w:sz="4" w:space="0" w:color="auto"/>
              <w:right w:val="single" w:sz="4" w:space="0" w:color="auto"/>
            </w:tcBorders>
            <w:shd w:val="clear" w:color="auto" w:fill="auto"/>
            <w:noWrap/>
            <w:vAlign w:val="center"/>
            <w:hideMark/>
          </w:tcPr>
          <w:p w14:paraId="46BFF0A7" w14:textId="77777777" w:rsidR="004969BA" w:rsidRPr="004969BA" w:rsidRDefault="004969BA" w:rsidP="004969BA">
            <w:pPr>
              <w:spacing w:after="0" w:line="240" w:lineRule="auto"/>
              <w:ind w:firstLine="0"/>
              <w:jc w:val="center"/>
              <w:rPr>
                <w:rFonts w:eastAsia="Times New Roman"/>
                <w:color w:val="000000"/>
              </w:rPr>
            </w:pPr>
            <w:r w:rsidRPr="004969BA">
              <w:rPr>
                <w:rFonts w:eastAsia="Times New Roman"/>
                <w:color w:val="000000"/>
              </w:rPr>
              <w:t>454</w:t>
            </w:r>
          </w:p>
        </w:tc>
        <w:tc>
          <w:tcPr>
            <w:tcW w:w="921" w:type="dxa"/>
            <w:tcBorders>
              <w:top w:val="nil"/>
              <w:left w:val="nil"/>
              <w:bottom w:val="single" w:sz="4" w:space="0" w:color="auto"/>
              <w:right w:val="single" w:sz="4" w:space="0" w:color="auto"/>
            </w:tcBorders>
            <w:shd w:val="clear" w:color="auto" w:fill="auto"/>
            <w:noWrap/>
            <w:vAlign w:val="center"/>
            <w:hideMark/>
          </w:tcPr>
          <w:p w14:paraId="4C80106E" w14:textId="77777777" w:rsidR="004969BA" w:rsidRPr="004969BA" w:rsidRDefault="004969BA" w:rsidP="004969BA">
            <w:pPr>
              <w:spacing w:after="0" w:line="240" w:lineRule="auto"/>
              <w:ind w:firstLine="0"/>
              <w:jc w:val="center"/>
              <w:rPr>
                <w:rFonts w:eastAsia="Times New Roman"/>
                <w:color w:val="000000"/>
              </w:rPr>
            </w:pPr>
            <w:r w:rsidRPr="004969BA">
              <w:rPr>
                <w:rFonts w:eastAsia="Times New Roman"/>
                <w:color w:val="000000"/>
              </w:rPr>
              <w:t>1.0000</w:t>
            </w:r>
          </w:p>
        </w:tc>
        <w:tc>
          <w:tcPr>
            <w:tcW w:w="889" w:type="dxa"/>
            <w:tcBorders>
              <w:top w:val="nil"/>
              <w:left w:val="nil"/>
              <w:bottom w:val="single" w:sz="4" w:space="0" w:color="auto"/>
              <w:right w:val="single" w:sz="4" w:space="0" w:color="auto"/>
            </w:tcBorders>
            <w:shd w:val="clear" w:color="auto" w:fill="auto"/>
            <w:noWrap/>
            <w:vAlign w:val="center"/>
            <w:hideMark/>
          </w:tcPr>
          <w:p w14:paraId="68033D07" w14:textId="77777777" w:rsidR="004969BA" w:rsidRPr="004969BA" w:rsidRDefault="004969BA" w:rsidP="004969BA">
            <w:pPr>
              <w:spacing w:after="0" w:line="240" w:lineRule="auto"/>
              <w:ind w:firstLine="0"/>
              <w:jc w:val="center"/>
              <w:rPr>
                <w:rFonts w:eastAsia="Times New Roman"/>
                <w:color w:val="000000"/>
              </w:rPr>
            </w:pPr>
            <w:r w:rsidRPr="004969BA">
              <w:rPr>
                <w:rFonts w:eastAsia="Times New Roman"/>
                <w:color w:val="000000"/>
              </w:rPr>
              <w:t>1.0001</w:t>
            </w:r>
          </w:p>
        </w:tc>
        <w:tc>
          <w:tcPr>
            <w:tcW w:w="900" w:type="dxa"/>
            <w:tcBorders>
              <w:top w:val="nil"/>
              <w:left w:val="nil"/>
              <w:bottom w:val="single" w:sz="4" w:space="0" w:color="auto"/>
              <w:right w:val="single" w:sz="4" w:space="0" w:color="auto"/>
            </w:tcBorders>
            <w:shd w:val="clear" w:color="auto" w:fill="auto"/>
            <w:noWrap/>
            <w:vAlign w:val="center"/>
            <w:hideMark/>
          </w:tcPr>
          <w:p w14:paraId="5F49130D" w14:textId="77777777" w:rsidR="004969BA" w:rsidRPr="004969BA" w:rsidRDefault="004969BA" w:rsidP="004969BA">
            <w:pPr>
              <w:spacing w:after="0" w:line="240" w:lineRule="auto"/>
              <w:ind w:firstLine="0"/>
              <w:jc w:val="center"/>
              <w:rPr>
                <w:rFonts w:eastAsia="Times New Roman"/>
                <w:color w:val="000000"/>
              </w:rPr>
            </w:pPr>
            <w:r w:rsidRPr="004969BA">
              <w:rPr>
                <w:rFonts w:eastAsia="Times New Roman"/>
                <w:color w:val="000000"/>
              </w:rPr>
              <w:t>0.9686</w:t>
            </w:r>
          </w:p>
        </w:tc>
        <w:tc>
          <w:tcPr>
            <w:tcW w:w="890" w:type="dxa"/>
            <w:tcBorders>
              <w:top w:val="nil"/>
              <w:left w:val="nil"/>
              <w:bottom w:val="single" w:sz="4" w:space="0" w:color="auto"/>
              <w:right w:val="single" w:sz="4" w:space="0" w:color="auto"/>
            </w:tcBorders>
            <w:shd w:val="clear" w:color="auto" w:fill="auto"/>
            <w:noWrap/>
            <w:vAlign w:val="center"/>
            <w:hideMark/>
          </w:tcPr>
          <w:p w14:paraId="116CCDF1" w14:textId="77777777" w:rsidR="004969BA" w:rsidRPr="004969BA" w:rsidRDefault="004969BA" w:rsidP="004969BA">
            <w:pPr>
              <w:spacing w:after="0" w:line="240" w:lineRule="auto"/>
              <w:ind w:firstLine="0"/>
              <w:jc w:val="center"/>
              <w:rPr>
                <w:rFonts w:eastAsia="Times New Roman"/>
                <w:color w:val="000000"/>
              </w:rPr>
            </w:pPr>
            <w:r w:rsidRPr="004969BA">
              <w:rPr>
                <w:rFonts w:eastAsia="Times New Roman"/>
                <w:color w:val="000000"/>
              </w:rPr>
              <w:t>0.008</w:t>
            </w:r>
          </w:p>
        </w:tc>
        <w:tc>
          <w:tcPr>
            <w:tcW w:w="900" w:type="dxa"/>
            <w:tcBorders>
              <w:top w:val="nil"/>
              <w:left w:val="nil"/>
              <w:bottom w:val="single" w:sz="4" w:space="0" w:color="auto"/>
              <w:right w:val="single" w:sz="4" w:space="0" w:color="auto"/>
            </w:tcBorders>
            <w:shd w:val="clear" w:color="auto" w:fill="auto"/>
            <w:noWrap/>
            <w:vAlign w:val="center"/>
            <w:hideMark/>
          </w:tcPr>
          <w:p w14:paraId="16253F77" w14:textId="77777777" w:rsidR="004969BA" w:rsidRPr="004969BA" w:rsidRDefault="004969BA" w:rsidP="004969BA">
            <w:pPr>
              <w:spacing w:after="0" w:line="240" w:lineRule="auto"/>
              <w:ind w:firstLine="0"/>
              <w:jc w:val="center"/>
              <w:rPr>
                <w:rFonts w:eastAsia="Times New Roman"/>
                <w:color w:val="000000"/>
              </w:rPr>
            </w:pPr>
            <w:r w:rsidRPr="004969BA">
              <w:rPr>
                <w:rFonts w:eastAsia="Times New Roman"/>
                <w:color w:val="000000"/>
              </w:rPr>
              <w:t>3.146</w:t>
            </w:r>
          </w:p>
        </w:tc>
        <w:tc>
          <w:tcPr>
            <w:tcW w:w="901" w:type="dxa"/>
            <w:tcBorders>
              <w:top w:val="nil"/>
              <w:left w:val="nil"/>
              <w:bottom w:val="single" w:sz="4" w:space="0" w:color="auto"/>
              <w:right w:val="single" w:sz="4" w:space="0" w:color="auto"/>
            </w:tcBorders>
            <w:shd w:val="clear" w:color="auto" w:fill="auto"/>
            <w:vAlign w:val="center"/>
            <w:hideMark/>
          </w:tcPr>
          <w:p w14:paraId="2E007274" w14:textId="77777777" w:rsidR="004969BA" w:rsidRPr="004969BA" w:rsidRDefault="004969BA" w:rsidP="004969BA">
            <w:pPr>
              <w:spacing w:after="0" w:line="240" w:lineRule="auto"/>
              <w:ind w:firstLine="0"/>
              <w:jc w:val="center"/>
              <w:rPr>
                <w:rFonts w:eastAsia="Times New Roman"/>
                <w:color w:val="000000"/>
              </w:rPr>
            </w:pPr>
            <w:r w:rsidRPr="004969BA">
              <w:rPr>
                <w:rFonts w:eastAsia="Times New Roman"/>
                <w:color w:val="000000"/>
              </w:rPr>
              <w:t>3.138</w:t>
            </w:r>
          </w:p>
        </w:tc>
        <w:tc>
          <w:tcPr>
            <w:tcW w:w="1070" w:type="dxa"/>
            <w:tcBorders>
              <w:top w:val="nil"/>
              <w:left w:val="nil"/>
              <w:bottom w:val="single" w:sz="4" w:space="0" w:color="auto"/>
              <w:right w:val="single" w:sz="4" w:space="0" w:color="auto"/>
            </w:tcBorders>
            <w:shd w:val="clear" w:color="auto" w:fill="auto"/>
            <w:noWrap/>
            <w:vAlign w:val="center"/>
            <w:hideMark/>
          </w:tcPr>
          <w:p w14:paraId="623384C9" w14:textId="77777777" w:rsidR="004969BA" w:rsidRPr="004969BA" w:rsidRDefault="004969BA" w:rsidP="004969BA">
            <w:pPr>
              <w:spacing w:after="0" w:line="240" w:lineRule="auto"/>
              <w:ind w:firstLine="0"/>
              <w:jc w:val="center"/>
              <w:rPr>
                <w:rFonts w:eastAsia="Times New Roman"/>
                <w:color w:val="000000"/>
              </w:rPr>
            </w:pPr>
            <w:r w:rsidRPr="004969BA">
              <w:rPr>
                <w:rFonts w:eastAsia="Times New Roman"/>
                <w:color w:val="000000"/>
              </w:rPr>
              <w:t>428.2</w:t>
            </w:r>
          </w:p>
        </w:tc>
      </w:tr>
    </w:tbl>
    <w:p w14:paraId="6C6FC7E9" w14:textId="40B24C39" w:rsidR="00840BE5" w:rsidRPr="009C048F" w:rsidRDefault="00840BE5" w:rsidP="00840BE5">
      <w:pPr>
        <w:spacing w:after="0" w:line="240" w:lineRule="auto"/>
        <w:ind w:left="90" w:firstLine="0"/>
        <w:rPr>
          <w:sz w:val="20"/>
        </w:rPr>
      </w:pPr>
      <w:r>
        <w:rPr>
          <w:sz w:val="20"/>
        </w:rPr>
        <w:t>*Coolant channel</w:t>
      </w:r>
      <w:r w:rsidRPr="009C048F">
        <w:rPr>
          <w:sz w:val="20"/>
        </w:rPr>
        <w:t xml:space="preserve"> domain mesh </w:t>
      </w:r>
      <w:r>
        <w:rPr>
          <w:sz w:val="20"/>
        </w:rPr>
        <w:t xml:space="preserve">elements </w:t>
      </w:r>
      <w:r w:rsidRPr="009C048F">
        <w:rPr>
          <w:sz w:val="20"/>
        </w:rPr>
        <w:t xml:space="preserve">(in thousands) = </w:t>
      </w:r>
      <w:r>
        <w:rPr>
          <w:sz w:val="20"/>
        </w:rPr>
        <w:t>456</w:t>
      </w:r>
    </w:p>
    <w:p w14:paraId="1927A3EE" w14:textId="7FA9F576" w:rsidR="000C67E5" w:rsidRDefault="00840BE5" w:rsidP="009E072D">
      <w:pPr>
        <w:spacing w:after="720"/>
        <w:ind w:left="90" w:firstLine="0"/>
      </w:pPr>
      <w:r>
        <w:rPr>
          <w:sz w:val="20"/>
        </w:rPr>
        <w:t>**Residual tolerance = 1.00X10</w:t>
      </w:r>
      <w:r>
        <w:rPr>
          <w:sz w:val="20"/>
          <w:vertAlign w:val="superscript"/>
        </w:rPr>
        <w:t>-2</w:t>
      </w:r>
    </w:p>
    <w:p w14:paraId="69502B57" w14:textId="4ACDD12B" w:rsidR="00B27276" w:rsidRDefault="00B27276" w:rsidP="00B27276">
      <w:pPr>
        <w:pStyle w:val="PictureSytel"/>
      </w:pPr>
      <w:r>
        <w:rPr>
          <w:noProof/>
        </w:rPr>
        <w:lastRenderedPageBreak/>
        <w:drawing>
          <wp:inline distT="0" distB="0" distL="0" distR="0" wp14:anchorId="54DE2AE6" wp14:editId="47D0939C">
            <wp:extent cx="5038725" cy="2743200"/>
            <wp:effectExtent l="0" t="0" r="9525"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8"/>
              </a:graphicData>
            </a:graphic>
          </wp:inline>
        </w:drawing>
      </w:r>
    </w:p>
    <w:p w14:paraId="18D9AE56" w14:textId="78B635C3" w:rsidR="00B27276" w:rsidRDefault="00B27276" w:rsidP="00B27276">
      <w:pPr>
        <w:pStyle w:val="FigTitleStyle"/>
      </w:pPr>
      <w:bookmarkStart w:id="271" w:name="_Toc382920290"/>
      <w:r w:rsidRPr="00DF60FB">
        <w:t xml:space="preserve">Fig. </w:t>
      </w:r>
      <w:r w:rsidRPr="00DF60FB">
        <w:fldChar w:fldCharType="begin"/>
      </w:r>
      <w:bookmarkStart w:id="272" w:name="_Ref382478643"/>
      <w:bookmarkEnd w:id="272"/>
      <w:r w:rsidRPr="00DF60FB">
        <w:instrText xml:space="preserve"> LISTNUM FIG \l 2 </w:instrText>
      </w:r>
      <w:r w:rsidRPr="00DF60FB">
        <w:fldChar w:fldCharType="end"/>
      </w:r>
      <w:r>
        <w:t>.  Coupled Model Fuel Plate Mesh Convergence—Fuel Plate Error</w:t>
      </w:r>
      <w:r w:rsidRPr="00DF60FB">
        <w:t>.</w:t>
      </w:r>
      <w:bookmarkEnd w:id="271"/>
      <w:r>
        <w:t xml:space="preserve">  </w:t>
      </w:r>
    </w:p>
    <w:p w14:paraId="62955C68" w14:textId="21CB08C1" w:rsidR="00B27276" w:rsidRDefault="00995EF5" w:rsidP="00995EF5">
      <w:pPr>
        <w:pStyle w:val="PictureSytel"/>
      </w:pPr>
      <w:r>
        <w:rPr>
          <w:noProof/>
        </w:rPr>
        <w:drawing>
          <wp:inline distT="0" distB="0" distL="0" distR="0" wp14:anchorId="0DDC6856" wp14:editId="35CD903F">
            <wp:extent cx="5019675" cy="2743200"/>
            <wp:effectExtent l="0" t="0" r="9525" b="1905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9"/>
              </a:graphicData>
            </a:graphic>
          </wp:inline>
        </w:drawing>
      </w:r>
    </w:p>
    <w:p w14:paraId="332CC25D" w14:textId="296916D5" w:rsidR="00995EF5" w:rsidRDefault="00995EF5" w:rsidP="00995EF5">
      <w:pPr>
        <w:pStyle w:val="FigTitleStyle"/>
      </w:pPr>
      <w:bookmarkStart w:id="273" w:name="_Toc382920291"/>
      <w:r w:rsidRPr="00DF60FB">
        <w:t xml:space="preserve">Fig. </w:t>
      </w:r>
      <w:r w:rsidRPr="00DF60FB">
        <w:fldChar w:fldCharType="begin"/>
      </w:r>
      <w:bookmarkStart w:id="274" w:name="_Ref382478648"/>
      <w:bookmarkEnd w:id="274"/>
      <w:r w:rsidRPr="00DF60FB">
        <w:instrText xml:space="preserve"> LISTNUM FIG \l 2 </w:instrText>
      </w:r>
      <w:r w:rsidRPr="00DF60FB">
        <w:fldChar w:fldCharType="end"/>
      </w:r>
      <w:r>
        <w:t>.  Coupled Model Fuel Plate Mesh Convergence—</w:t>
      </w:r>
      <w:r w:rsidR="009C4EA9">
        <w:t>Global</w:t>
      </w:r>
      <w:r>
        <w:t xml:space="preserve"> Error</w:t>
      </w:r>
      <w:r w:rsidRPr="00DF60FB">
        <w:t>.</w:t>
      </w:r>
      <w:bookmarkEnd w:id="273"/>
      <w:r>
        <w:t xml:space="preserve">  </w:t>
      </w:r>
    </w:p>
    <w:p w14:paraId="38048E12" w14:textId="17AA9C54" w:rsidR="00995EF5" w:rsidRDefault="009C4EA9" w:rsidP="009C4EA9">
      <w:pPr>
        <w:pStyle w:val="PictureSytel"/>
      </w:pPr>
      <w:r>
        <w:rPr>
          <w:noProof/>
        </w:rPr>
        <w:lastRenderedPageBreak/>
        <w:drawing>
          <wp:inline distT="0" distB="0" distL="0" distR="0" wp14:anchorId="073C0C66" wp14:editId="7986AC6E">
            <wp:extent cx="5048250" cy="2743200"/>
            <wp:effectExtent l="0" t="0" r="19050" b="19050"/>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0"/>
              </a:graphicData>
            </a:graphic>
          </wp:inline>
        </w:drawing>
      </w:r>
    </w:p>
    <w:p w14:paraId="1ECEE913" w14:textId="4A655EE4" w:rsidR="009C4EA9" w:rsidRDefault="009C4EA9" w:rsidP="009C4EA9">
      <w:pPr>
        <w:pStyle w:val="FigTitleStyle"/>
      </w:pPr>
      <w:bookmarkStart w:id="275" w:name="_Toc382920292"/>
      <w:r w:rsidRPr="00DF60FB">
        <w:t xml:space="preserve">Fig. </w:t>
      </w:r>
      <w:r w:rsidRPr="00DF60FB">
        <w:fldChar w:fldCharType="begin"/>
      </w:r>
      <w:bookmarkStart w:id="276" w:name="_Ref382478654"/>
      <w:bookmarkEnd w:id="276"/>
      <w:r w:rsidRPr="00DF60FB">
        <w:instrText xml:space="preserve"> LISTNUM FIG \l 2 </w:instrText>
      </w:r>
      <w:r w:rsidRPr="00DF60FB">
        <w:fldChar w:fldCharType="end"/>
      </w:r>
      <w:r>
        <w:t>.  Coupled Model Fuel Plate Mesh Convergence—Max Fuel Meat Temperature</w:t>
      </w:r>
      <w:r w:rsidRPr="00DF60FB">
        <w:t>.</w:t>
      </w:r>
      <w:bookmarkEnd w:id="275"/>
      <w:r>
        <w:t xml:space="preserve">  </w:t>
      </w:r>
    </w:p>
    <w:p w14:paraId="0ED715AC" w14:textId="7715CA52" w:rsidR="00840BE5" w:rsidRDefault="00840BE5" w:rsidP="00840BE5">
      <w:r>
        <w:t xml:space="preserve">The convergence data for the fuel plate mesh study is not as tidy as that for the coolant mesh study.  This is largely due to the fact that the coolant mesh used for each case was not of the same level of quality as the fuel plate mesh used in the coolant study.  A truly equal study would have used a coolant mesh that was set at an extremely high </w:t>
      </w:r>
      <w:r w:rsidR="00D0516F">
        <w:t>resolution</w:t>
      </w:r>
      <w:r>
        <w:t>, such as in mesh c5 or c6.  In order to find the ideal mesh distribution in each domain, this would have required that a third overlapping study be performed in which different combinations of fuel plate and coolant meshes were tried in tandem in order to determine their combined global errors.  Rather than waste time with such an expansive and, ultimately, needless study, the fuel plate convergence study was simply per</w:t>
      </w:r>
      <w:r w:rsidR="00255331">
        <w:t xml:space="preserve">formed with a pre-selected coolant mesh.  Since the coolant mesh already contained local errors, however, their effects propagated into the fuel plate domain.  The reverse can be seen as well in which the local coolant error, </w:t>
      </w:r>
      <w:r w:rsidR="00255331">
        <w:rPr>
          <w:i/>
        </w:rPr>
        <w:t>e</w:t>
      </w:r>
      <w:r w:rsidR="00255331">
        <w:rPr>
          <w:i/>
          <w:vertAlign w:val="subscript"/>
        </w:rPr>
        <w:t>c</w:t>
      </w:r>
      <w:r w:rsidR="00255331">
        <w:t xml:space="preserve">, increases with increasingly coarse fuel plate meshes despite the fact that </w:t>
      </w:r>
      <w:r w:rsidR="00255331">
        <w:rPr>
          <w:i/>
        </w:rPr>
        <w:t>e</w:t>
      </w:r>
      <w:r w:rsidR="00255331">
        <w:rPr>
          <w:i/>
          <w:vertAlign w:val="subscript"/>
        </w:rPr>
        <w:t>imc</w:t>
      </w:r>
      <w:r w:rsidR="00255331">
        <w:t xml:space="preserve"> was measured to be zero for each case.</w:t>
      </w:r>
    </w:p>
    <w:p w14:paraId="5CBF97FA" w14:textId="2EE3ABB4" w:rsidR="001F70C1" w:rsidRDefault="00973993" w:rsidP="00840BE5">
      <w:r>
        <w:t xml:space="preserve">The fuel plate domains itself stays in a near-constant state, at least from the perspective of the energy balance, from mesh p2 to mesh p6.  It is only once the mesh count passes below 35,000 that the local fuel plate error, </w:t>
      </w:r>
      <w:r>
        <w:rPr>
          <w:i/>
        </w:rPr>
        <w:t>e</w:t>
      </w:r>
      <w:r>
        <w:rPr>
          <w:i/>
          <w:vertAlign w:val="subscript"/>
        </w:rPr>
        <w:t>p</w:t>
      </w:r>
      <w:r>
        <w:t xml:space="preserve">, begins to increase drastically.  Even then, “drastically” amounts to a 0.3% increase in local error.  The local energy balance data would indicate that the mesh convergence study was focused on over-refined meshes in which increases to mesh </w:t>
      </w:r>
      <w:r w:rsidR="00D0516F">
        <w:t>resolution</w:t>
      </w:r>
      <w:r>
        <w:t xml:space="preserve"> do not yield </w:t>
      </w:r>
      <w:r w:rsidR="001107CE">
        <w:t>commensurate</w:t>
      </w:r>
      <w:r>
        <w:t xml:space="preserve"> increases in </w:t>
      </w:r>
      <w:r w:rsidR="001F70C1">
        <w:t>solu</w:t>
      </w:r>
      <w:r w:rsidR="001107CE">
        <w:t>tion quality.  Mesh p1</w:t>
      </w:r>
      <w:r w:rsidR="001F70C1">
        <w:t xml:space="preserve"> </w:t>
      </w:r>
      <w:r w:rsidR="00701BC1">
        <w:t>is</w:t>
      </w:r>
      <w:r w:rsidR="001F70C1">
        <w:t xml:space="preserve"> rapidly a</w:t>
      </w:r>
      <w:r w:rsidR="00701BC1">
        <w:t>pproaching the coarsest possible mesh</w:t>
      </w:r>
      <w:r w:rsidR="001F70C1">
        <w:t xml:space="preserve">.  As shown in Fig. </w:t>
      </w:r>
      <w:r w:rsidR="001107CE">
        <w:fldChar w:fldCharType="begin"/>
      </w:r>
      <w:r w:rsidR="001107CE">
        <w:instrText xml:space="preserve"> PAGEREF _Ref382830367 \h </w:instrText>
      </w:r>
      <w:r w:rsidR="001107CE">
        <w:fldChar w:fldCharType="separate"/>
      </w:r>
      <w:r w:rsidR="001C5EC1">
        <w:rPr>
          <w:noProof/>
        </w:rPr>
        <w:t>90</w:t>
      </w:r>
      <w:r w:rsidR="001107CE">
        <w:fldChar w:fldCharType="end"/>
      </w:r>
      <w:r w:rsidR="001F70C1">
        <w:t xml:space="preserve">, mesh p1 already spans the width of the fuel meat with only two mesh elements and, in some places, the </w:t>
      </w:r>
      <w:r w:rsidR="001F70C1">
        <w:lastRenderedPageBreak/>
        <w:t xml:space="preserve">surrounding fuel plate with only one.  Further mesh reduction could be achieved </w:t>
      </w:r>
      <w:r w:rsidR="001107CE">
        <w:t xml:space="preserve">only </w:t>
      </w:r>
      <w:r w:rsidR="001F70C1">
        <w:t>by decreasing the mesh resolution along the span of the plate.</w:t>
      </w:r>
    </w:p>
    <w:p w14:paraId="4B6A9B72" w14:textId="76865AE5" w:rsidR="001107CE" w:rsidRDefault="00B01A3D" w:rsidP="001107CE">
      <w:pPr>
        <w:pStyle w:val="PictureSytel"/>
      </w:pPr>
      <w:r>
        <w:rPr>
          <w:noProof/>
        </w:rPr>
        <w:drawing>
          <wp:inline distT="0" distB="0" distL="0" distR="0" wp14:anchorId="1B5A021F" wp14:editId="65D004FB">
            <wp:extent cx="5015674" cy="3536497"/>
            <wp:effectExtent l="19050" t="19050" r="13970" b="2603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pled_Mes_p1_Pic.png"/>
                    <pic:cNvPicPr/>
                  </pic:nvPicPr>
                  <pic:blipFill rotWithShape="1">
                    <a:blip r:embed="rId441">
                      <a:extLst>
                        <a:ext uri="{28A0092B-C50C-407E-A947-70E740481C1C}">
                          <a14:useLocalDpi xmlns:a14="http://schemas.microsoft.com/office/drawing/2010/main" val="0"/>
                        </a:ext>
                      </a:extLst>
                    </a:blip>
                    <a:srcRect l="-150" t="14341" r="1"/>
                    <a:stretch/>
                  </pic:blipFill>
                  <pic:spPr bwMode="auto">
                    <a:xfrm>
                      <a:off x="0" y="0"/>
                      <a:ext cx="5006941" cy="353034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13EAC21" w14:textId="4D1A7F2D" w:rsidR="001107CE" w:rsidRDefault="001107CE" w:rsidP="001107CE">
      <w:pPr>
        <w:pStyle w:val="FigTitleStyle"/>
      </w:pPr>
      <w:bookmarkStart w:id="277" w:name="_Toc382920293"/>
      <w:r w:rsidRPr="00DF60FB">
        <w:t xml:space="preserve">Fig. </w:t>
      </w:r>
      <w:r w:rsidRPr="00DF60FB">
        <w:fldChar w:fldCharType="begin"/>
      </w:r>
      <w:bookmarkStart w:id="278" w:name="_Ref382830367"/>
      <w:bookmarkEnd w:id="278"/>
      <w:r w:rsidRPr="00DF60FB">
        <w:instrText xml:space="preserve"> LISTNUM FIG \l 2 </w:instrText>
      </w:r>
      <w:r w:rsidRPr="00DF60FB">
        <w:fldChar w:fldCharType="end"/>
      </w:r>
      <w:r>
        <w:t xml:space="preserve">.  </w:t>
      </w:r>
      <w:r w:rsidRPr="00B01A3D">
        <w:t>Coupled Model Fuel Plate Mesh p1.</w:t>
      </w:r>
      <w:r w:rsidR="00B01A3D">
        <w:t xml:space="preserve">  </w:t>
      </w:r>
      <w:r w:rsidR="00B01A3D">
        <w:rPr>
          <w:b w:val="0"/>
        </w:rPr>
        <w:t xml:space="preserve">Fuel plate </w:t>
      </w:r>
      <w:r w:rsidR="00B01A3D">
        <w:rPr>
          <w:b w:val="0"/>
          <w:i/>
        </w:rPr>
        <w:t>s</w:t>
      </w:r>
      <w:r w:rsidR="00B01A3D">
        <w:rPr>
          <w:b w:val="0"/>
        </w:rPr>
        <w:t>-</w:t>
      </w:r>
      <w:r w:rsidR="00B01A3D">
        <w:rPr>
          <w:b w:val="0"/>
          <w:i/>
        </w:rPr>
        <w:t>t</w:t>
      </w:r>
      <w:r w:rsidR="00B01A3D">
        <w:rPr>
          <w:b w:val="0"/>
        </w:rPr>
        <w:t xml:space="preserve"> face is highlighted in blue, fuel meat face in green.</w:t>
      </w:r>
      <w:bookmarkEnd w:id="277"/>
    </w:p>
    <w:p w14:paraId="2B593010" w14:textId="1A735119" w:rsidR="00F77B14" w:rsidRDefault="001F70C1" w:rsidP="00F77B14">
      <w:r>
        <w:t>The global error</w:t>
      </w:r>
      <w:r w:rsidR="003F5562">
        <w:t xml:space="preserve"> data</w:t>
      </w:r>
      <w:r w:rsidR="00612182">
        <w:t xml:space="preserve"> </w:t>
      </w:r>
      <w:r w:rsidR="003F5562">
        <w:t>suggests</w:t>
      </w:r>
      <w:r>
        <w:t xml:space="preserve"> that further mesh reduction is unnecessary.  Its convergence shows a steady increase on return with decreasing mesh resolution</w:t>
      </w:r>
      <w:r w:rsidR="00D0516F">
        <w:t xml:space="preserve"> throughout the study</w:t>
      </w:r>
      <w:r>
        <w:t>.</w:t>
      </w:r>
      <w:r w:rsidR="007023F1">
        <w:t xml:space="preserve">  The same is true of the maxim</w:t>
      </w:r>
      <w:r w:rsidR="008C6F92">
        <w:t>um fuel meat temperature data which increases rapidly between meshes p1 and p4 before leveling out.</w:t>
      </w:r>
      <w:r w:rsidR="003F5562">
        <w:t xml:space="preserve">  </w:t>
      </w:r>
      <w:r w:rsidR="008C6F92">
        <w:t>In analyzing the global error for the fuel plate mesh convergence study it is apparent that the</w:t>
      </w:r>
      <w:r w:rsidR="003F5562">
        <w:t xml:space="preserve"> imposed</w:t>
      </w:r>
      <w:r w:rsidR="008C6F92">
        <w:t xml:space="preserve"> 5% limit was never reached.  The maximum fuel meat temperature becomes the limiting factor </w:t>
      </w:r>
      <w:r w:rsidR="003F5562">
        <w:t>instead due</w:t>
      </w:r>
      <w:r w:rsidR="008C6F92">
        <w:t xml:space="preserve"> its </w:t>
      </w:r>
      <w:r w:rsidR="00612182">
        <w:t xml:space="preserve">higher </w:t>
      </w:r>
      <w:r w:rsidR="008C6F92">
        <w:t xml:space="preserve">sensitivity to </w:t>
      </w:r>
      <w:r w:rsidR="004233A1">
        <w:t xml:space="preserve">fuel plate </w:t>
      </w:r>
      <w:r w:rsidR="003F5562">
        <w:t>mesh resolution</w:t>
      </w:r>
      <w:r w:rsidR="008C6F92">
        <w:t>.</w:t>
      </w:r>
      <w:r w:rsidR="003F5562">
        <w:t xml:space="preserve">  </w:t>
      </w:r>
      <w:r w:rsidR="00F77B14">
        <w:t xml:space="preserve">An ad hoc temperature error can be formulated using the maximum fuel meat temperature from mesh </w:t>
      </w:r>
      <w:r w:rsidR="00612182">
        <w:t>d2</w:t>
      </w:r>
      <w:r w:rsidR="00F77B14">
        <w:t xml:space="preserve"> as the ideal.  This error, </w:t>
      </w:r>
      <w:r w:rsidR="00F77B14">
        <w:rPr>
          <w:i/>
        </w:rPr>
        <w:t>e</w:t>
      </w:r>
      <w:r w:rsidR="00F77B14">
        <w:rPr>
          <w:i/>
          <w:vertAlign w:val="subscript"/>
        </w:rPr>
        <w:t>T</w:t>
      </w:r>
      <w:r w:rsidR="00F77B14">
        <w:t>, is given by</w:t>
      </w:r>
    </w:p>
    <w:p w14:paraId="584AC4D2" w14:textId="77777777" w:rsidR="00F77B14" w:rsidRDefault="00F77B14" w:rsidP="00F77B14">
      <w:pPr>
        <w:pStyle w:val="numberedeqnstyle"/>
      </w:pPr>
      <w:r w:rsidRPr="00A025AE">
        <w:tab/>
      </w:r>
      <w:r w:rsidR="00612182" w:rsidRPr="00F77B14">
        <w:rPr>
          <w:position w:val="-32"/>
        </w:rPr>
        <w:object w:dxaOrig="2820" w:dyaOrig="740" w14:anchorId="5B83546D">
          <v:shape id="_x0000_i1221" type="#_x0000_t75" style="width:141.85pt;height:33.85pt" o:ole="">
            <v:imagedata r:id="rId442" o:title=""/>
          </v:shape>
          <o:OLEObject Type="Embed" ProgID="Equation.3" ShapeID="_x0000_i1221" DrawAspect="Content" ObjectID="_1457171872" r:id="rId443"/>
        </w:object>
      </w:r>
      <w:r>
        <w:t>.</w:t>
      </w:r>
      <w:r>
        <w:tab/>
      </w:r>
      <w:r>
        <w:fldChar w:fldCharType="begin"/>
      </w:r>
      <w:r>
        <w:instrText xml:space="preserve"> LISTNUM EQN \l 2 </w:instrText>
      </w:r>
      <w:r>
        <w:fldChar w:fldCharType="end"/>
      </w:r>
      <w:r>
        <w:t>)</w:t>
      </w:r>
    </w:p>
    <w:p w14:paraId="357F0700" w14:textId="1FE101B3" w:rsidR="00F77B14" w:rsidRDefault="00F77B14" w:rsidP="00F77B14">
      <w:pPr>
        <w:ind w:firstLine="0"/>
      </w:pPr>
      <w:r>
        <w:lastRenderedPageBreak/>
        <w:t>where all temperature values are in Kelvin.</w:t>
      </w:r>
      <w:r w:rsidR="00A47826">
        <w:t xml:space="preserve">  </w:t>
      </w:r>
      <w:r w:rsidR="009E072D">
        <w:t xml:space="preserve">Note, however, that this </w:t>
      </w:r>
      <w:r w:rsidR="009E072D">
        <w:rPr>
          <w:i/>
        </w:rPr>
        <w:t xml:space="preserve">error </w:t>
      </w:r>
      <w:r w:rsidR="009E072D">
        <w:t xml:space="preserve">value is not a true error as the reference value, </w:t>
      </w:r>
      <w:r w:rsidR="009E072D">
        <w:rPr>
          <w:i/>
        </w:rPr>
        <w:t>T</w:t>
      </w:r>
      <w:r w:rsidR="00612182">
        <w:rPr>
          <w:vertAlign w:val="subscript"/>
        </w:rPr>
        <w:t>max, d2</w:t>
      </w:r>
      <w:r w:rsidR="009E072D">
        <w:t xml:space="preserve">, is not known to be correct.  It is merely a </w:t>
      </w:r>
      <w:r w:rsidR="00612182">
        <w:t>reference</w:t>
      </w:r>
      <w:r w:rsidR="009E072D">
        <w:t xml:space="preserve"> value with which to compare deviations in subsequent model variants.  </w:t>
      </w:r>
      <w:r w:rsidR="00A47826">
        <w:t xml:space="preserve">The </w:t>
      </w:r>
      <w:r w:rsidR="0033542E">
        <w:t xml:space="preserve">plot of temperature error is shown in Fig. </w:t>
      </w:r>
      <w:r w:rsidR="009E7B70">
        <w:fldChar w:fldCharType="begin"/>
      </w:r>
      <w:r w:rsidR="009E7B70">
        <w:instrText xml:space="preserve"> REF _Ref382479183 \r \h </w:instrText>
      </w:r>
      <w:r w:rsidR="009E7B70">
        <w:fldChar w:fldCharType="separate"/>
      </w:r>
      <w:r w:rsidR="001C5EC1">
        <w:t>7.9</w:t>
      </w:r>
      <w:r w:rsidR="009E7B70">
        <w:fldChar w:fldCharType="end"/>
      </w:r>
      <w:r w:rsidR="0033542E">
        <w:t>.</w:t>
      </w:r>
    </w:p>
    <w:p w14:paraId="280C64C5" w14:textId="047ED0EB" w:rsidR="008853C9" w:rsidRDefault="00DA04BD" w:rsidP="008853C9">
      <w:pPr>
        <w:pStyle w:val="PictureSytel"/>
      </w:pPr>
      <w:r>
        <w:rPr>
          <w:noProof/>
        </w:rPr>
        <w:drawing>
          <wp:inline distT="0" distB="0" distL="0" distR="0" wp14:anchorId="1021838B" wp14:editId="0E843A77">
            <wp:extent cx="5009321" cy="2743200"/>
            <wp:effectExtent l="0" t="0" r="20320" b="19050"/>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4"/>
              </a:graphicData>
            </a:graphic>
          </wp:inline>
        </w:drawing>
      </w:r>
    </w:p>
    <w:p w14:paraId="2B42AF4E" w14:textId="5EF1A6DF" w:rsidR="008853C9" w:rsidRDefault="008853C9" w:rsidP="008853C9">
      <w:pPr>
        <w:pStyle w:val="FigTitleStyle"/>
      </w:pPr>
      <w:bookmarkStart w:id="279" w:name="_Toc382920294"/>
      <w:r w:rsidRPr="00DF60FB">
        <w:t xml:space="preserve">Fig. </w:t>
      </w:r>
      <w:r w:rsidRPr="00DF60FB">
        <w:fldChar w:fldCharType="begin"/>
      </w:r>
      <w:bookmarkStart w:id="280" w:name="_Ref382479183"/>
      <w:bookmarkEnd w:id="280"/>
      <w:r w:rsidRPr="00DF60FB">
        <w:instrText xml:space="preserve"> LISTNUM FIG \l 2 </w:instrText>
      </w:r>
      <w:r w:rsidRPr="00DF60FB">
        <w:fldChar w:fldCharType="end"/>
      </w:r>
      <w:r>
        <w:t>.  Coupled Model Fuel Plate Mesh Convergence—Max Fuel Meat T Error</w:t>
      </w:r>
      <w:r w:rsidRPr="00DF60FB">
        <w:t>.</w:t>
      </w:r>
      <w:bookmarkEnd w:id="279"/>
      <w:r>
        <w:t xml:space="preserve">  </w:t>
      </w:r>
    </w:p>
    <w:p w14:paraId="618D5392" w14:textId="03F798C4" w:rsidR="00F41A69" w:rsidRDefault="004A32A6" w:rsidP="00224522">
      <w:r>
        <w:t>Mesh p3</w:t>
      </w:r>
      <w:r w:rsidR="00224522">
        <w:t>, with a maximum temperature of 427.9 K</w:t>
      </w:r>
      <w:r w:rsidR="00612182">
        <w:t xml:space="preserve"> and a temperature error of 2.46%</w:t>
      </w:r>
      <w:r w:rsidR="00224522">
        <w:t>,</w:t>
      </w:r>
      <w:r>
        <w:t xml:space="preserve"> was chosen as the ideal mesh</w:t>
      </w:r>
      <w:r w:rsidR="00224522">
        <w:t xml:space="preserve">.  </w:t>
      </w:r>
      <w:r w:rsidR="000348F9">
        <w:t>With ideal meshes selected for each domai</w:t>
      </w:r>
      <w:r w:rsidR="00224522">
        <w:t>n and associated solution characteristics</w:t>
      </w:r>
      <w:r w:rsidR="000348F9">
        <w:t xml:space="preserve"> with which to evaluate alterations to the configuration, attention was turned once again to the coolant domain.  Rather than seeking to alter the solution through either mesh reduction or refinement, simplifying mesh alternatives were sought that affected the solution as little as possible.  Such meshes were variants of the constant-width extruded mesh detailed in Section </w:t>
      </w:r>
      <w:r w:rsidR="000348F9">
        <w:fldChar w:fldCharType="begin"/>
      </w:r>
      <w:r w:rsidR="000348F9">
        <w:instrText xml:space="preserve"> REF _Ref381968711 \r \h </w:instrText>
      </w:r>
      <w:r w:rsidR="009335A8">
        <w:instrText xml:space="preserve"> \* MERGEFORMAT </w:instrText>
      </w:r>
      <w:r w:rsidR="000348F9">
        <w:fldChar w:fldCharType="separate"/>
      </w:r>
      <w:r w:rsidR="001C5EC1">
        <w:t>V</w:t>
      </w:r>
      <w:r w:rsidR="000348F9">
        <w:fldChar w:fldCharType="end"/>
      </w:r>
      <w:r w:rsidR="009335A8">
        <w:t>.</w:t>
      </w:r>
    </w:p>
    <w:p w14:paraId="37A35D16" w14:textId="2FEBD367" w:rsidR="009335A8" w:rsidRDefault="009335A8" w:rsidP="00843DB2">
      <w:pPr>
        <w:pStyle w:val="NormalBeforeTable"/>
      </w:pPr>
      <w:r>
        <w:t xml:space="preserve">The results of the alternate coolant mesh study are shown in Table </w:t>
      </w:r>
      <w:r>
        <w:fldChar w:fldCharType="begin"/>
      </w:r>
      <w:r>
        <w:instrText xml:space="preserve"> REF _Ref382214354 \r \h </w:instrText>
      </w:r>
      <w:r>
        <w:fldChar w:fldCharType="separate"/>
      </w:r>
      <w:r w:rsidR="001C5EC1">
        <w:t>7.4</w:t>
      </w:r>
      <w:r>
        <w:fldChar w:fldCharType="end"/>
      </w:r>
      <w:r>
        <w:t>.  The constant-width mesh distribution</w:t>
      </w:r>
      <w:r w:rsidR="00A033F0">
        <w:t>s, meshes alt1-alt6,</w:t>
      </w:r>
      <w:r>
        <w:t xml:space="preserve"> showed promising results.  Meshes </w:t>
      </w:r>
      <w:r w:rsidR="00612182">
        <w:t xml:space="preserve">of this type </w:t>
      </w:r>
      <w:r>
        <w:t>with sufficient axial distributions allowed the over</w:t>
      </w:r>
      <w:r w:rsidR="0071192B">
        <w:t>all</w:t>
      </w:r>
      <w:r>
        <w:t xml:space="preserve"> number of mesh elements in the coolant to be greatly decreased without a serious effect on the solution.  </w:t>
      </w:r>
      <w:r w:rsidR="000D621C" w:rsidRPr="00EF3100">
        <w:t>M</w:t>
      </w:r>
      <w:r w:rsidR="00EF3100" w:rsidRPr="00EF3100">
        <w:t>esh</w:t>
      </w:r>
      <w:r w:rsidR="000D621C" w:rsidRPr="00EF3100">
        <w:t xml:space="preserve"> alt7 </w:t>
      </w:r>
      <w:r w:rsidR="00EF3100" w:rsidRPr="00EF3100">
        <w:t>was</w:t>
      </w:r>
      <w:r w:rsidR="000D621C" w:rsidRPr="00EF3100">
        <w:t xml:space="preserve"> included only to show that with sufficient mesh resolution the constant-width structured meshes converged to a sufficiently small global error.</w:t>
      </w:r>
      <w:r w:rsidR="000D621C">
        <w:t xml:space="preserve">  </w:t>
      </w:r>
      <w:r>
        <w:t>Interestingly, the 2X MCNP distribution</w:t>
      </w:r>
      <w:r w:rsidR="000D621C">
        <w:t>, mesh a</w:t>
      </w:r>
      <w:r w:rsidR="00EF3100">
        <w:t>lt9</w:t>
      </w:r>
      <w:r w:rsidR="00A033F0">
        <w:t>,</w:t>
      </w:r>
      <w:r>
        <w:t xml:space="preserve"> failed</w:t>
      </w:r>
      <w:r w:rsidR="00612182">
        <w:t xml:space="preserve"> to produce good results</w:t>
      </w:r>
      <w:r>
        <w:t>.  The reason for this is unclear.  Its use in the 3D model, as well as the fuel plate domain of the coupled model, has no ill effect on the solution.  Its use in the coupled coolant domain, however, causes the model to c</w:t>
      </w:r>
      <w:r w:rsidR="00843DB2">
        <w:t>onverge to a much hotter state.</w:t>
      </w:r>
      <w:r w:rsidR="004B2972">
        <w:t xml:space="preserve">  The </w:t>
      </w:r>
      <w:r w:rsidR="004B2972">
        <w:lastRenderedPageBreak/>
        <w:t>data</w:t>
      </w:r>
      <w:r w:rsidR="00623696">
        <w:t xml:space="preserve"> for meshes alt1-alt6</w:t>
      </w:r>
      <w:r w:rsidR="004B2972">
        <w:t xml:space="preserve"> from columns 8 and 9 are plotted in Figs. </w:t>
      </w:r>
      <w:r w:rsidR="00EB17C4">
        <w:fldChar w:fldCharType="begin"/>
      </w:r>
      <w:r w:rsidR="00EB17C4">
        <w:instrText xml:space="preserve"> REF _Ref382565860 \r \h </w:instrText>
      </w:r>
      <w:r w:rsidR="00EB17C4">
        <w:fldChar w:fldCharType="separate"/>
      </w:r>
      <w:r w:rsidR="001C5EC1">
        <w:t>7.10</w:t>
      </w:r>
      <w:r w:rsidR="00EB17C4">
        <w:fldChar w:fldCharType="end"/>
      </w:r>
      <w:r w:rsidR="00623696">
        <w:t xml:space="preserve"> and </w:t>
      </w:r>
      <w:r w:rsidR="00EB17C4">
        <w:fldChar w:fldCharType="begin"/>
      </w:r>
      <w:r w:rsidR="00EB17C4">
        <w:instrText xml:space="preserve"> REF _Ref382565867 \r \h </w:instrText>
      </w:r>
      <w:r w:rsidR="00EB17C4">
        <w:fldChar w:fldCharType="separate"/>
      </w:r>
      <w:r w:rsidR="001C5EC1">
        <w:t>7.11</w:t>
      </w:r>
      <w:r w:rsidR="00EB17C4">
        <w:fldChar w:fldCharType="end"/>
      </w:r>
      <w:r w:rsidR="00623696">
        <w:t>, respectively.</w:t>
      </w:r>
      <w:r w:rsidR="00EF3100">
        <w:t xml:space="preserve">  Mesh alt7 was excluded because it skewed the scale of the convergence plots, making the inter-mesh behavior between coarser meshes harder to analyze.</w:t>
      </w:r>
      <w:r w:rsidR="00A033F0">
        <w:t xml:space="preserve">  Reference quantities for mesh</w:t>
      </w:r>
      <w:r w:rsidR="00A0227B">
        <w:t>es</w:t>
      </w:r>
      <w:r w:rsidR="00A033F0">
        <w:t xml:space="preserve"> p3 and </w:t>
      </w:r>
      <w:r w:rsidR="00612182">
        <w:t>d2</w:t>
      </w:r>
      <w:r w:rsidR="00A033F0">
        <w:t xml:space="preserve"> are included where appropriate.</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1530"/>
        <w:gridCol w:w="1170"/>
        <w:gridCol w:w="1235"/>
        <w:gridCol w:w="900"/>
        <w:gridCol w:w="900"/>
        <w:gridCol w:w="900"/>
        <w:gridCol w:w="900"/>
        <w:gridCol w:w="1265"/>
      </w:tblGrid>
      <w:tr w:rsidR="00130941" w:rsidRPr="00EF3100" w14:paraId="0B93D1AD" w14:textId="77777777" w:rsidTr="00843DB2">
        <w:trPr>
          <w:trHeight w:val="377"/>
          <w:jc w:val="center"/>
        </w:trPr>
        <w:tc>
          <w:tcPr>
            <w:tcW w:w="9805" w:type="dxa"/>
            <w:gridSpan w:val="9"/>
            <w:shd w:val="clear" w:color="auto" w:fill="auto"/>
            <w:noWrap/>
            <w:vAlign w:val="center"/>
            <w:hideMark/>
          </w:tcPr>
          <w:p w14:paraId="394E4AAE" w14:textId="3DAF4644" w:rsidR="00130941" w:rsidRPr="00EF3100" w:rsidRDefault="00130941" w:rsidP="00004C4D">
            <w:pPr>
              <w:pStyle w:val="NoSpacing"/>
            </w:pPr>
            <w:bookmarkStart w:id="281" w:name="_Toc382920202"/>
            <w:r w:rsidRPr="00EF3100">
              <w:t xml:space="preserve">Table </w:t>
            </w:r>
            <w:r w:rsidRPr="00EF3100">
              <w:fldChar w:fldCharType="begin"/>
            </w:r>
            <w:bookmarkStart w:id="282" w:name="_Ref382214354"/>
            <w:bookmarkEnd w:id="282"/>
            <w:r w:rsidRPr="00EF3100">
              <w:instrText xml:space="preserve"> LISTNUM TAB \l 2</w:instrText>
            </w:r>
            <w:r w:rsidRPr="00EF3100">
              <w:fldChar w:fldCharType="end"/>
            </w:r>
            <w:r w:rsidRPr="00EF3100">
              <w:t>:  Coupled Model Alternate Coolant Mesh Study</w:t>
            </w:r>
            <w:bookmarkEnd w:id="281"/>
          </w:p>
        </w:tc>
      </w:tr>
      <w:tr w:rsidR="00843DB2" w:rsidRPr="00EF3100" w14:paraId="0089B963" w14:textId="77777777" w:rsidTr="00843DB2">
        <w:trPr>
          <w:trHeight w:val="900"/>
          <w:jc w:val="center"/>
        </w:trPr>
        <w:tc>
          <w:tcPr>
            <w:tcW w:w="1005" w:type="dxa"/>
            <w:shd w:val="clear" w:color="auto" w:fill="auto"/>
            <w:noWrap/>
            <w:vAlign w:val="center"/>
            <w:hideMark/>
          </w:tcPr>
          <w:p w14:paraId="40DF92DE"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Mesh</w:t>
            </w:r>
          </w:p>
        </w:tc>
        <w:tc>
          <w:tcPr>
            <w:tcW w:w="1530" w:type="dxa"/>
            <w:shd w:val="clear" w:color="auto" w:fill="auto"/>
            <w:vAlign w:val="center"/>
            <w:hideMark/>
          </w:tcPr>
          <w:p w14:paraId="5C123141"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Coolant Mesh Elements</w:t>
            </w:r>
            <w:r w:rsidRPr="00EF3100">
              <w:rPr>
                <w:rFonts w:eastAsia="Times New Roman"/>
                <w:color w:val="000000"/>
              </w:rPr>
              <w:br/>
              <w:t>(in thousands)</w:t>
            </w:r>
          </w:p>
        </w:tc>
        <w:tc>
          <w:tcPr>
            <w:tcW w:w="1170" w:type="dxa"/>
            <w:shd w:val="clear" w:color="auto" w:fill="auto"/>
            <w:vAlign w:val="center"/>
            <w:hideMark/>
          </w:tcPr>
          <w:p w14:paraId="40F865F3"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Structured</w:t>
            </w:r>
            <w:r w:rsidRPr="00EF3100">
              <w:rPr>
                <w:rFonts w:eastAsia="Times New Roman"/>
                <w:color w:val="000000"/>
              </w:rPr>
              <w:br/>
              <w:t>Mesh?</w:t>
            </w:r>
          </w:p>
        </w:tc>
        <w:tc>
          <w:tcPr>
            <w:tcW w:w="1235" w:type="dxa"/>
            <w:shd w:val="clear" w:color="auto" w:fill="auto"/>
            <w:vAlign w:val="center"/>
            <w:hideMark/>
          </w:tcPr>
          <w:p w14:paraId="146C053B" w14:textId="113945CD"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Axial Mesh</w:t>
            </w:r>
            <w:r w:rsidRPr="00EF3100">
              <w:rPr>
                <w:rFonts w:eastAsia="Times New Roman"/>
                <w:color w:val="000000"/>
              </w:rPr>
              <w:br/>
              <w:t>Distr</w:t>
            </w:r>
          </w:p>
        </w:tc>
        <w:tc>
          <w:tcPr>
            <w:tcW w:w="900" w:type="dxa"/>
            <w:shd w:val="clear" w:color="auto" w:fill="auto"/>
            <w:noWrap/>
            <w:vAlign w:val="center"/>
            <w:hideMark/>
          </w:tcPr>
          <w:p w14:paraId="0F1155C5" w14:textId="5E1B0735" w:rsidR="00130941" w:rsidRPr="00EF3100" w:rsidRDefault="00130941" w:rsidP="00843DB2">
            <w:pPr>
              <w:keepNext/>
              <w:spacing w:after="0" w:line="240" w:lineRule="auto"/>
              <w:ind w:firstLine="0"/>
              <w:jc w:val="center"/>
              <w:rPr>
                <w:rFonts w:eastAsia="Times New Roman"/>
                <w:i/>
                <w:color w:val="000000"/>
                <w:vertAlign w:val="subscript"/>
              </w:rPr>
            </w:pPr>
            <w:r w:rsidRPr="00EF3100">
              <w:rPr>
                <w:rFonts w:eastAsia="Times New Roman"/>
                <w:i/>
                <w:color w:val="000000"/>
              </w:rPr>
              <w:t>E’</w:t>
            </w:r>
            <w:r w:rsidRPr="00EF3100">
              <w:rPr>
                <w:rFonts w:eastAsia="Times New Roman"/>
                <w:i/>
                <w:color w:val="000000"/>
                <w:vertAlign w:val="subscript"/>
              </w:rPr>
              <w:t>p,out</w:t>
            </w:r>
          </w:p>
        </w:tc>
        <w:tc>
          <w:tcPr>
            <w:tcW w:w="900" w:type="dxa"/>
            <w:shd w:val="clear" w:color="auto" w:fill="auto"/>
            <w:noWrap/>
            <w:vAlign w:val="center"/>
            <w:hideMark/>
          </w:tcPr>
          <w:p w14:paraId="271415EC" w14:textId="6DEB33D2" w:rsidR="00130941" w:rsidRPr="00EF3100" w:rsidRDefault="00130941" w:rsidP="00843DB2">
            <w:pPr>
              <w:keepNext/>
              <w:spacing w:after="0" w:line="240" w:lineRule="auto"/>
              <w:ind w:firstLine="0"/>
              <w:jc w:val="center"/>
              <w:rPr>
                <w:rFonts w:eastAsia="Times New Roman"/>
                <w:i/>
                <w:color w:val="000000"/>
                <w:vertAlign w:val="subscript"/>
              </w:rPr>
            </w:pPr>
            <w:r w:rsidRPr="00EF3100">
              <w:rPr>
                <w:rFonts w:eastAsia="Times New Roman"/>
                <w:color w:val="000000"/>
              </w:rPr>
              <w:t>Δ</w:t>
            </w:r>
            <w:r w:rsidRPr="00EF3100">
              <w:rPr>
                <w:rFonts w:eastAsia="Times New Roman"/>
                <w:i/>
                <w:color w:val="000000"/>
              </w:rPr>
              <w:t>H’</w:t>
            </w:r>
            <w:r w:rsidRPr="00EF3100">
              <w:rPr>
                <w:rFonts w:eastAsia="Times New Roman"/>
                <w:i/>
                <w:color w:val="000000"/>
                <w:vertAlign w:val="subscript"/>
              </w:rPr>
              <w:t>c</w:t>
            </w:r>
          </w:p>
        </w:tc>
        <w:tc>
          <w:tcPr>
            <w:tcW w:w="900" w:type="dxa"/>
            <w:shd w:val="clear" w:color="auto" w:fill="auto"/>
            <w:noWrap/>
            <w:vAlign w:val="center"/>
            <w:hideMark/>
          </w:tcPr>
          <w:p w14:paraId="4899D0C8" w14:textId="56BFD06A"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i/>
                <w:color w:val="000000"/>
              </w:rPr>
              <w:t>e</w:t>
            </w:r>
            <w:r w:rsidRPr="00EF3100">
              <w:rPr>
                <w:rFonts w:eastAsia="Times New Roman"/>
                <w:i/>
                <w:color w:val="000000"/>
                <w:vertAlign w:val="subscript"/>
              </w:rPr>
              <w:t>c</w:t>
            </w:r>
            <w:r w:rsidRPr="00EF3100">
              <w:rPr>
                <w:rFonts w:eastAsia="Times New Roman"/>
                <w:color w:val="000000"/>
              </w:rPr>
              <w:t xml:space="preserve"> (%)</w:t>
            </w:r>
          </w:p>
        </w:tc>
        <w:tc>
          <w:tcPr>
            <w:tcW w:w="900" w:type="dxa"/>
            <w:shd w:val="clear" w:color="auto" w:fill="auto"/>
            <w:noWrap/>
            <w:vAlign w:val="center"/>
            <w:hideMark/>
          </w:tcPr>
          <w:p w14:paraId="4FEB5E86" w14:textId="7BBEA052"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i/>
                <w:color w:val="000000"/>
              </w:rPr>
              <w:t>e</w:t>
            </w:r>
            <w:r w:rsidRPr="00EF3100">
              <w:rPr>
                <w:rFonts w:eastAsia="Times New Roman"/>
                <w:i/>
                <w:color w:val="000000"/>
                <w:vertAlign w:val="subscript"/>
              </w:rPr>
              <w:t>g</w:t>
            </w:r>
            <w:r w:rsidRPr="00EF3100">
              <w:rPr>
                <w:rFonts w:eastAsia="Times New Roman"/>
                <w:color w:val="000000"/>
              </w:rPr>
              <w:t xml:space="preserve"> (%)</w:t>
            </w:r>
          </w:p>
        </w:tc>
        <w:tc>
          <w:tcPr>
            <w:tcW w:w="1265" w:type="dxa"/>
            <w:shd w:val="clear" w:color="auto" w:fill="auto"/>
            <w:vAlign w:val="center"/>
            <w:hideMark/>
          </w:tcPr>
          <w:p w14:paraId="13961AAA" w14:textId="3A75307E"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 xml:space="preserve">Max Fuel </w:t>
            </w:r>
            <w:r w:rsidR="00843DB2" w:rsidRPr="00EF3100">
              <w:rPr>
                <w:rFonts w:eastAsia="Times New Roman"/>
                <w:color w:val="000000"/>
              </w:rPr>
              <w:br/>
              <w:t>Meat T (K)</w:t>
            </w:r>
          </w:p>
        </w:tc>
      </w:tr>
      <w:tr w:rsidR="00843DB2" w:rsidRPr="00EF3100" w14:paraId="77868F19" w14:textId="77777777" w:rsidTr="00843DB2">
        <w:trPr>
          <w:trHeight w:val="300"/>
          <w:jc w:val="center"/>
        </w:trPr>
        <w:tc>
          <w:tcPr>
            <w:tcW w:w="1005" w:type="dxa"/>
            <w:shd w:val="clear" w:color="auto" w:fill="auto"/>
            <w:noWrap/>
            <w:vAlign w:val="center"/>
            <w:hideMark/>
          </w:tcPr>
          <w:p w14:paraId="3E99C556"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alt1</w:t>
            </w:r>
          </w:p>
        </w:tc>
        <w:tc>
          <w:tcPr>
            <w:tcW w:w="1530" w:type="dxa"/>
            <w:shd w:val="clear" w:color="auto" w:fill="auto"/>
            <w:noWrap/>
            <w:vAlign w:val="center"/>
            <w:hideMark/>
          </w:tcPr>
          <w:p w14:paraId="2C343AD4"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12</w:t>
            </w:r>
          </w:p>
        </w:tc>
        <w:tc>
          <w:tcPr>
            <w:tcW w:w="1170" w:type="dxa"/>
            <w:shd w:val="clear" w:color="auto" w:fill="auto"/>
            <w:noWrap/>
            <w:vAlign w:val="center"/>
            <w:hideMark/>
          </w:tcPr>
          <w:p w14:paraId="6AC19A00"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Y</w:t>
            </w:r>
          </w:p>
        </w:tc>
        <w:tc>
          <w:tcPr>
            <w:tcW w:w="1235" w:type="dxa"/>
            <w:shd w:val="clear" w:color="auto" w:fill="auto"/>
            <w:noWrap/>
            <w:vAlign w:val="center"/>
            <w:hideMark/>
          </w:tcPr>
          <w:p w14:paraId="203DDAAD"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i/>
                <w:color w:val="000000"/>
              </w:rPr>
              <w:t>l</w:t>
            </w:r>
            <w:r w:rsidRPr="00EF3100">
              <w:rPr>
                <w:rFonts w:eastAsia="Times New Roman"/>
                <w:color w:val="000000"/>
              </w:rPr>
              <w:t>/50</w:t>
            </w:r>
          </w:p>
        </w:tc>
        <w:tc>
          <w:tcPr>
            <w:tcW w:w="900" w:type="dxa"/>
            <w:shd w:val="clear" w:color="auto" w:fill="auto"/>
            <w:noWrap/>
            <w:vAlign w:val="center"/>
            <w:hideMark/>
          </w:tcPr>
          <w:p w14:paraId="7FFAEF2B"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1.0002</w:t>
            </w:r>
          </w:p>
        </w:tc>
        <w:tc>
          <w:tcPr>
            <w:tcW w:w="900" w:type="dxa"/>
            <w:shd w:val="clear" w:color="auto" w:fill="auto"/>
            <w:noWrap/>
            <w:vAlign w:val="center"/>
            <w:hideMark/>
          </w:tcPr>
          <w:p w14:paraId="58B63A08"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1.0253</w:t>
            </w:r>
          </w:p>
        </w:tc>
        <w:tc>
          <w:tcPr>
            <w:tcW w:w="900" w:type="dxa"/>
            <w:shd w:val="clear" w:color="auto" w:fill="auto"/>
            <w:noWrap/>
            <w:vAlign w:val="center"/>
            <w:hideMark/>
          </w:tcPr>
          <w:p w14:paraId="61DD3705"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2.512</w:t>
            </w:r>
          </w:p>
        </w:tc>
        <w:tc>
          <w:tcPr>
            <w:tcW w:w="900" w:type="dxa"/>
            <w:shd w:val="clear" w:color="auto" w:fill="auto"/>
            <w:vAlign w:val="center"/>
            <w:hideMark/>
          </w:tcPr>
          <w:p w14:paraId="7E94AD27"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2.533</w:t>
            </w:r>
          </w:p>
        </w:tc>
        <w:tc>
          <w:tcPr>
            <w:tcW w:w="1265" w:type="dxa"/>
            <w:shd w:val="clear" w:color="auto" w:fill="auto"/>
            <w:noWrap/>
            <w:vAlign w:val="center"/>
            <w:hideMark/>
          </w:tcPr>
          <w:p w14:paraId="28C3B86A"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429.3</w:t>
            </w:r>
          </w:p>
        </w:tc>
      </w:tr>
      <w:tr w:rsidR="00843DB2" w:rsidRPr="00EF3100" w14:paraId="7050B5C4" w14:textId="77777777" w:rsidTr="00843DB2">
        <w:trPr>
          <w:trHeight w:val="300"/>
          <w:jc w:val="center"/>
        </w:trPr>
        <w:tc>
          <w:tcPr>
            <w:tcW w:w="1005" w:type="dxa"/>
            <w:shd w:val="clear" w:color="auto" w:fill="auto"/>
            <w:noWrap/>
            <w:vAlign w:val="center"/>
            <w:hideMark/>
          </w:tcPr>
          <w:p w14:paraId="002CB510"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alt2</w:t>
            </w:r>
          </w:p>
        </w:tc>
        <w:tc>
          <w:tcPr>
            <w:tcW w:w="1530" w:type="dxa"/>
            <w:shd w:val="clear" w:color="auto" w:fill="auto"/>
            <w:noWrap/>
            <w:vAlign w:val="center"/>
            <w:hideMark/>
          </w:tcPr>
          <w:p w14:paraId="4E2AC768"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15</w:t>
            </w:r>
          </w:p>
        </w:tc>
        <w:tc>
          <w:tcPr>
            <w:tcW w:w="1170" w:type="dxa"/>
            <w:shd w:val="clear" w:color="auto" w:fill="auto"/>
            <w:noWrap/>
            <w:vAlign w:val="center"/>
            <w:hideMark/>
          </w:tcPr>
          <w:p w14:paraId="5A30BB25"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Y</w:t>
            </w:r>
          </w:p>
        </w:tc>
        <w:tc>
          <w:tcPr>
            <w:tcW w:w="1235" w:type="dxa"/>
            <w:shd w:val="clear" w:color="auto" w:fill="auto"/>
            <w:noWrap/>
            <w:vAlign w:val="center"/>
            <w:hideMark/>
          </w:tcPr>
          <w:p w14:paraId="1A8864EB" w14:textId="3E099592" w:rsidR="00130941" w:rsidRPr="00EF3100" w:rsidRDefault="00843DB2" w:rsidP="00843DB2">
            <w:pPr>
              <w:keepNext/>
              <w:spacing w:after="0" w:line="240" w:lineRule="auto"/>
              <w:ind w:firstLine="0"/>
              <w:jc w:val="center"/>
              <w:rPr>
                <w:rFonts w:eastAsia="Times New Roman"/>
                <w:color w:val="000000"/>
              </w:rPr>
            </w:pPr>
            <w:r w:rsidRPr="00EF3100">
              <w:rPr>
                <w:rFonts w:eastAsia="Times New Roman"/>
                <w:i/>
                <w:color w:val="000000"/>
              </w:rPr>
              <w:t>l</w:t>
            </w:r>
            <w:r w:rsidR="00130941" w:rsidRPr="00EF3100">
              <w:rPr>
                <w:rFonts w:eastAsia="Times New Roman"/>
                <w:color w:val="000000"/>
              </w:rPr>
              <w:t>/100</w:t>
            </w:r>
          </w:p>
        </w:tc>
        <w:tc>
          <w:tcPr>
            <w:tcW w:w="900" w:type="dxa"/>
            <w:shd w:val="clear" w:color="auto" w:fill="auto"/>
            <w:noWrap/>
            <w:vAlign w:val="center"/>
            <w:hideMark/>
          </w:tcPr>
          <w:p w14:paraId="7D94431D"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1.0002</w:t>
            </w:r>
          </w:p>
        </w:tc>
        <w:tc>
          <w:tcPr>
            <w:tcW w:w="900" w:type="dxa"/>
            <w:shd w:val="clear" w:color="auto" w:fill="auto"/>
            <w:noWrap/>
            <w:vAlign w:val="center"/>
            <w:hideMark/>
          </w:tcPr>
          <w:p w14:paraId="3BDFB522"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1.0351</w:t>
            </w:r>
          </w:p>
        </w:tc>
        <w:tc>
          <w:tcPr>
            <w:tcW w:w="900" w:type="dxa"/>
            <w:shd w:val="clear" w:color="auto" w:fill="auto"/>
            <w:noWrap/>
            <w:vAlign w:val="center"/>
            <w:hideMark/>
          </w:tcPr>
          <w:p w14:paraId="1034AE19"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3.488</w:t>
            </w:r>
          </w:p>
        </w:tc>
        <w:tc>
          <w:tcPr>
            <w:tcW w:w="900" w:type="dxa"/>
            <w:shd w:val="clear" w:color="auto" w:fill="auto"/>
            <w:vAlign w:val="center"/>
            <w:hideMark/>
          </w:tcPr>
          <w:p w14:paraId="5007B944"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3.509</w:t>
            </w:r>
          </w:p>
        </w:tc>
        <w:tc>
          <w:tcPr>
            <w:tcW w:w="1265" w:type="dxa"/>
            <w:shd w:val="clear" w:color="auto" w:fill="auto"/>
            <w:noWrap/>
            <w:vAlign w:val="center"/>
            <w:hideMark/>
          </w:tcPr>
          <w:p w14:paraId="535B4AC8"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429.6</w:t>
            </w:r>
          </w:p>
        </w:tc>
      </w:tr>
      <w:tr w:rsidR="00843DB2" w:rsidRPr="00EF3100" w14:paraId="303FAED4" w14:textId="77777777" w:rsidTr="00843DB2">
        <w:trPr>
          <w:trHeight w:val="300"/>
          <w:jc w:val="center"/>
        </w:trPr>
        <w:tc>
          <w:tcPr>
            <w:tcW w:w="1005" w:type="dxa"/>
            <w:shd w:val="clear" w:color="auto" w:fill="auto"/>
            <w:noWrap/>
            <w:vAlign w:val="center"/>
            <w:hideMark/>
          </w:tcPr>
          <w:p w14:paraId="635A1B9C" w14:textId="7249F7DD" w:rsidR="00130941" w:rsidRPr="00EF3100" w:rsidRDefault="00C012B2" w:rsidP="00843DB2">
            <w:pPr>
              <w:keepNext/>
              <w:spacing w:after="0" w:line="240" w:lineRule="auto"/>
              <w:ind w:firstLine="0"/>
              <w:jc w:val="center"/>
              <w:rPr>
                <w:rFonts w:eastAsia="Times New Roman"/>
                <w:color w:val="000000"/>
              </w:rPr>
            </w:pPr>
            <w:r w:rsidRPr="00EF3100">
              <w:rPr>
                <w:rFonts w:eastAsia="Times New Roman"/>
                <w:color w:val="000000"/>
              </w:rPr>
              <w:t>alt3</w:t>
            </w:r>
          </w:p>
        </w:tc>
        <w:tc>
          <w:tcPr>
            <w:tcW w:w="1530" w:type="dxa"/>
            <w:shd w:val="clear" w:color="auto" w:fill="auto"/>
            <w:noWrap/>
            <w:vAlign w:val="center"/>
            <w:hideMark/>
          </w:tcPr>
          <w:p w14:paraId="12E20FCF"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21</w:t>
            </w:r>
          </w:p>
        </w:tc>
        <w:tc>
          <w:tcPr>
            <w:tcW w:w="1170" w:type="dxa"/>
            <w:shd w:val="clear" w:color="auto" w:fill="auto"/>
            <w:noWrap/>
            <w:vAlign w:val="center"/>
            <w:hideMark/>
          </w:tcPr>
          <w:p w14:paraId="05852D67"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Y</w:t>
            </w:r>
          </w:p>
        </w:tc>
        <w:tc>
          <w:tcPr>
            <w:tcW w:w="1235" w:type="dxa"/>
            <w:shd w:val="clear" w:color="auto" w:fill="auto"/>
            <w:noWrap/>
            <w:vAlign w:val="center"/>
            <w:hideMark/>
          </w:tcPr>
          <w:p w14:paraId="612B7A8B" w14:textId="172FEDBE" w:rsidR="00130941" w:rsidRPr="00EF3100" w:rsidRDefault="00843DB2" w:rsidP="00843DB2">
            <w:pPr>
              <w:keepNext/>
              <w:spacing w:after="0" w:line="240" w:lineRule="auto"/>
              <w:ind w:firstLine="0"/>
              <w:jc w:val="center"/>
              <w:rPr>
                <w:rFonts w:eastAsia="Times New Roman"/>
                <w:color w:val="000000"/>
              </w:rPr>
            </w:pPr>
            <w:r w:rsidRPr="00EF3100">
              <w:rPr>
                <w:rFonts w:eastAsia="Times New Roman"/>
                <w:i/>
                <w:color w:val="000000"/>
              </w:rPr>
              <w:t>l</w:t>
            </w:r>
            <w:r w:rsidR="00130941" w:rsidRPr="00EF3100">
              <w:rPr>
                <w:rFonts w:eastAsia="Times New Roman"/>
                <w:color w:val="000000"/>
              </w:rPr>
              <w:t>/200</w:t>
            </w:r>
          </w:p>
        </w:tc>
        <w:tc>
          <w:tcPr>
            <w:tcW w:w="900" w:type="dxa"/>
            <w:shd w:val="clear" w:color="auto" w:fill="auto"/>
            <w:noWrap/>
            <w:vAlign w:val="center"/>
            <w:hideMark/>
          </w:tcPr>
          <w:p w14:paraId="5C091431"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1.0002</w:t>
            </w:r>
          </w:p>
        </w:tc>
        <w:tc>
          <w:tcPr>
            <w:tcW w:w="900" w:type="dxa"/>
            <w:shd w:val="clear" w:color="auto" w:fill="auto"/>
            <w:noWrap/>
            <w:vAlign w:val="center"/>
            <w:hideMark/>
          </w:tcPr>
          <w:p w14:paraId="635872A4"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1.0392</w:t>
            </w:r>
          </w:p>
        </w:tc>
        <w:tc>
          <w:tcPr>
            <w:tcW w:w="900" w:type="dxa"/>
            <w:shd w:val="clear" w:color="auto" w:fill="auto"/>
            <w:noWrap/>
            <w:vAlign w:val="center"/>
            <w:hideMark/>
          </w:tcPr>
          <w:p w14:paraId="5332EB6C"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3.904</w:t>
            </w:r>
          </w:p>
        </w:tc>
        <w:tc>
          <w:tcPr>
            <w:tcW w:w="900" w:type="dxa"/>
            <w:shd w:val="clear" w:color="auto" w:fill="auto"/>
            <w:vAlign w:val="center"/>
            <w:hideMark/>
          </w:tcPr>
          <w:p w14:paraId="637E7303"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3.925</w:t>
            </w:r>
          </w:p>
        </w:tc>
        <w:tc>
          <w:tcPr>
            <w:tcW w:w="1265" w:type="dxa"/>
            <w:shd w:val="clear" w:color="auto" w:fill="auto"/>
            <w:noWrap/>
            <w:vAlign w:val="center"/>
            <w:hideMark/>
          </w:tcPr>
          <w:p w14:paraId="050F1FB2"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429.7</w:t>
            </w:r>
          </w:p>
        </w:tc>
      </w:tr>
      <w:tr w:rsidR="00843DB2" w:rsidRPr="00EF3100" w14:paraId="0B429D90" w14:textId="77777777" w:rsidTr="00843DB2">
        <w:trPr>
          <w:trHeight w:val="300"/>
          <w:jc w:val="center"/>
        </w:trPr>
        <w:tc>
          <w:tcPr>
            <w:tcW w:w="1005" w:type="dxa"/>
            <w:shd w:val="clear" w:color="auto" w:fill="auto"/>
            <w:noWrap/>
            <w:vAlign w:val="center"/>
            <w:hideMark/>
          </w:tcPr>
          <w:p w14:paraId="1622D994"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alt4</w:t>
            </w:r>
          </w:p>
        </w:tc>
        <w:tc>
          <w:tcPr>
            <w:tcW w:w="1530" w:type="dxa"/>
            <w:shd w:val="clear" w:color="auto" w:fill="auto"/>
            <w:noWrap/>
            <w:vAlign w:val="center"/>
            <w:hideMark/>
          </w:tcPr>
          <w:p w14:paraId="5201BF15"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28</w:t>
            </w:r>
          </w:p>
        </w:tc>
        <w:tc>
          <w:tcPr>
            <w:tcW w:w="1170" w:type="dxa"/>
            <w:shd w:val="clear" w:color="auto" w:fill="auto"/>
            <w:noWrap/>
            <w:vAlign w:val="center"/>
            <w:hideMark/>
          </w:tcPr>
          <w:p w14:paraId="280C6AF0"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Y</w:t>
            </w:r>
          </w:p>
        </w:tc>
        <w:tc>
          <w:tcPr>
            <w:tcW w:w="1235" w:type="dxa"/>
            <w:shd w:val="clear" w:color="auto" w:fill="auto"/>
            <w:noWrap/>
            <w:vAlign w:val="center"/>
            <w:hideMark/>
          </w:tcPr>
          <w:p w14:paraId="7F6F38A6" w14:textId="15A8DE7B" w:rsidR="00130941" w:rsidRPr="00EF3100" w:rsidRDefault="00843DB2" w:rsidP="00843DB2">
            <w:pPr>
              <w:keepNext/>
              <w:spacing w:after="0" w:line="240" w:lineRule="auto"/>
              <w:ind w:firstLine="0"/>
              <w:jc w:val="center"/>
              <w:rPr>
                <w:rFonts w:eastAsia="Times New Roman"/>
                <w:color w:val="000000"/>
              </w:rPr>
            </w:pPr>
            <w:r w:rsidRPr="00EF3100">
              <w:rPr>
                <w:rFonts w:eastAsia="Times New Roman"/>
                <w:i/>
                <w:color w:val="000000"/>
              </w:rPr>
              <w:t>l</w:t>
            </w:r>
            <w:r w:rsidR="00130941" w:rsidRPr="00EF3100">
              <w:rPr>
                <w:rFonts w:eastAsia="Times New Roman"/>
                <w:color w:val="000000"/>
              </w:rPr>
              <w:t>/300</w:t>
            </w:r>
          </w:p>
        </w:tc>
        <w:tc>
          <w:tcPr>
            <w:tcW w:w="900" w:type="dxa"/>
            <w:shd w:val="clear" w:color="auto" w:fill="auto"/>
            <w:noWrap/>
            <w:vAlign w:val="center"/>
            <w:hideMark/>
          </w:tcPr>
          <w:p w14:paraId="68DD32BC"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1.0002</w:t>
            </w:r>
          </w:p>
        </w:tc>
        <w:tc>
          <w:tcPr>
            <w:tcW w:w="900" w:type="dxa"/>
            <w:shd w:val="clear" w:color="auto" w:fill="auto"/>
            <w:noWrap/>
            <w:vAlign w:val="center"/>
            <w:hideMark/>
          </w:tcPr>
          <w:p w14:paraId="08F04EDC"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1.0389</w:t>
            </w:r>
          </w:p>
        </w:tc>
        <w:tc>
          <w:tcPr>
            <w:tcW w:w="900" w:type="dxa"/>
            <w:shd w:val="clear" w:color="auto" w:fill="auto"/>
            <w:noWrap/>
            <w:vAlign w:val="center"/>
            <w:hideMark/>
          </w:tcPr>
          <w:p w14:paraId="060E0B5E"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3.870</w:t>
            </w:r>
          </w:p>
        </w:tc>
        <w:tc>
          <w:tcPr>
            <w:tcW w:w="900" w:type="dxa"/>
            <w:shd w:val="clear" w:color="auto" w:fill="auto"/>
            <w:vAlign w:val="center"/>
            <w:hideMark/>
          </w:tcPr>
          <w:p w14:paraId="63D6C686"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3.890</w:t>
            </w:r>
          </w:p>
        </w:tc>
        <w:tc>
          <w:tcPr>
            <w:tcW w:w="1265" w:type="dxa"/>
            <w:shd w:val="clear" w:color="auto" w:fill="auto"/>
            <w:noWrap/>
            <w:vAlign w:val="center"/>
            <w:hideMark/>
          </w:tcPr>
          <w:p w14:paraId="418AF76B"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429.7</w:t>
            </w:r>
          </w:p>
        </w:tc>
      </w:tr>
      <w:tr w:rsidR="00843DB2" w:rsidRPr="00EF3100" w14:paraId="26530A79" w14:textId="77777777" w:rsidTr="00843DB2">
        <w:trPr>
          <w:trHeight w:val="300"/>
          <w:jc w:val="center"/>
        </w:trPr>
        <w:tc>
          <w:tcPr>
            <w:tcW w:w="1005" w:type="dxa"/>
            <w:shd w:val="clear" w:color="auto" w:fill="auto"/>
            <w:noWrap/>
            <w:vAlign w:val="center"/>
            <w:hideMark/>
          </w:tcPr>
          <w:p w14:paraId="15A3610D"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alt5</w:t>
            </w:r>
          </w:p>
        </w:tc>
        <w:tc>
          <w:tcPr>
            <w:tcW w:w="1530" w:type="dxa"/>
            <w:shd w:val="clear" w:color="auto" w:fill="auto"/>
            <w:noWrap/>
            <w:vAlign w:val="center"/>
            <w:hideMark/>
          </w:tcPr>
          <w:p w14:paraId="37CEEAFE"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46</w:t>
            </w:r>
          </w:p>
        </w:tc>
        <w:tc>
          <w:tcPr>
            <w:tcW w:w="1170" w:type="dxa"/>
            <w:shd w:val="clear" w:color="auto" w:fill="auto"/>
            <w:noWrap/>
            <w:vAlign w:val="center"/>
            <w:hideMark/>
          </w:tcPr>
          <w:p w14:paraId="1819DFC1"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Y</w:t>
            </w:r>
          </w:p>
        </w:tc>
        <w:tc>
          <w:tcPr>
            <w:tcW w:w="1235" w:type="dxa"/>
            <w:shd w:val="clear" w:color="auto" w:fill="auto"/>
            <w:noWrap/>
            <w:vAlign w:val="center"/>
            <w:hideMark/>
          </w:tcPr>
          <w:p w14:paraId="33A99B8C" w14:textId="1D3A5417" w:rsidR="00130941" w:rsidRPr="00EF3100" w:rsidRDefault="00843DB2" w:rsidP="00843DB2">
            <w:pPr>
              <w:keepNext/>
              <w:spacing w:after="0" w:line="240" w:lineRule="auto"/>
              <w:ind w:firstLine="0"/>
              <w:jc w:val="center"/>
              <w:rPr>
                <w:rFonts w:eastAsia="Times New Roman"/>
                <w:color w:val="000000"/>
              </w:rPr>
            </w:pPr>
            <w:r w:rsidRPr="00EF3100">
              <w:rPr>
                <w:rFonts w:eastAsia="Times New Roman"/>
                <w:i/>
                <w:color w:val="000000"/>
              </w:rPr>
              <w:t>l</w:t>
            </w:r>
            <w:r w:rsidR="00130941" w:rsidRPr="00EF3100">
              <w:rPr>
                <w:rFonts w:eastAsia="Times New Roman"/>
                <w:color w:val="000000"/>
              </w:rPr>
              <w:t>/600</w:t>
            </w:r>
          </w:p>
        </w:tc>
        <w:tc>
          <w:tcPr>
            <w:tcW w:w="900" w:type="dxa"/>
            <w:shd w:val="clear" w:color="auto" w:fill="auto"/>
            <w:noWrap/>
            <w:vAlign w:val="center"/>
            <w:hideMark/>
          </w:tcPr>
          <w:p w14:paraId="0CC118B0"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1.0002</w:t>
            </w:r>
          </w:p>
        </w:tc>
        <w:tc>
          <w:tcPr>
            <w:tcW w:w="900" w:type="dxa"/>
            <w:shd w:val="clear" w:color="auto" w:fill="auto"/>
            <w:noWrap/>
            <w:vAlign w:val="center"/>
            <w:hideMark/>
          </w:tcPr>
          <w:p w14:paraId="66DCCEB5"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1.0374</w:t>
            </w:r>
          </w:p>
        </w:tc>
        <w:tc>
          <w:tcPr>
            <w:tcW w:w="900" w:type="dxa"/>
            <w:shd w:val="clear" w:color="auto" w:fill="auto"/>
            <w:noWrap/>
            <w:vAlign w:val="center"/>
            <w:hideMark/>
          </w:tcPr>
          <w:p w14:paraId="3FF2ED7D"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3.718</w:t>
            </w:r>
          </w:p>
        </w:tc>
        <w:tc>
          <w:tcPr>
            <w:tcW w:w="900" w:type="dxa"/>
            <w:shd w:val="clear" w:color="auto" w:fill="auto"/>
            <w:vAlign w:val="center"/>
            <w:hideMark/>
          </w:tcPr>
          <w:p w14:paraId="658DB84A"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3.739</w:t>
            </w:r>
          </w:p>
        </w:tc>
        <w:tc>
          <w:tcPr>
            <w:tcW w:w="1265" w:type="dxa"/>
            <w:shd w:val="clear" w:color="auto" w:fill="auto"/>
            <w:noWrap/>
            <w:vAlign w:val="center"/>
            <w:hideMark/>
          </w:tcPr>
          <w:p w14:paraId="08E3CD99"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429.7</w:t>
            </w:r>
          </w:p>
        </w:tc>
      </w:tr>
      <w:tr w:rsidR="00843DB2" w:rsidRPr="00EF3100" w14:paraId="2FCD96E3" w14:textId="77777777" w:rsidTr="00843DB2">
        <w:trPr>
          <w:trHeight w:val="300"/>
          <w:jc w:val="center"/>
        </w:trPr>
        <w:tc>
          <w:tcPr>
            <w:tcW w:w="1005" w:type="dxa"/>
            <w:shd w:val="clear" w:color="auto" w:fill="auto"/>
            <w:noWrap/>
            <w:vAlign w:val="center"/>
            <w:hideMark/>
          </w:tcPr>
          <w:p w14:paraId="5AC59E05"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alt6</w:t>
            </w:r>
          </w:p>
        </w:tc>
        <w:tc>
          <w:tcPr>
            <w:tcW w:w="1530" w:type="dxa"/>
            <w:shd w:val="clear" w:color="auto" w:fill="auto"/>
            <w:noWrap/>
            <w:vAlign w:val="center"/>
            <w:hideMark/>
          </w:tcPr>
          <w:p w14:paraId="6A4C0C64"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71</w:t>
            </w:r>
          </w:p>
        </w:tc>
        <w:tc>
          <w:tcPr>
            <w:tcW w:w="1170" w:type="dxa"/>
            <w:shd w:val="clear" w:color="auto" w:fill="auto"/>
            <w:noWrap/>
            <w:vAlign w:val="center"/>
            <w:hideMark/>
          </w:tcPr>
          <w:p w14:paraId="02844BB9"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Y</w:t>
            </w:r>
          </w:p>
        </w:tc>
        <w:tc>
          <w:tcPr>
            <w:tcW w:w="1235" w:type="dxa"/>
            <w:shd w:val="clear" w:color="auto" w:fill="auto"/>
            <w:noWrap/>
            <w:vAlign w:val="center"/>
            <w:hideMark/>
          </w:tcPr>
          <w:p w14:paraId="2859A132" w14:textId="17898DED" w:rsidR="00130941" w:rsidRPr="00EF3100" w:rsidRDefault="00843DB2" w:rsidP="00843DB2">
            <w:pPr>
              <w:keepNext/>
              <w:spacing w:after="0" w:line="240" w:lineRule="auto"/>
              <w:ind w:firstLine="0"/>
              <w:jc w:val="center"/>
              <w:rPr>
                <w:rFonts w:eastAsia="Times New Roman"/>
                <w:color w:val="000000"/>
              </w:rPr>
            </w:pPr>
            <w:r w:rsidRPr="00EF3100">
              <w:rPr>
                <w:rFonts w:eastAsia="Times New Roman"/>
                <w:i/>
                <w:color w:val="000000"/>
              </w:rPr>
              <w:t>l</w:t>
            </w:r>
            <w:r w:rsidR="00130941" w:rsidRPr="00EF3100">
              <w:rPr>
                <w:rFonts w:eastAsia="Times New Roman"/>
                <w:color w:val="000000"/>
              </w:rPr>
              <w:t>/1000</w:t>
            </w:r>
          </w:p>
        </w:tc>
        <w:tc>
          <w:tcPr>
            <w:tcW w:w="900" w:type="dxa"/>
            <w:shd w:val="clear" w:color="auto" w:fill="auto"/>
            <w:noWrap/>
            <w:vAlign w:val="center"/>
            <w:hideMark/>
          </w:tcPr>
          <w:p w14:paraId="1189BC5B"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1.0002</w:t>
            </w:r>
          </w:p>
        </w:tc>
        <w:tc>
          <w:tcPr>
            <w:tcW w:w="900" w:type="dxa"/>
            <w:shd w:val="clear" w:color="auto" w:fill="auto"/>
            <w:noWrap/>
            <w:vAlign w:val="center"/>
            <w:hideMark/>
          </w:tcPr>
          <w:p w14:paraId="6C0BBA95"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1.0341</w:t>
            </w:r>
          </w:p>
        </w:tc>
        <w:tc>
          <w:tcPr>
            <w:tcW w:w="900" w:type="dxa"/>
            <w:shd w:val="clear" w:color="auto" w:fill="auto"/>
            <w:noWrap/>
            <w:vAlign w:val="center"/>
            <w:hideMark/>
          </w:tcPr>
          <w:p w14:paraId="1901E9EE"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3.385</w:t>
            </w:r>
          </w:p>
        </w:tc>
        <w:tc>
          <w:tcPr>
            <w:tcW w:w="900" w:type="dxa"/>
            <w:shd w:val="clear" w:color="auto" w:fill="auto"/>
            <w:vAlign w:val="center"/>
            <w:hideMark/>
          </w:tcPr>
          <w:p w14:paraId="7978166A"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3.406</w:t>
            </w:r>
          </w:p>
        </w:tc>
        <w:tc>
          <w:tcPr>
            <w:tcW w:w="1265" w:type="dxa"/>
            <w:shd w:val="clear" w:color="auto" w:fill="auto"/>
            <w:noWrap/>
            <w:vAlign w:val="center"/>
            <w:hideMark/>
          </w:tcPr>
          <w:p w14:paraId="0F00E13D"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429.6</w:t>
            </w:r>
          </w:p>
        </w:tc>
      </w:tr>
      <w:tr w:rsidR="00EF3100" w:rsidRPr="00EF3100" w14:paraId="68848504" w14:textId="77777777" w:rsidTr="00843DB2">
        <w:trPr>
          <w:trHeight w:val="300"/>
          <w:jc w:val="center"/>
        </w:trPr>
        <w:tc>
          <w:tcPr>
            <w:tcW w:w="1005" w:type="dxa"/>
            <w:shd w:val="clear" w:color="auto" w:fill="auto"/>
            <w:noWrap/>
            <w:vAlign w:val="center"/>
          </w:tcPr>
          <w:p w14:paraId="4D2BABEC" w14:textId="6F2ECE26" w:rsidR="00EF3100" w:rsidRPr="00EF3100" w:rsidRDefault="00EF3100" w:rsidP="00843DB2">
            <w:pPr>
              <w:keepNext/>
              <w:spacing w:after="0" w:line="240" w:lineRule="auto"/>
              <w:ind w:firstLine="0"/>
              <w:jc w:val="center"/>
              <w:rPr>
                <w:rFonts w:eastAsia="Times New Roman"/>
                <w:color w:val="000000"/>
              </w:rPr>
            </w:pPr>
            <w:r>
              <w:rPr>
                <w:rFonts w:eastAsia="Times New Roman"/>
                <w:color w:val="000000"/>
              </w:rPr>
              <w:t>alt7</w:t>
            </w:r>
          </w:p>
        </w:tc>
        <w:tc>
          <w:tcPr>
            <w:tcW w:w="1530" w:type="dxa"/>
            <w:shd w:val="clear" w:color="auto" w:fill="auto"/>
            <w:noWrap/>
            <w:vAlign w:val="center"/>
          </w:tcPr>
          <w:p w14:paraId="1F6F4AAA" w14:textId="559B83A8" w:rsidR="00EF3100" w:rsidRPr="00EF3100" w:rsidRDefault="00EF3100" w:rsidP="00843DB2">
            <w:pPr>
              <w:keepNext/>
              <w:spacing w:after="0" w:line="240" w:lineRule="auto"/>
              <w:ind w:firstLine="0"/>
              <w:jc w:val="center"/>
              <w:rPr>
                <w:rFonts w:eastAsia="Times New Roman"/>
                <w:color w:val="000000"/>
              </w:rPr>
            </w:pPr>
            <w:r>
              <w:rPr>
                <w:rFonts w:eastAsia="Times New Roman"/>
                <w:color w:val="000000"/>
              </w:rPr>
              <w:t>319</w:t>
            </w:r>
          </w:p>
        </w:tc>
        <w:tc>
          <w:tcPr>
            <w:tcW w:w="1170" w:type="dxa"/>
            <w:shd w:val="clear" w:color="auto" w:fill="auto"/>
            <w:noWrap/>
            <w:vAlign w:val="center"/>
          </w:tcPr>
          <w:p w14:paraId="0B900BA4" w14:textId="4A169EC5" w:rsidR="00EF3100" w:rsidRPr="00EF3100" w:rsidRDefault="00EF3100" w:rsidP="00843DB2">
            <w:pPr>
              <w:keepNext/>
              <w:spacing w:after="0" w:line="240" w:lineRule="auto"/>
              <w:ind w:firstLine="0"/>
              <w:jc w:val="center"/>
              <w:rPr>
                <w:rFonts w:eastAsia="Times New Roman"/>
                <w:color w:val="000000"/>
              </w:rPr>
            </w:pPr>
            <w:r>
              <w:rPr>
                <w:rFonts w:eastAsia="Times New Roman"/>
                <w:color w:val="000000"/>
              </w:rPr>
              <w:t>Y</w:t>
            </w:r>
          </w:p>
        </w:tc>
        <w:tc>
          <w:tcPr>
            <w:tcW w:w="1235" w:type="dxa"/>
            <w:shd w:val="clear" w:color="auto" w:fill="auto"/>
            <w:noWrap/>
            <w:vAlign w:val="center"/>
          </w:tcPr>
          <w:p w14:paraId="301B48AD" w14:textId="03D21AA8" w:rsidR="00EF3100" w:rsidRPr="00EF3100" w:rsidRDefault="00EF3100" w:rsidP="00843DB2">
            <w:pPr>
              <w:keepNext/>
              <w:spacing w:after="0" w:line="240" w:lineRule="auto"/>
              <w:ind w:firstLine="0"/>
              <w:jc w:val="center"/>
              <w:rPr>
                <w:rFonts w:eastAsia="Times New Roman"/>
                <w:color w:val="000000"/>
              </w:rPr>
            </w:pPr>
            <w:r>
              <w:rPr>
                <w:rFonts w:eastAsia="Times New Roman"/>
                <w:i/>
                <w:color w:val="000000"/>
              </w:rPr>
              <w:t>l</w:t>
            </w:r>
            <w:r>
              <w:rPr>
                <w:rFonts w:eastAsia="Times New Roman"/>
                <w:color w:val="000000"/>
              </w:rPr>
              <w:t>/5000</w:t>
            </w:r>
          </w:p>
        </w:tc>
        <w:tc>
          <w:tcPr>
            <w:tcW w:w="900" w:type="dxa"/>
            <w:shd w:val="clear" w:color="auto" w:fill="auto"/>
            <w:noWrap/>
            <w:vAlign w:val="center"/>
          </w:tcPr>
          <w:p w14:paraId="21BFF43C" w14:textId="2E554B64" w:rsidR="00EF3100" w:rsidRPr="00EF3100" w:rsidRDefault="00EF3100" w:rsidP="00843DB2">
            <w:pPr>
              <w:keepNext/>
              <w:spacing w:after="0" w:line="240" w:lineRule="auto"/>
              <w:ind w:firstLine="0"/>
              <w:jc w:val="center"/>
              <w:rPr>
                <w:rFonts w:eastAsia="Times New Roman"/>
                <w:color w:val="000000"/>
              </w:rPr>
            </w:pPr>
            <w:r>
              <w:rPr>
                <w:rFonts w:eastAsia="Times New Roman"/>
                <w:color w:val="000000"/>
              </w:rPr>
              <w:t>1.0002</w:t>
            </w:r>
          </w:p>
        </w:tc>
        <w:tc>
          <w:tcPr>
            <w:tcW w:w="900" w:type="dxa"/>
            <w:shd w:val="clear" w:color="auto" w:fill="auto"/>
            <w:noWrap/>
            <w:vAlign w:val="center"/>
          </w:tcPr>
          <w:p w14:paraId="5C095E0A" w14:textId="193A0330" w:rsidR="00EF3100" w:rsidRPr="00EF3100" w:rsidRDefault="00EF3100" w:rsidP="00843DB2">
            <w:pPr>
              <w:keepNext/>
              <w:spacing w:after="0" w:line="240" w:lineRule="auto"/>
              <w:ind w:firstLine="0"/>
              <w:jc w:val="center"/>
              <w:rPr>
                <w:rFonts w:eastAsia="Times New Roman"/>
                <w:color w:val="000000"/>
              </w:rPr>
            </w:pPr>
            <w:r>
              <w:rPr>
                <w:rFonts w:eastAsia="Times New Roman"/>
                <w:color w:val="000000"/>
              </w:rPr>
              <w:t>1.0111</w:t>
            </w:r>
          </w:p>
        </w:tc>
        <w:tc>
          <w:tcPr>
            <w:tcW w:w="900" w:type="dxa"/>
            <w:shd w:val="clear" w:color="auto" w:fill="auto"/>
            <w:noWrap/>
            <w:vAlign w:val="center"/>
          </w:tcPr>
          <w:p w14:paraId="6E6980F8" w14:textId="61990354" w:rsidR="00EF3100" w:rsidRPr="00EF3100" w:rsidRDefault="00EF3100" w:rsidP="00843DB2">
            <w:pPr>
              <w:keepNext/>
              <w:spacing w:after="0" w:line="240" w:lineRule="auto"/>
              <w:ind w:firstLine="0"/>
              <w:jc w:val="center"/>
              <w:rPr>
                <w:rFonts w:eastAsia="Times New Roman"/>
                <w:color w:val="000000"/>
              </w:rPr>
            </w:pPr>
            <w:r>
              <w:rPr>
                <w:rFonts w:eastAsia="Times New Roman"/>
                <w:color w:val="000000"/>
              </w:rPr>
              <w:t>1.086</w:t>
            </w:r>
          </w:p>
        </w:tc>
        <w:tc>
          <w:tcPr>
            <w:tcW w:w="900" w:type="dxa"/>
            <w:shd w:val="clear" w:color="auto" w:fill="auto"/>
            <w:vAlign w:val="center"/>
          </w:tcPr>
          <w:p w14:paraId="6085940A" w14:textId="4621A4E0" w:rsidR="00EF3100" w:rsidRPr="00EF3100" w:rsidRDefault="00EF3100" w:rsidP="00843DB2">
            <w:pPr>
              <w:keepNext/>
              <w:spacing w:after="0" w:line="240" w:lineRule="auto"/>
              <w:ind w:firstLine="0"/>
              <w:jc w:val="center"/>
              <w:rPr>
                <w:rFonts w:eastAsia="Times New Roman"/>
                <w:color w:val="000000"/>
              </w:rPr>
            </w:pPr>
            <w:r>
              <w:rPr>
                <w:rFonts w:eastAsia="Times New Roman"/>
                <w:color w:val="000000"/>
              </w:rPr>
              <w:t>1.106</w:t>
            </w:r>
          </w:p>
        </w:tc>
        <w:tc>
          <w:tcPr>
            <w:tcW w:w="1265" w:type="dxa"/>
            <w:shd w:val="clear" w:color="auto" w:fill="auto"/>
            <w:noWrap/>
            <w:vAlign w:val="center"/>
          </w:tcPr>
          <w:p w14:paraId="7F8D3DB0" w14:textId="13BF0CC7" w:rsidR="00EF3100" w:rsidRPr="00EF3100" w:rsidRDefault="00EF3100" w:rsidP="00843DB2">
            <w:pPr>
              <w:keepNext/>
              <w:spacing w:after="0" w:line="240" w:lineRule="auto"/>
              <w:ind w:firstLine="0"/>
              <w:jc w:val="center"/>
              <w:rPr>
                <w:rFonts w:eastAsia="Times New Roman"/>
                <w:color w:val="000000"/>
              </w:rPr>
            </w:pPr>
            <w:r>
              <w:rPr>
                <w:rFonts w:eastAsia="Times New Roman"/>
                <w:color w:val="000000"/>
              </w:rPr>
              <w:t>429.1</w:t>
            </w:r>
          </w:p>
        </w:tc>
      </w:tr>
      <w:tr w:rsidR="00843DB2" w:rsidRPr="00EF3100" w14:paraId="33315F90" w14:textId="77777777" w:rsidTr="00843DB2">
        <w:trPr>
          <w:trHeight w:val="300"/>
          <w:jc w:val="center"/>
        </w:trPr>
        <w:tc>
          <w:tcPr>
            <w:tcW w:w="1005" w:type="dxa"/>
            <w:shd w:val="clear" w:color="auto" w:fill="auto"/>
            <w:noWrap/>
            <w:vAlign w:val="center"/>
            <w:hideMark/>
          </w:tcPr>
          <w:p w14:paraId="7D223F01" w14:textId="38F06F13" w:rsidR="00130941" w:rsidRPr="00EF3100" w:rsidRDefault="00EF3100" w:rsidP="00843DB2">
            <w:pPr>
              <w:keepNext/>
              <w:spacing w:after="0" w:line="240" w:lineRule="auto"/>
              <w:ind w:firstLine="0"/>
              <w:jc w:val="center"/>
              <w:rPr>
                <w:rFonts w:eastAsia="Times New Roman"/>
                <w:color w:val="000000"/>
              </w:rPr>
            </w:pPr>
            <w:r>
              <w:rPr>
                <w:rFonts w:eastAsia="Times New Roman"/>
                <w:color w:val="000000"/>
              </w:rPr>
              <w:t>alt8</w:t>
            </w:r>
            <w:r w:rsidR="00130941" w:rsidRPr="00EF3100">
              <w:rPr>
                <w:rFonts w:eastAsia="Times New Roman"/>
                <w:color w:val="000000"/>
              </w:rPr>
              <w:t xml:space="preserve"> (p3)</w:t>
            </w:r>
          </w:p>
        </w:tc>
        <w:tc>
          <w:tcPr>
            <w:tcW w:w="1530" w:type="dxa"/>
            <w:shd w:val="clear" w:color="auto" w:fill="auto"/>
            <w:noWrap/>
            <w:vAlign w:val="center"/>
            <w:hideMark/>
          </w:tcPr>
          <w:p w14:paraId="25D80093"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456</w:t>
            </w:r>
          </w:p>
        </w:tc>
        <w:tc>
          <w:tcPr>
            <w:tcW w:w="1170" w:type="dxa"/>
            <w:shd w:val="clear" w:color="auto" w:fill="auto"/>
            <w:noWrap/>
            <w:vAlign w:val="center"/>
            <w:hideMark/>
          </w:tcPr>
          <w:p w14:paraId="6A9AE0F0"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N</w:t>
            </w:r>
          </w:p>
        </w:tc>
        <w:tc>
          <w:tcPr>
            <w:tcW w:w="1235" w:type="dxa"/>
            <w:shd w:val="clear" w:color="auto" w:fill="auto"/>
            <w:noWrap/>
            <w:vAlign w:val="center"/>
            <w:hideMark/>
          </w:tcPr>
          <w:p w14:paraId="52B459B6"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N/A</w:t>
            </w:r>
          </w:p>
        </w:tc>
        <w:tc>
          <w:tcPr>
            <w:tcW w:w="900" w:type="dxa"/>
            <w:shd w:val="clear" w:color="auto" w:fill="auto"/>
            <w:noWrap/>
            <w:vAlign w:val="center"/>
            <w:hideMark/>
          </w:tcPr>
          <w:p w14:paraId="6BE284FD"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1.0002</w:t>
            </w:r>
          </w:p>
        </w:tc>
        <w:tc>
          <w:tcPr>
            <w:tcW w:w="900" w:type="dxa"/>
            <w:shd w:val="clear" w:color="auto" w:fill="auto"/>
            <w:noWrap/>
            <w:vAlign w:val="center"/>
            <w:hideMark/>
          </w:tcPr>
          <w:p w14:paraId="6C14D0FF"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0.9681</w:t>
            </w:r>
          </w:p>
        </w:tc>
        <w:tc>
          <w:tcPr>
            <w:tcW w:w="900" w:type="dxa"/>
            <w:shd w:val="clear" w:color="auto" w:fill="auto"/>
            <w:noWrap/>
            <w:vAlign w:val="center"/>
            <w:hideMark/>
          </w:tcPr>
          <w:p w14:paraId="75A2C6D6"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3.209</w:t>
            </w:r>
          </w:p>
        </w:tc>
        <w:tc>
          <w:tcPr>
            <w:tcW w:w="900" w:type="dxa"/>
            <w:shd w:val="clear" w:color="auto" w:fill="auto"/>
            <w:vAlign w:val="center"/>
            <w:hideMark/>
          </w:tcPr>
          <w:p w14:paraId="00B2F7DB"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3.190</w:t>
            </w:r>
          </w:p>
        </w:tc>
        <w:tc>
          <w:tcPr>
            <w:tcW w:w="1265" w:type="dxa"/>
            <w:shd w:val="clear" w:color="auto" w:fill="auto"/>
            <w:noWrap/>
            <w:vAlign w:val="center"/>
            <w:hideMark/>
          </w:tcPr>
          <w:p w14:paraId="6CDB46A0" w14:textId="77777777" w:rsidR="00130941" w:rsidRPr="00EF3100" w:rsidRDefault="00130941" w:rsidP="00843DB2">
            <w:pPr>
              <w:keepNext/>
              <w:spacing w:after="0" w:line="240" w:lineRule="auto"/>
              <w:ind w:firstLine="0"/>
              <w:jc w:val="center"/>
              <w:rPr>
                <w:rFonts w:eastAsia="Times New Roman"/>
                <w:color w:val="000000"/>
              </w:rPr>
            </w:pPr>
            <w:r w:rsidRPr="00EF3100">
              <w:rPr>
                <w:rFonts w:eastAsia="Times New Roman"/>
                <w:color w:val="000000"/>
              </w:rPr>
              <w:t>427.9</w:t>
            </w:r>
          </w:p>
        </w:tc>
      </w:tr>
      <w:tr w:rsidR="00843DB2" w:rsidRPr="00130941" w14:paraId="679024C8" w14:textId="77777777" w:rsidTr="00843DB2">
        <w:trPr>
          <w:trHeight w:val="300"/>
          <w:jc w:val="center"/>
        </w:trPr>
        <w:tc>
          <w:tcPr>
            <w:tcW w:w="1005" w:type="dxa"/>
            <w:shd w:val="clear" w:color="auto" w:fill="auto"/>
            <w:noWrap/>
            <w:vAlign w:val="center"/>
            <w:hideMark/>
          </w:tcPr>
          <w:p w14:paraId="082BEADC" w14:textId="55A5D2F9" w:rsidR="00130941" w:rsidRPr="00EF3100" w:rsidRDefault="00EF3100" w:rsidP="00130941">
            <w:pPr>
              <w:spacing w:after="0" w:line="240" w:lineRule="auto"/>
              <w:ind w:firstLine="0"/>
              <w:jc w:val="center"/>
              <w:rPr>
                <w:rFonts w:eastAsia="Times New Roman"/>
                <w:color w:val="000000"/>
              </w:rPr>
            </w:pPr>
            <w:r>
              <w:rPr>
                <w:rFonts w:eastAsia="Times New Roman"/>
                <w:color w:val="000000"/>
              </w:rPr>
              <w:t>alt9</w:t>
            </w:r>
          </w:p>
        </w:tc>
        <w:tc>
          <w:tcPr>
            <w:tcW w:w="1530" w:type="dxa"/>
            <w:shd w:val="clear" w:color="auto" w:fill="auto"/>
            <w:noWrap/>
            <w:vAlign w:val="center"/>
            <w:hideMark/>
          </w:tcPr>
          <w:p w14:paraId="17DDC1B5" w14:textId="77777777" w:rsidR="00130941" w:rsidRPr="00EF3100" w:rsidRDefault="00130941" w:rsidP="00130941">
            <w:pPr>
              <w:spacing w:after="0" w:line="240" w:lineRule="auto"/>
              <w:ind w:firstLine="0"/>
              <w:jc w:val="center"/>
              <w:rPr>
                <w:rFonts w:eastAsia="Times New Roman"/>
                <w:color w:val="000000"/>
              </w:rPr>
            </w:pPr>
            <w:r w:rsidRPr="00EF3100">
              <w:rPr>
                <w:rFonts w:eastAsia="Times New Roman"/>
                <w:color w:val="000000"/>
              </w:rPr>
              <w:t>14</w:t>
            </w:r>
          </w:p>
        </w:tc>
        <w:tc>
          <w:tcPr>
            <w:tcW w:w="1170" w:type="dxa"/>
            <w:shd w:val="clear" w:color="auto" w:fill="auto"/>
            <w:noWrap/>
            <w:vAlign w:val="center"/>
            <w:hideMark/>
          </w:tcPr>
          <w:p w14:paraId="315CF0AE" w14:textId="77777777" w:rsidR="00130941" w:rsidRPr="00EF3100" w:rsidRDefault="00130941" w:rsidP="00130941">
            <w:pPr>
              <w:spacing w:after="0" w:line="240" w:lineRule="auto"/>
              <w:ind w:firstLine="0"/>
              <w:jc w:val="center"/>
              <w:rPr>
                <w:rFonts w:eastAsia="Times New Roman"/>
                <w:color w:val="000000"/>
              </w:rPr>
            </w:pPr>
            <w:r w:rsidRPr="00EF3100">
              <w:rPr>
                <w:rFonts w:eastAsia="Times New Roman"/>
                <w:color w:val="000000"/>
              </w:rPr>
              <w:t>Y</w:t>
            </w:r>
          </w:p>
        </w:tc>
        <w:tc>
          <w:tcPr>
            <w:tcW w:w="1235" w:type="dxa"/>
            <w:shd w:val="clear" w:color="auto" w:fill="auto"/>
            <w:noWrap/>
            <w:vAlign w:val="center"/>
            <w:hideMark/>
          </w:tcPr>
          <w:p w14:paraId="558A1854" w14:textId="77777777" w:rsidR="00130941" w:rsidRPr="00EF3100" w:rsidRDefault="00130941" w:rsidP="00130941">
            <w:pPr>
              <w:spacing w:after="0" w:line="240" w:lineRule="auto"/>
              <w:ind w:firstLine="0"/>
              <w:jc w:val="center"/>
              <w:rPr>
                <w:rFonts w:eastAsia="Times New Roman"/>
                <w:color w:val="000000"/>
              </w:rPr>
            </w:pPr>
            <w:r w:rsidRPr="00EF3100">
              <w:rPr>
                <w:rFonts w:eastAsia="Times New Roman"/>
                <w:color w:val="000000"/>
              </w:rPr>
              <w:t>2X MCNP</w:t>
            </w:r>
          </w:p>
        </w:tc>
        <w:tc>
          <w:tcPr>
            <w:tcW w:w="900" w:type="dxa"/>
            <w:shd w:val="clear" w:color="auto" w:fill="auto"/>
            <w:noWrap/>
            <w:vAlign w:val="center"/>
            <w:hideMark/>
          </w:tcPr>
          <w:p w14:paraId="2DD4358B" w14:textId="77777777" w:rsidR="00130941" w:rsidRPr="00EF3100" w:rsidRDefault="00130941" w:rsidP="00130941">
            <w:pPr>
              <w:spacing w:after="0" w:line="240" w:lineRule="auto"/>
              <w:ind w:firstLine="0"/>
              <w:jc w:val="center"/>
              <w:rPr>
                <w:rFonts w:eastAsia="Times New Roman"/>
                <w:color w:val="000000"/>
              </w:rPr>
            </w:pPr>
            <w:r w:rsidRPr="00EF3100">
              <w:rPr>
                <w:rFonts w:eastAsia="Times New Roman"/>
                <w:color w:val="000000"/>
              </w:rPr>
              <w:t>1.0002</w:t>
            </w:r>
          </w:p>
        </w:tc>
        <w:tc>
          <w:tcPr>
            <w:tcW w:w="900" w:type="dxa"/>
            <w:shd w:val="clear" w:color="auto" w:fill="auto"/>
            <w:noWrap/>
            <w:vAlign w:val="center"/>
            <w:hideMark/>
          </w:tcPr>
          <w:p w14:paraId="4116E5F8" w14:textId="77777777" w:rsidR="00130941" w:rsidRPr="00EF3100" w:rsidRDefault="00130941" w:rsidP="00130941">
            <w:pPr>
              <w:spacing w:after="0" w:line="240" w:lineRule="auto"/>
              <w:ind w:firstLine="0"/>
              <w:jc w:val="center"/>
              <w:rPr>
                <w:rFonts w:eastAsia="Times New Roman"/>
                <w:color w:val="000000"/>
              </w:rPr>
            </w:pPr>
            <w:r w:rsidRPr="00EF3100">
              <w:rPr>
                <w:rFonts w:eastAsia="Times New Roman"/>
                <w:color w:val="000000"/>
              </w:rPr>
              <w:t>1.5189</w:t>
            </w:r>
          </w:p>
        </w:tc>
        <w:tc>
          <w:tcPr>
            <w:tcW w:w="900" w:type="dxa"/>
            <w:shd w:val="clear" w:color="auto" w:fill="auto"/>
            <w:noWrap/>
            <w:vAlign w:val="center"/>
            <w:hideMark/>
          </w:tcPr>
          <w:p w14:paraId="26813815" w14:textId="77777777" w:rsidR="00130941" w:rsidRPr="00EF3100" w:rsidRDefault="00130941" w:rsidP="00130941">
            <w:pPr>
              <w:spacing w:after="0" w:line="240" w:lineRule="auto"/>
              <w:ind w:firstLine="0"/>
              <w:jc w:val="center"/>
              <w:rPr>
                <w:rFonts w:eastAsia="Times New Roman"/>
                <w:color w:val="000000"/>
              </w:rPr>
            </w:pPr>
            <w:r w:rsidRPr="00EF3100">
              <w:rPr>
                <w:rFonts w:eastAsia="Times New Roman"/>
                <w:color w:val="000000"/>
              </w:rPr>
              <w:t>51.860</w:t>
            </w:r>
          </w:p>
        </w:tc>
        <w:tc>
          <w:tcPr>
            <w:tcW w:w="900" w:type="dxa"/>
            <w:shd w:val="clear" w:color="auto" w:fill="auto"/>
            <w:vAlign w:val="center"/>
            <w:hideMark/>
          </w:tcPr>
          <w:p w14:paraId="46514110" w14:textId="77777777" w:rsidR="00130941" w:rsidRPr="00EF3100" w:rsidRDefault="00130941" w:rsidP="00130941">
            <w:pPr>
              <w:spacing w:after="0" w:line="240" w:lineRule="auto"/>
              <w:ind w:firstLine="0"/>
              <w:jc w:val="center"/>
              <w:rPr>
                <w:rFonts w:eastAsia="Times New Roman"/>
                <w:color w:val="000000"/>
              </w:rPr>
            </w:pPr>
            <w:r w:rsidRPr="00EF3100">
              <w:rPr>
                <w:rFonts w:eastAsia="Times New Roman"/>
                <w:color w:val="000000"/>
              </w:rPr>
              <w:t>51.891</w:t>
            </w:r>
          </w:p>
        </w:tc>
        <w:tc>
          <w:tcPr>
            <w:tcW w:w="1265" w:type="dxa"/>
            <w:shd w:val="clear" w:color="auto" w:fill="auto"/>
            <w:noWrap/>
            <w:vAlign w:val="center"/>
            <w:hideMark/>
          </w:tcPr>
          <w:p w14:paraId="3639EEEF" w14:textId="77777777" w:rsidR="00130941" w:rsidRPr="00130941" w:rsidRDefault="00130941" w:rsidP="00130941">
            <w:pPr>
              <w:spacing w:after="0" w:line="240" w:lineRule="auto"/>
              <w:ind w:firstLine="0"/>
              <w:jc w:val="center"/>
              <w:rPr>
                <w:rFonts w:eastAsia="Times New Roman"/>
                <w:color w:val="000000"/>
              </w:rPr>
            </w:pPr>
            <w:r w:rsidRPr="00EF3100">
              <w:rPr>
                <w:rFonts w:eastAsia="Times New Roman"/>
                <w:color w:val="000000"/>
              </w:rPr>
              <w:t>442.8</w:t>
            </w:r>
          </w:p>
        </w:tc>
      </w:tr>
    </w:tbl>
    <w:p w14:paraId="17672BD0" w14:textId="77777777" w:rsidR="00627BE2" w:rsidRDefault="00843DB2" w:rsidP="00E4268C">
      <w:pPr>
        <w:spacing w:after="0" w:line="240" w:lineRule="auto"/>
        <w:ind w:firstLine="0"/>
        <w:rPr>
          <w:sz w:val="20"/>
        </w:rPr>
      </w:pPr>
      <w:r>
        <w:rPr>
          <w:sz w:val="20"/>
        </w:rPr>
        <w:t>*Constant-width axial m</w:t>
      </w:r>
      <w:r w:rsidR="00627BE2">
        <w:rPr>
          <w:sz w:val="20"/>
        </w:rPr>
        <w:t>esh distributions are given as</w:t>
      </w:r>
      <w:r>
        <w:rPr>
          <w:sz w:val="20"/>
        </w:rPr>
        <w:t xml:space="preserve"> function</w:t>
      </w:r>
      <w:r w:rsidR="00627BE2">
        <w:rPr>
          <w:sz w:val="20"/>
        </w:rPr>
        <w:t>s</w:t>
      </w:r>
      <w:r>
        <w:rPr>
          <w:sz w:val="20"/>
        </w:rPr>
        <w:t xml:space="preserve"> of plate length, </w:t>
      </w:r>
      <w:r>
        <w:rPr>
          <w:i/>
          <w:sz w:val="20"/>
        </w:rPr>
        <w:t>l</w:t>
      </w:r>
      <w:r w:rsidR="00627BE2">
        <w:rPr>
          <w:sz w:val="20"/>
        </w:rPr>
        <w:t>, divided by</w:t>
      </w:r>
      <w:r>
        <w:rPr>
          <w:sz w:val="20"/>
        </w:rPr>
        <w:t xml:space="preserve"> </w:t>
      </w:r>
      <w:r w:rsidR="00B37431">
        <w:rPr>
          <w:sz w:val="20"/>
        </w:rPr>
        <w:t xml:space="preserve">number of axial </w:t>
      </w:r>
    </w:p>
    <w:p w14:paraId="3658A2E6" w14:textId="20B7CAB1" w:rsidR="004B2972" w:rsidRPr="00B37431" w:rsidRDefault="00627BE2" w:rsidP="00E4268C">
      <w:pPr>
        <w:spacing w:after="0" w:line="240" w:lineRule="auto"/>
        <w:ind w:firstLine="0"/>
        <w:rPr>
          <w:sz w:val="20"/>
        </w:rPr>
      </w:pPr>
      <w:r>
        <w:rPr>
          <w:sz w:val="20"/>
        </w:rPr>
        <w:t xml:space="preserve">  </w:t>
      </w:r>
      <w:r w:rsidR="00623696">
        <w:rPr>
          <w:sz w:val="20"/>
        </w:rPr>
        <w:t>elements.</w:t>
      </w:r>
    </w:p>
    <w:p w14:paraId="53194A23" w14:textId="2EE3D783" w:rsidR="00E4268C" w:rsidRPr="009C048F" w:rsidRDefault="00E4268C" w:rsidP="00E4268C">
      <w:pPr>
        <w:spacing w:after="0" w:line="240" w:lineRule="auto"/>
        <w:ind w:firstLine="0"/>
        <w:rPr>
          <w:sz w:val="20"/>
        </w:rPr>
      </w:pPr>
      <w:r w:rsidRPr="009C048F">
        <w:rPr>
          <w:sz w:val="20"/>
        </w:rPr>
        <w:t>*</w:t>
      </w:r>
      <w:r w:rsidR="00E9094E">
        <w:rPr>
          <w:sz w:val="20"/>
        </w:rPr>
        <w:t>*</w:t>
      </w:r>
      <w:r w:rsidRPr="009C048F">
        <w:rPr>
          <w:sz w:val="20"/>
        </w:rPr>
        <w:t xml:space="preserve">Fuel plate domain mesh </w:t>
      </w:r>
      <w:r>
        <w:rPr>
          <w:sz w:val="20"/>
        </w:rPr>
        <w:t xml:space="preserve">elements </w:t>
      </w:r>
      <w:r w:rsidRPr="009C048F">
        <w:rPr>
          <w:sz w:val="20"/>
        </w:rPr>
        <w:t xml:space="preserve">(in thousands) = </w:t>
      </w:r>
      <w:r>
        <w:rPr>
          <w:sz w:val="20"/>
        </w:rPr>
        <w:t>454</w:t>
      </w:r>
    </w:p>
    <w:p w14:paraId="0C3E09EB" w14:textId="55537D99" w:rsidR="00E4268C" w:rsidRPr="000C67E5" w:rsidRDefault="00E4268C" w:rsidP="00E4268C">
      <w:pPr>
        <w:spacing w:after="720"/>
        <w:ind w:firstLine="0"/>
      </w:pPr>
      <w:r>
        <w:rPr>
          <w:sz w:val="20"/>
        </w:rPr>
        <w:t>**</w:t>
      </w:r>
      <w:r w:rsidR="00E9094E">
        <w:rPr>
          <w:sz w:val="20"/>
        </w:rPr>
        <w:t>*</w:t>
      </w:r>
      <w:r>
        <w:rPr>
          <w:sz w:val="20"/>
        </w:rPr>
        <w:t>Residual tolerance = 1.00X10</w:t>
      </w:r>
      <w:r>
        <w:rPr>
          <w:sz w:val="20"/>
          <w:vertAlign w:val="superscript"/>
        </w:rPr>
        <w:t>-2</w:t>
      </w:r>
    </w:p>
    <w:p w14:paraId="628F951B" w14:textId="77777777" w:rsidR="00E4268C" w:rsidRDefault="00E4268C" w:rsidP="004B2972">
      <w:pPr>
        <w:spacing w:line="240" w:lineRule="auto"/>
        <w:ind w:firstLine="0"/>
      </w:pPr>
    </w:p>
    <w:p w14:paraId="0DD1AA24" w14:textId="5B5918EE" w:rsidR="004B2972" w:rsidRDefault="00DA04BD" w:rsidP="004B2972">
      <w:pPr>
        <w:pStyle w:val="PictureSytel"/>
      </w:pPr>
      <w:r>
        <w:rPr>
          <w:noProof/>
        </w:rPr>
        <w:lastRenderedPageBreak/>
        <w:drawing>
          <wp:inline distT="0" distB="0" distL="0" distR="0" wp14:anchorId="041E4931" wp14:editId="1964E224">
            <wp:extent cx="5001371" cy="2743200"/>
            <wp:effectExtent l="0" t="0" r="27940" b="19050"/>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5"/>
              </a:graphicData>
            </a:graphic>
          </wp:inline>
        </w:drawing>
      </w:r>
    </w:p>
    <w:p w14:paraId="76C54461" w14:textId="31BD3172" w:rsidR="004B2972" w:rsidRDefault="004B2972" w:rsidP="004B2972">
      <w:pPr>
        <w:pStyle w:val="FigTitleStyle"/>
      </w:pPr>
      <w:bookmarkStart w:id="283" w:name="_Toc382920295"/>
      <w:r w:rsidRPr="00DF60FB">
        <w:t xml:space="preserve">Fig. </w:t>
      </w:r>
      <w:r w:rsidRPr="00DF60FB">
        <w:fldChar w:fldCharType="begin"/>
      </w:r>
      <w:bookmarkStart w:id="284" w:name="_Ref382565860"/>
      <w:bookmarkEnd w:id="284"/>
      <w:r w:rsidRPr="00DF60FB">
        <w:instrText xml:space="preserve"> LISTNUM FIG \l 2 </w:instrText>
      </w:r>
      <w:r w:rsidRPr="00DF60FB">
        <w:fldChar w:fldCharType="end"/>
      </w:r>
      <w:r>
        <w:t>.  Coupled Model Alternate Coolant Mesh Study—Max Fuel Meat T Error</w:t>
      </w:r>
      <w:r w:rsidRPr="00DF60FB">
        <w:t>.</w:t>
      </w:r>
      <w:bookmarkEnd w:id="283"/>
      <w:r>
        <w:t xml:space="preserve">  </w:t>
      </w:r>
    </w:p>
    <w:p w14:paraId="21F05787" w14:textId="447FF958" w:rsidR="004B2972" w:rsidRDefault="00DA04BD" w:rsidP="004B2972">
      <w:pPr>
        <w:pStyle w:val="PictureSytel"/>
      </w:pPr>
      <w:r>
        <w:rPr>
          <w:noProof/>
        </w:rPr>
        <w:drawing>
          <wp:inline distT="0" distB="0" distL="0" distR="0" wp14:anchorId="7C8D8912" wp14:editId="41D40533">
            <wp:extent cx="5025225" cy="2743200"/>
            <wp:effectExtent l="0" t="0" r="23495" b="19050"/>
            <wp:docPr id="78"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6"/>
              </a:graphicData>
            </a:graphic>
          </wp:inline>
        </w:drawing>
      </w:r>
    </w:p>
    <w:p w14:paraId="6AF6DA6D" w14:textId="0AEA1EC9" w:rsidR="004B2972" w:rsidRDefault="004B2972" w:rsidP="004B2972">
      <w:pPr>
        <w:pStyle w:val="FigTitleStyle"/>
      </w:pPr>
      <w:bookmarkStart w:id="285" w:name="_Toc382920296"/>
      <w:r w:rsidRPr="00DF60FB">
        <w:t xml:space="preserve">Fig. </w:t>
      </w:r>
      <w:r w:rsidRPr="00DF60FB">
        <w:fldChar w:fldCharType="begin"/>
      </w:r>
      <w:bookmarkStart w:id="286" w:name="_Ref382565867"/>
      <w:bookmarkEnd w:id="286"/>
      <w:r w:rsidRPr="00DF60FB">
        <w:instrText xml:space="preserve"> LISTNUM FIG \l 2 </w:instrText>
      </w:r>
      <w:r w:rsidRPr="00DF60FB">
        <w:fldChar w:fldCharType="end"/>
      </w:r>
      <w:r>
        <w:t>.  Coupled Model Alternate Coolant Mesh Study—Max Fuel Meat T</w:t>
      </w:r>
      <w:r w:rsidRPr="00DF60FB">
        <w:t>.</w:t>
      </w:r>
      <w:bookmarkEnd w:id="285"/>
      <w:r>
        <w:t xml:space="preserve">  </w:t>
      </w:r>
    </w:p>
    <w:p w14:paraId="014D4E38" w14:textId="514D9CCF" w:rsidR="00C012B2" w:rsidRDefault="00381BB9" w:rsidP="00381BB9">
      <w:r>
        <w:t xml:space="preserve">The fuel plate error, </w:t>
      </w:r>
      <w:r>
        <w:rPr>
          <w:i/>
        </w:rPr>
        <w:t>e</w:t>
      </w:r>
      <w:r>
        <w:rPr>
          <w:i/>
          <w:vertAlign w:val="subscript"/>
        </w:rPr>
        <w:t>p</w:t>
      </w:r>
      <w:r>
        <w:t>, is constant</w:t>
      </w:r>
      <w:r w:rsidR="00EB17C4">
        <w:t xml:space="preserve"> at 0.02%</w:t>
      </w:r>
      <w:r>
        <w:t xml:space="preserve"> for each ca</w:t>
      </w:r>
      <w:r w:rsidR="00EB17C4">
        <w:t xml:space="preserve">se and was thus not plotted.  The coolant error, </w:t>
      </w:r>
      <w:r w:rsidR="00EB17C4">
        <w:rPr>
          <w:i/>
        </w:rPr>
        <w:t>e</w:t>
      </w:r>
      <w:r w:rsidR="00EB17C4">
        <w:rPr>
          <w:i/>
          <w:vertAlign w:val="subscript"/>
        </w:rPr>
        <w:t>c</w:t>
      </w:r>
      <w:r w:rsidR="00EB17C4">
        <w:t xml:space="preserve">, </w:t>
      </w:r>
      <w:r w:rsidR="000D621C">
        <w:t xml:space="preserve">is </w:t>
      </w:r>
      <w:r w:rsidR="00EB17C4">
        <w:t>offset from the globa</w:t>
      </w:r>
      <w:r w:rsidR="000D621C">
        <w:t>l error by this amount making the two nearly identical</w:t>
      </w:r>
      <w:r w:rsidR="00EB17C4">
        <w:t>.</w:t>
      </w:r>
      <w:r w:rsidR="004606E2">
        <w:t xml:space="preserve">  From the temperature plot it is clear that the alternate coolant mesh variant of the coupled model is converging to a state somewhere between the 3D model and the initial converged coupled model.  In both plots it is clear that meshes alt3 through alt6 show solid convergence while meshes alt1 and alt2 begin to diverge significantly </w:t>
      </w:r>
      <w:r w:rsidR="004606E2">
        <w:lastRenderedPageBreak/>
        <w:t xml:space="preserve">with decreases to mesh resolution.  </w:t>
      </w:r>
      <w:r w:rsidR="00C012B2">
        <w:t>The fact that these coarse meshes momentarily reproduce a model state close to the converged state is not to be taken as a positive attribute but merely coincidence that rather than continuing to diverge upwards they change direction and diverge towards a lower energy state.</w:t>
      </w:r>
    </w:p>
    <w:p w14:paraId="3C210594" w14:textId="08A0C18F" w:rsidR="004B2972" w:rsidRDefault="004606E2" w:rsidP="00381BB9">
      <w:r>
        <w:t>Interestingly, meshes alt3 through alt6</w:t>
      </w:r>
      <w:r w:rsidR="000D621C">
        <w:t xml:space="preserve"> are approach a converged state</w:t>
      </w:r>
      <w:r>
        <w:t xml:space="preserve"> from higher energy states.  The opposite was true with the original unstructured coolant mesh in which both temperature and coolant channel enthalpy change approached their respective values from below.  This behavior, coupled with the fact that</w:t>
      </w:r>
      <w:r w:rsidR="00BB545A">
        <w:t xml:space="preserve"> the</w:t>
      </w:r>
      <w:r>
        <w:t xml:space="preserve"> alternate coolant mesh model is converging towards a higher state than the original model, reintroduce</w:t>
      </w:r>
      <w:r w:rsidR="00BB545A">
        <w:t>s</w:t>
      </w:r>
      <w:r>
        <w:t xml:space="preserve"> a small measure of c</w:t>
      </w:r>
      <w:r w:rsidR="00BB545A">
        <w:t>onservatism into the model that</w:t>
      </w:r>
      <w:r>
        <w:t xml:space="preserve"> was removed, dually, by the smoothing effects of the coolant channel dimensional reduction and the convergence characteristics of the original coupled model.</w:t>
      </w:r>
    </w:p>
    <w:p w14:paraId="4D33DCC8" w14:textId="12D48FCE" w:rsidR="00102B82" w:rsidRDefault="00C012B2" w:rsidP="00381BB9">
      <w:r>
        <w:t xml:space="preserve">In looking at the global energy balance errors it is clear that mesh alt3 is the coarsest alternate coolant mesh to </w:t>
      </w:r>
      <w:r w:rsidR="00BB545A">
        <w:t>sufficiently</w:t>
      </w:r>
      <w:r>
        <w:t xml:space="preserve"> approx</w:t>
      </w:r>
      <w:r w:rsidR="00EA0F56">
        <w:t xml:space="preserve">imate the </w:t>
      </w:r>
      <w:r w:rsidR="00BB545A">
        <w:t xml:space="preserve">original </w:t>
      </w:r>
      <w:r w:rsidR="00EA0F56">
        <w:t xml:space="preserve">converged solution.  </w:t>
      </w:r>
      <w:r w:rsidR="00102B82">
        <w:t>The fact that its maximum temperature is also closest to the 3D model’s maximum temperature, while appealing, is really arbitrary in this instance</w:t>
      </w:r>
      <w:r w:rsidR="00BB545A">
        <w:t>.</w:t>
      </w:r>
      <w:r w:rsidR="00102B82">
        <w:t xml:space="preserve"> </w:t>
      </w:r>
      <w:r w:rsidR="00BB545A">
        <w:t xml:space="preserve"> </w:t>
      </w:r>
      <w:r w:rsidR="00102B82">
        <w:t xml:space="preserve">The only meaningful comparison is to the alternate model’s converged </w:t>
      </w:r>
      <w:r w:rsidR="00BB545A">
        <w:t>temperature</w:t>
      </w:r>
      <w:r w:rsidR="00102B82">
        <w:t xml:space="preserve"> which mesh alt3 does a sufficient job of approximating.</w:t>
      </w:r>
    </w:p>
    <w:p w14:paraId="42B5EAD9" w14:textId="0A3FE9F4" w:rsidR="00102B82" w:rsidRDefault="00102B82" w:rsidP="00381BB9">
      <w:r>
        <w:t>One final tweak is made to this model.  The alternate mesh study was performed using constant-width cells throughout the length of the fuel plate section of the channel.  While this facilitate</w:t>
      </w:r>
      <w:r w:rsidR="00BD32E5">
        <w:t>d a faster mesh study it also created</w:t>
      </w:r>
      <w:r>
        <w:t xml:space="preserve"> a large mesh size disparity on the mesh boundary separating the structured mesh from the unstructured mesh upstream and downstream of the fuel plate.  In order to smooth over this transition, the first and last structured mesh elements in mesh alt3 were replaced with successively </w:t>
      </w:r>
      <w:r w:rsidR="00BD32E5">
        <w:t>smaller transition</w:t>
      </w:r>
      <w:r>
        <w:t xml:space="preserve"> mesh elements as shown in Fig. </w:t>
      </w:r>
      <w:r>
        <w:fldChar w:fldCharType="begin"/>
      </w:r>
      <w:r>
        <w:instrText xml:space="preserve"> REF _Ref382574331 \r \h </w:instrText>
      </w:r>
      <w:r>
        <w:fldChar w:fldCharType="separate"/>
      </w:r>
      <w:r w:rsidR="001C5EC1">
        <w:t>7.12</w:t>
      </w:r>
      <w:r>
        <w:fldChar w:fldCharType="end"/>
      </w:r>
      <w:r>
        <w:t>.</w:t>
      </w:r>
      <w:r w:rsidR="00E93A47">
        <w:t xml:space="preserve">  This has a minimal, yet positive, effect on the solution as shown in Table </w:t>
      </w:r>
      <w:r w:rsidR="00BD32E5">
        <w:fldChar w:fldCharType="begin"/>
      </w:r>
      <w:r w:rsidR="00BD32E5">
        <w:instrText xml:space="preserve"> REF _Ref382834995 \r \h </w:instrText>
      </w:r>
      <w:r w:rsidR="00BD32E5">
        <w:fldChar w:fldCharType="separate"/>
      </w:r>
      <w:r w:rsidR="001C5EC1">
        <w:t>7.5</w:t>
      </w:r>
      <w:r w:rsidR="00BD32E5">
        <w:fldChar w:fldCharType="end"/>
      </w:r>
      <w:r w:rsidR="00E93A47">
        <w:t>.</w:t>
      </w:r>
    </w:p>
    <w:p w14:paraId="799CEA21" w14:textId="0392935B" w:rsidR="00102B82" w:rsidRDefault="007C59C8" w:rsidP="00102B82">
      <w:pPr>
        <w:pStyle w:val="PictureSytel"/>
      </w:pPr>
      <w:r>
        <w:rPr>
          <w:noProof/>
        </w:rPr>
        <w:lastRenderedPageBreak/>
        <w:drawing>
          <wp:inline distT="0" distB="0" distL="0" distR="0" wp14:anchorId="292BC8C6" wp14:editId="3D726536">
            <wp:extent cx="4981575" cy="5037485"/>
            <wp:effectExtent l="19050" t="19050" r="9525" b="1079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_over_200_comparison.png"/>
                    <pic:cNvPicPr/>
                  </pic:nvPicPr>
                  <pic:blipFill rotWithShape="1">
                    <a:blip r:embed="rId447">
                      <a:extLst>
                        <a:ext uri="{28A0092B-C50C-407E-A947-70E740481C1C}">
                          <a14:useLocalDpi xmlns:a14="http://schemas.microsoft.com/office/drawing/2010/main" val="0"/>
                        </a:ext>
                      </a:extLst>
                    </a:blip>
                    <a:srcRect t="12853"/>
                    <a:stretch/>
                  </pic:blipFill>
                  <pic:spPr bwMode="auto">
                    <a:xfrm>
                      <a:off x="0" y="0"/>
                      <a:ext cx="4981549" cy="5037459"/>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1354B35" w14:textId="379C6EE5" w:rsidR="00102B82" w:rsidRDefault="00102B82" w:rsidP="00102B82">
      <w:pPr>
        <w:pStyle w:val="FigTitleStyle"/>
      </w:pPr>
      <w:r>
        <w:t xml:space="preserve"> </w:t>
      </w:r>
      <w:bookmarkStart w:id="287" w:name="_Toc382920297"/>
      <w:r w:rsidRPr="00DF60FB">
        <w:t xml:space="preserve">Fig. </w:t>
      </w:r>
      <w:r w:rsidRPr="00DF60FB">
        <w:fldChar w:fldCharType="begin"/>
      </w:r>
      <w:bookmarkStart w:id="288" w:name="_Ref382574331"/>
      <w:bookmarkEnd w:id="288"/>
      <w:r w:rsidRPr="00DF60FB">
        <w:instrText xml:space="preserve"> LISTNUM FIG \l 2 </w:instrText>
      </w:r>
      <w:r w:rsidRPr="00DF60FB">
        <w:fldChar w:fldCharType="end"/>
      </w:r>
      <w:r>
        <w:t xml:space="preserve">.  </w:t>
      </w:r>
      <w:r w:rsidRPr="003E3714">
        <w:t xml:space="preserve">Mesh alt3 </w:t>
      </w:r>
      <w:r w:rsidR="002616D0">
        <w:t>Distribution Comparison</w:t>
      </w:r>
      <w:r w:rsidRPr="003E3714">
        <w:t>.</w:t>
      </w:r>
      <w:bookmarkEnd w:id="287"/>
      <w:r>
        <w:t xml:space="preserve">  </w:t>
      </w:r>
    </w:p>
    <w:tbl>
      <w:tblPr>
        <w:tblW w:w="9413" w:type="dxa"/>
        <w:jc w:val="center"/>
        <w:tblLayout w:type="fixed"/>
        <w:tblLook w:val="04A0" w:firstRow="1" w:lastRow="0" w:firstColumn="1" w:lastColumn="0" w:noHBand="0" w:noVBand="1"/>
      </w:tblPr>
      <w:tblGrid>
        <w:gridCol w:w="709"/>
        <w:gridCol w:w="1556"/>
        <w:gridCol w:w="1170"/>
        <w:gridCol w:w="1350"/>
        <w:gridCol w:w="848"/>
        <w:gridCol w:w="900"/>
        <w:gridCol w:w="810"/>
        <w:gridCol w:w="810"/>
        <w:gridCol w:w="1260"/>
      </w:tblGrid>
      <w:tr w:rsidR="002616D0" w:rsidRPr="002616D0" w14:paraId="5EA1BC61" w14:textId="77777777" w:rsidTr="00BD32E5">
        <w:trPr>
          <w:trHeight w:val="300"/>
          <w:jc w:val="center"/>
        </w:trPr>
        <w:tc>
          <w:tcPr>
            <w:tcW w:w="9413"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6492B" w14:textId="075719B1" w:rsidR="002616D0" w:rsidRPr="002616D0" w:rsidRDefault="002616D0" w:rsidP="00004C4D">
            <w:pPr>
              <w:pStyle w:val="NoSpacing"/>
            </w:pPr>
            <w:bookmarkStart w:id="289" w:name="_Toc382920203"/>
            <w:r>
              <w:t xml:space="preserve">Table </w:t>
            </w:r>
            <w:r>
              <w:fldChar w:fldCharType="begin"/>
            </w:r>
            <w:bookmarkStart w:id="290" w:name="_Ref382834995"/>
            <w:bookmarkEnd w:id="290"/>
            <w:r>
              <w:instrText xml:space="preserve"> LISTNUM TAB \l 2</w:instrText>
            </w:r>
            <w:r>
              <w:fldChar w:fldCharType="end"/>
            </w:r>
            <w:r>
              <w:t>:  Mesh alt3 Comparison Solutions</w:t>
            </w:r>
            <w:bookmarkEnd w:id="289"/>
          </w:p>
        </w:tc>
      </w:tr>
      <w:tr w:rsidR="000F082D" w:rsidRPr="002616D0" w14:paraId="6ABB4F92" w14:textId="77777777" w:rsidTr="00BD32E5">
        <w:trPr>
          <w:trHeight w:val="9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DC4B332"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Mesh</w:t>
            </w:r>
          </w:p>
        </w:tc>
        <w:tc>
          <w:tcPr>
            <w:tcW w:w="1556" w:type="dxa"/>
            <w:tcBorders>
              <w:top w:val="nil"/>
              <w:left w:val="nil"/>
              <w:bottom w:val="single" w:sz="4" w:space="0" w:color="auto"/>
              <w:right w:val="single" w:sz="4" w:space="0" w:color="auto"/>
            </w:tcBorders>
            <w:shd w:val="clear" w:color="auto" w:fill="auto"/>
            <w:vAlign w:val="center"/>
            <w:hideMark/>
          </w:tcPr>
          <w:p w14:paraId="7E1B7CD2"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Coolant Mesh Elements</w:t>
            </w:r>
            <w:r w:rsidRPr="002616D0">
              <w:rPr>
                <w:rFonts w:eastAsia="Times New Roman"/>
                <w:color w:val="000000"/>
              </w:rPr>
              <w:br/>
              <w:t>(in thousands)</w:t>
            </w:r>
          </w:p>
        </w:tc>
        <w:tc>
          <w:tcPr>
            <w:tcW w:w="1170" w:type="dxa"/>
            <w:tcBorders>
              <w:top w:val="nil"/>
              <w:left w:val="nil"/>
              <w:bottom w:val="single" w:sz="4" w:space="0" w:color="auto"/>
              <w:right w:val="single" w:sz="4" w:space="0" w:color="auto"/>
            </w:tcBorders>
            <w:shd w:val="clear" w:color="auto" w:fill="auto"/>
            <w:vAlign w:val="center"/>
            <w:hideMark/>
          </w:tcPr>
          <w:p w14:paraId="7F9087A3"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Structured</w:t>
            </w:r>
            <w:r w:rsidRPr="002616D0">
              <w:rPr>
                <w:rFonts w:eastAsia="Times New Roman"/>
                <w:color w:val="000000"/>
              </w:rPr>
              <w:br/>
              <w:t>Mesh?</w:t>
            </w:r>
          </w:p>
        </w:tc>
        <w:tc>
          <w:tcPr>
            <w:tcW w:w="1350" w:type="dxa"/>
            <w:tcBorders>
              <w:top w:val="nil"/>
              <w:left w:val="nil"/>
              <w:bottom w:val="single" w:sz="4" w:space="0" w:color="auto"/>
              <w:right w:val="single" w:sz="4" w:space="0" w:color="auto"/>
            </w:tcBorders>
            <w:shd w:val="clear" w:color="auto" w:fill="auto"/>
            <w:vAlign w:val="center"/>
            <w:hideMark/>
          </w:tcPr>
          <w:p w14:paraId="66B06216"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Axial Mesh</w:t>
            </w:r>
            <w:r w:rsidRPr="002616D0">
              <w:rPr>
                <w:rFonts w:eastAsia="Times New Roman"/>
                <w:color w:val="000000"/>
              </w:rPr>
              <w:br/>
              <w:t>Distribution</w:t>
            </w:r>
          </w:p>
        </w:tc>
        <w:tc>
          <w:tcPr>
            <w:tcW w:w="848" w:type="dxa"/>
            <w:tcBorders>
              <w:top w:val="nil"/>
              <w:left w:val="nil"/>
              <w:bottom w:val="single" w:sz="4" w:space="0" w:color="auto"/>
              <w:right w:val="single" w:sz="4" w:space="0" w:color="auto"/>
            </w:tcBorders>
            <w:shd w:val="clear" w:color="auto" w:fill="auto"/>
            <w:noWrap/>
            <w:vAlign w:val="center"/>
            <w:hideMark/>
          </w:tcPr>
          <w:p w14:paraId="17AFD929" w14:textId="7F32F148" w:rsidR="002616D0" w:rsidRPr="002616D0" w:rsidRDefault="000F082D" w:rsidP="002616D0">
            <w:pPr>
              <w:spacing w:after="0" w:line="240" w:lineRule="auto"/>
              <w:ind w:firstLine="0"/>
              <w:jc w:val="center"/>
              <w:rPr>
                <w:rFonts w:eastAsia="Times New Roman"/>
                <w:i/>
                <w:color w:val="000000"/>
              </w:rPr>
            </w:pPr>
            <w:r>
              <w:rPr>
                <w:rFonts w:eastAsia="Times New Roman"/>
                <w:i/>
                <w:color w:val="000000"/>
              </w:rPr>
              <w:t>E’</w:t>
            </w:r>
            <w:r>
              <w:rPr>
                <w:rFonts w:eastAsia="Times New Roman"/>
                <w:i/>
                <w:color w:val="000000"/>
                <w:vertAlign w:val="subscript"/>
              </w:rPr>
              <w:t>p,out</w:t>
            </w:r>
          </w:p>
        </w:tc>
        <w:tc>
          <w:tcPr>
            <w:tcW w:w="900" w:type="dxa"/>
            <w:tcBorders>
              <w:top w:val="nil"/>
              <w:left w:val="nil"/>
              <w:bottom w:val="single" w:sz="4" w:space="0" w:color="auto"/>
              <w:right w:val="single" w:sz="4" w:space="0" w:color="auto"/>
            </w:tcBorders>
            <w:shd w:val="clear" w:color="auto" w:fill="auto"/>
            <w:noWrap/>
            <w:vAlign w:val="center"/>
            <w:hideMark/>
          </w:tcPr>
          <w:p w14:paraId="502AB457" w14:textId="2910A2A6" w:rsidR="002616D0" w:rsidRPr="002616D0" w:rsidRDefault="000F082D" w:rsidP="002616D0">
            <w:pPr>
              <w:spacing w:after="0" w:line="240" w:lineRule="auto"/>
              <w:ind w:firstLine="0"/>
              <w:jc w:val="center"/>
              <w:rPr>
                <w:rFonts w:eastAsia="Times New Roman"/>
                <w:color w:val="000000"/>
              </w:rPr>
            </w:pPr>
            <w:r>
              <w:rPr>
                <w:rFonts w:eastAsia="Times New Roman"/>
                <w:color w:val="000000"/>
              </w:rPr>
              <w:t>Δ</w:t>
            </w:r>
            <w:r>
              <w:rPr>
                <w:rFonts w:eastAsia="Times New Roman"/>
                <w:i/>
                <w:color w:val="000000"/>
              </w:rPr>
              <w:t>H’</w:t>
            </w:r>
            <w:r>
              <w:rPr>
                <w:rFonts w:eastAsia="Times New Roman"/>
                <w:i/>
                <w:color w:val="000000"/>
                <w:vertAlign w:val="subscript"/>
              </w:rPr>
              <w:t>c</w:t>
            </w:r>
          </w:p>
        </w:tc>
        <w:tc>
          <w:tcPr>
            <w:tcW w:w="810" w:type="dxa"/>
            <w:tcBorders>
              <w:top w:val="nil"/>
              <w:left w:val="nil"/>
              <w:bottom w:val="single" w:sz="4" w:space="0" w:color="auto"/>
              <w:right w:val="single" w:sz="4" w:space="0" w:color="auto"/>
            </w:tcBorders>
            <w:shd w:val="clear" w:color="auto" w:fill="auto"/>
            <w:noWrap/>
            <w:vAlign w:val="center"/>
            <w:hideMark/>
          </w:tcPr>
          <w:p w14:paraId="11553B29" w14:textId="22FFA847" w:rsidR="002616D0" w:rsidRPr="002616D0" w:rsidRDefault="000F082D" w:rsidP="002616D0">
            <w:pPr>
              <w:spacing w:after="0" w:line="240" w:lineRule="auto"/>
              <w:ind w:firstLine="0"/>
              <w:jc w:val="center"/>
              <w:rPr>
                <w:rFonts w:eastAsia="Times New Roman"/>
                <w:color w:val="000000"/>
              </w:rPr>
            </w:pPr>
            <w:r>
              <w:rPr>
                <w:rFonts w:eastAsia="Times New Roman"/>
                <w:i/>
                <w:color w:val="000000"/>
              </w:rPr>
              <w:t>e</w:t>
            </w:r>
            <w:r>
              <w:rPr>
                <w:rFonts w:eastAsia="Times New Roman"/>
                <w:i/>
                <w:color w:val="000000"/>
                <w:vertAlign w:val="subscript"/>
              </w:rPr>
              <w:t>c</w:t>
            </w:r>
            <w:r>
              <w:rPr>
                <w:rFonts w:eastAsia="Times New Roman"/>
                <w:color w:val="000000"/>
              </w:rPr>
              <w:t xml:space="preserve"> (%)</w:t>
            </w:r>
          </w:p>
        </w:tc>
        <w:tc>
          <w:tcPr>
            <w:tcW w:w="810" w:type="dxa"/>
            <w:tcBorders>
              <w:top w:val="nil"/>
              <w:left w:val="nil"/>
              <w:bottom w:val="single" w:sz="4" w:space="0" w:color="auto"/>
              <w:right w:val="single" w:sz="4" w:space="0" w:color="auto"/>
            </w:tcBorders>
            <w:shd w:val="clear" w:color="auto" w:fill="auto"/>
            <w:noWrap/>
            <w:vAlign w:val="center"/>
            <w:hideMark/>
          </w:tcPr>
          <w:p w14:paraId="0DCB474C" w14:textId="25D5CBE8" w:rsidR="002616D0" w:rsidRPr="002616D0" w:rsidRDefault="000F082D" w:rsidP="002616D0">
            <w:pPr>
              <w:spacing w:after="0" w:line="240" w:lineRule="auto"/>
              <w:ind w:firstLine="0"/>
              <w:jc w:val="center"/>
              <w:rPr>
                <w:rFonts w:eastAsia="Times New Roman"/>
                <w:color w:val="000000"/>
              </w:rPr>
            </w:pPr>
            <w:r>
              <w:rPr>
                <w:rFonts w:eastAsia="Times New Roman"/>
                <w:i/>
                <w:color w:val="000000"/>
              </w:rPr>
              <w:t>e</w:t>
            </w:r>
            <w:r>
              <w:rPr>
                <w:rFonts w:eastAsia="Times New Roman"/>
                <w:i/>
                <w:color w:val="000000"/>
                <w:vertAlign w:val="subscript"/>
              </w:rPr>
              <w:t>g</w:t>
            </w:r>
            <w:r>
              <w:rPr>
                <w:rFonts w:eastAsia="Times New Roman"/>
                <w:color w:val="000000"/>
              </w:rPr>
              <w:t xml:space="preserve"> (%)</w:t>
            </w:r>
          </w:p>
        </w:tc>
        <w:tc>
          <w:tcPr>
            <w:tcW w:w="1260" w:type="dxa"/>
            <w:tcBorders>
              <w:top w:val="nil"/>
              <w:left w:val="nil"/>
              <w:bottom w:val="single" w:sz="4" w:space="0" w:color="auto"/>
              <w:right w:val="single" w:sz="4" w:space="0" w:color="auto"/>
            </w:tcBorders>
            <w:shd w:val="clear" w:color="auto" w:fill="auto"/>
            <w:vAlign w:val="center"/>
            <w:hideMark/>
          </w:tcPr>
          <w:p w14:paraId="4A7AF950"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 xml:space="preserve">Max Fuel </w:t>
            </w:r>
            <w:r w:rsidRPr="002616D0">
              <w:rPr>
                <w:rFonts w:eastAsia="Times New Roman"/>
                <w:color w:val="000000"/>
              </w:rPr>
              <w:br/>
              <w:t>Meat T [K]</w:t>
            </w:r>
          </w:p>
        </w:tc>
      </w:tr>
      <w:tr w:rsidR="000F082D" w:rsidRPr="002616D0" w14:paraId="261E9241" w14:textId="77777777" w:rsidTr="00BD32E5">
        <w:trPr>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EE88841"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alt3</w:t>
            </w:r>
          </w:p>
        </w:tc>
        <w:tc>
          <w:tcPr>
            <w:tcW w:w="1556" w:type="dxa"/>
            <w:tcBorders>
              <w:top w:val="nil"/>
              <w:left w:val="nil"/>
              <w:bottom w:val="single" w:sz="4" w:space="0" w:color="auto"/>
              <w:right w:val="single" w:sz="4" w:space="0" w:color="auto"/>
            </w:tcBorders>
            <w:shd w:val="clear" w:color="auto" w:fill="auto"/>
            <w:noWrap/>
            <w:vAlign w:val="center"/>
            <w:hideMark/>
          </w:tcPr>
          <w:p w14:paraId="29BFF4E4"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21</w:t>
            </w:r>
          </w:p>
        </w:tc>
        <w:tc>
          <w:tcPr>
            <w:tcW w:w="1170" w:type="dxa"/>
            <w:tcBorders>
              <w:top w:val="nil"/>
              <w:left w:val="nil"/>
              <w:bottom w:val="single" w:sz="4" w:space="0" w:color="auto"/>
              <w:right w:val="single" w:sz="4" w:space="0" w:color="auto"/>
            </w:tcBorders>
            <w:shd w:val="clear" w:color="auto" w:fill="auto"/>
            <w:noWrap/>
            <w:vAlign w:val="center"/>
            <w:hideMark/>
          </w:tcPr>
          <w:p w14:paraId="4422890C"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Y</w:t>
            </w:r>
          </w:p>
        </w:tc>
        <w:tc>
          <w:tcPr>
            <w:tcW w:w="1350" w:type="dxa"/>
            <w:tcBorders>
              <w:top w:val="nil"/>
              <w:left w:val="nil"/>
              <w:bottom w:val="single" w:sz="4" w:space="0" w:color="auto"/>
              <w:right w:val="single" w:sz="4" w:space="0" w:color="auto"/>
            </w:tcBorders>
            <w:shd w:val="clear" w:color="auto" w:fill="auto"/>
            <w:noWrap/>
            <w:vAlign w:val="center"/>
            <w:hideMark/>
          </w:tcPr>
          <w:p w14:paraId="7BF0705D" w14:textId="151DAFBC" w:rsidR="002616D0" w:rsidRPr="002616D0" w:rsidRDefault="00572497" w:rsidP="002616D0">
            <w:pPr>
              <w:spacing w:after="0" w:line="240" w:lineRule="auto"/>
              <w:ind w:firstLine="0"/>
              <w:jc w:val="center"/>
              <w:rPr>
                <w:rFonts w:eastAsia="Times New Roman"/>
                <w:color w:val="000000"/>
              </w:rPr>
            </w:pPr>
            <w:r>
              <w:rPr>
                <w:rFonts w:eastAsia="Times New Roman"/>
                <w:i/>
                <w:color w:val="000000"/>
              </w:rPr>
              <w:t>l</w:t>
            </w:r>
            <w:r w:rsidR="002616D0" w:rsidRPr="002616D0">
              <w:rPr>
                <w:rFonts w:eastAsia="Times New Roman"/>
                <w:color w:val="000000"/>
              </w:rPr>
              <w:t>/200</w:t>
            </w:r>
          </w:p>
        </w:tc>
        <w:tc>
          <w:tcPr>
            <w:tcW w:w="848" w:type="dxa"/>
            <w:tcBorders>
              <w:top w:val="nil"/>
              <w:left w:val="nil"/>
              <w:bottom w:val="single" w:sz="4" w:space="0" w:color="auto"/>
              <w:right w:val="single" w:sz="4" w:space="0" w:color="auto"/>
            </w:tcBorders>
            <w:shd w:val="clear" w:color="auto" w:fill="auto"/>
            <w:noWrap/>
            <w:vAlign w:val="center"/>
            <w:hideMark/>
          </w:tcPr>
          <w:p w14:paraId="5213AC46"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1.0002</w:t>
            </w:r>
          </w:p>
        </w:tc>
        <w:tc>
          <w:tcPr>
            <w:tcW w:w="900" w:type="dxa"/>
            <w:tcBorders>
              <w:top w:val="nil"/>
              <w:left w:val="nil"/>
              <w:bottom w:val="single" w:sz="4" w:space="0" w:color="auto"/>
              <w:right w:val="single" w:sz="4" w:space="0" w:color="auto"/>
            </w:tcBorders>
            <w:shd w:val="clear" w:color="auto" w:fill="auto"/>
            <w:noWrap/>
            <w:vAlign w:val="center"/>
            <w:hideMark/>
          </w:tcPr>
          <w:p w14:paraId="57C4E972"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1.0392</w:t>
            </w:r>
          </w:p>
        </w:tc>
        <w:tc>
          <w:tcPr>
            <w:tcW w:w="810" w:type="dxa"/>
            <w:tcBorders>
              <w:top w:val="nil"/>
              <w:left w:val="nil"/>
              <w:bottom w:val="single" w:sz="4" w:space="0" w:color="auto"/>
              <w:right w:val="single" w:sz="4" w:space="0" w:color="auto"/>
            </w:tcBorders>
            <w:shd w:val="clear" w:color="auto" w:fill="auto"/>
            <w:noWrap/>
            <w:vAlign w:val="center"/>
            <w:hideMark/>
          </w:tcPr>
          <w:p w14:paraId="383CA975"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3.904</w:t>
            </w:r>
          </w:p>
        </w:tc>
        <w:tc>
          <w:tcPr>
            <w:tcW w:w="810" w:type="dxa"/>
            <w:tcBorders>
              <w:top w:val="nil"/>
              <w:left w:val="nil"/>
              <w:bottom w:val="single" w:sz="4" w:space="0" w:color="auto"/>
              <w:right w:val="single" w:sz="4" w:space="0" w:color="auto"/>
            </w:tcBorders>
            <w:shd w:val="clear" w:color="auto" w:fill="auto"/>
            <w:vAlign w:val="center"/>
            <w:hideMark/>
          </w:tcPr>
          <w:p w14:paraId="0A3DCEB1"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3.925</w:t>
            </w:r>
          </w:p>
        </w:tc>
        <w:tc>
          <w:tcPr>
            <w:tcW w:w="1260" w:type="dxa"/>
            <w:tcBorders>
              <w:top w:val="nil"/>
              <w:left w:val="nil"/>
              <w:bottom w:val="single" w:sz="4" w:space="0" w:color="auto"/>
              <w:right w:val="single" w:sz="4" w:space="0" w:color="auto"/>
            </w:tcBorders>
            <w:shd w:val="clear" w:color="auto" w:fill="auto"/>
            <w:noWrap/>
            <w:vAlign w:val="center"/>
            <w:hideMark/>
          </w:tcPr>
          <w:p w14:paraId="002EFFF9"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429.7</w:t>
            </w:r>
          </w:p>
        </w:tc>
      </w:tr>
      <w:tr w:rsidR="000F082D" w:rsidRPr="002616D0" w14:paraId="5BF2B046" w14:textId="77777777" w:rsidTr="00BD32E5">
        <w:trPr>
          <w:trHeight w:val="300"/>
          <w:jc w:val="center"/>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DDD9430"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alt3b</w:t>
            </w:r>
          </w:p>
        </w:tc>
        <w:tc>
          <w:tcPr>
            <w:tcW w:w="1556" w:type="dxa"/>
            <w:tcBorders>
              <w:top w:val="nil"/>
              <w:left w:val="nil"/>
              <w:bottom w:val="single" w:sz="4" w:space="0" w:color="auto"/>
              <w:right w:val="single" w:sz="4" w:space="0" w:color="auto"/>
            </w:tcBorders>
            <w:shd w:val="clear" w:color="auto" w:fill="auto"/>
            <w:noWrap/>
            <w:vAlign w:val="center"/>
            <w:hideMark/>
          </w:tcPr>
          <w:p w14:paraId="388AF617"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22</w:t>
            </w:r>
          </w:p>
        </w:tc>
        <w:tc>
          <w:tcPr>
            <w:tcW w:w="1170" w:type="dxa"/>
            <w:tcBorders>
              <w:top w:val="nil"/>
              <w:left w:val="nil"/>
              <w:bottom w:val="single" w:sz="4" w:space="0" w:color="auto"/>
              <w:right w:val="single" w:sz="4" w:space="0" w:color="auto"/>
            </w:tcBorders>
            <w:shd w:val="clear" w:color="auto" w:fill="auto"/>
            <w:noWrap/>
            <w:vAlign w:val="center"/>
            <w:hideMark/>
          </w:tcPr>
          <w:p w14:paraId="460FA58D"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Y</w:t>
            </w:r>
          </w:p>
        </w:tc>
        <w:tc>
          <w:tcPr>
            <w:tcW w:w="1350" w:type="dxa"/>
            <w:tcBorders>
              <w:top w:val="nil"/>
              <w:left w:val="nil"/>
              <w:bottom w:val="single" w:sz="4" w:space="0" w:color="auto"/>
              <w:right w:val="single" w:sz="4" w:space="0" w:color="auto"/>
            </w:tcBorders>
            <w:shd w:val="clear" w:color="auto" w:fill="auto"/>
            <w:noWrap/>
            <w:vAlign w:val="center"/>
            <w:hideMark/>
          </w:tcPr>
          <w:p w14:paraId="614ED9DA" w14:textId="44022782" w:rsidR="002616D0" w:rsidRPr="002616D0" w:rsidRDefault="000F082D" w:rsidP="002616D0">
            <w:pPr>
              <w:spacing w:after="0" w:line="240" w:lineRule="auto"/>
              <w:ind w:firstLine="0"/>
              <w:jc w:val="center"/>
              <w:rPr>
                <w:rFonts w:eastAsia="Times New Roman"/>
                <w:color w:val="000000"/>
              </w:rPr>
            </w:pPr>
            <w:r>
              <w:rPr>
                <w:rFonts w:eastAsia="Times New Roman"/>
                <w:color w:val="000000"/>
              </w:rPr>
              <w:t>~</w:t>
            </w:r>
            <w:r w:rsidR="00572497">
              <w:rPr>
                <w:rFonts w:eastAsia="Times New Roman"/>
                <w:i/>
                <w:color w:val="000000"/>
              </w:rPr>
              <w:t>l</w:t>
            </w:r>
            <w:r w:rsidR="002616D0" w:rsidRPr="002616D0">
              <w:rPr>
                <w:rFonts w:eastAsia="Times New Roman"/>
                <w:color w:val="000000"/>
              </w:rPr>
              <w:t>/200</w:t>
            </w:r>
          </w:p>
        </w:tc>
        <w:tc>
          <w:tcPr>
            <w:tcW w:w="848" w:type="dxa"/>
            <w:tcBorders>
              <w:top w:val="nil"/>
              <w:left w:val="nil"/>
              <w:bottom w:val="single" w:sz="4" w:space="0" w:color="auto"/>
              <w:right w:val="single" w:sz="4" w:space="0" w:color="auto"/>
            </w:tcBorders>
            <w:shd w:val="clear" w:color="auto" w:fill="auto"/>
            <w:noWrap/>
            <w:vAlign w:val="center"/>
            <w:hideMark/>
          </w:tcPr>
          <w:p w14:paraId="290872EA"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1.0002</w:t>
            </w:r>
          </w:p>
        </w:tc>
        <w:tc>
          <w:tcPr>
            <w:tcW w:w="900" w:type="dxa"/>
            <w:tcBorders>
              <w:top w:val="nil"/>
              <w:left w:val="nil"/>
              <w:bottom w:val="single" w:sz="4" w:space="0" w:color="auto"/>
              <w:right w:val="single" w:sz="4" w:space="0" w:color="auto"/>
            </w:tcBorders>
            <w:shd w:val="clear" w:color="auto" w:fill="auto"/>
            <w:noWrap/>
            <w:vAlign w:val="center"/>
            <w:hideMark/>
          </w:tcPr>
          <w:p w14:paraId="442D3201"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1.0358</w:t>
            </w:r>
          </w:p>
        </w:tc>
        <w:tc>
          <w:tcPr>
            <w:tcW w:w="810" w:type="dxa"/>
            <w:tcBorders>
              <w:top w:val="nil"/>
              <w:left w:val="nil"/>
              <w:bottom w:val="single" w:sz="4" w:space="0" w:color="auto"/>
              <w:right w:val="single" w:sz="4" w:space="0" w:color="auto"/>
            </w:tcBorders>
            <w:shd w:val="clear" w:color="auto" w:fill="auto"/>
            <w:noWrap/>
            <w:vAlign w:val="center"/>
            <w:hideMark/>
          </w:tcPr>
          <w:p w14:paraId="14E436A5"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3.557</w:t>
            </w:r>
          </w:p>
        </w:tc>
        <w:tc>
          <w:tcPr>
            <w:tcW w:w="810" w:type="dxa"/>
            <w:tcBorders>
              <w:top w:val="nil"/>
              <w:left w:val="nil"/>
              <w:bottom w:val="single" w:sz="4" w:space="0" w:color="auto"/>
              <w:right w:val="single" w:sz="4" w:space="0" w:color="auto"/>
            </w:tcBorders>
            <w:shd w:val="clear" w:color="auto" w:fill="auto"/>
            <w:vAlign w:val="center"/>
            <w:hideMark/>
          </w:tcPr>
          <w:p w14:paraId="12110919"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3.577</w:t>
            </w:r>
          </w:p>
        </w:tc>
        <w:tc>
          <w:tcPr>
            <w:tcW w:w="1260" w:type="dxa"/>
            <w:tcBorders>
              <w:top w:val="nil"/>
              <w:left w:val="nil"/>
              <w:bottom w:val="single" w:sz="4" w:space="0" w:color="auto"/>
              <w:right w:val="single" w:sz="4" w:space="0" w:color="auto"/>
            </w:tcBorders>
            <w:shd w:val="clear" w:color="auto" w:fill="auto"/>
            <w:noWrap/>
            <w:vAlign w:val="center"/>
            <w:hideMark/>
          </w:tcPr>
          <w:p w14:paraId="3296BD8E" w14:textId="77777777" w:rsidR="002616D0" w:rsidRPr="002616D0" w:rsidRDefault="002616D0" w:rsidP="002616D0">
            <w:pPr>
              <w:spacing w:after="0" w:line="240" w:lineRule="auto"/>
              <w:ind w:firstLine="0"/>
              <w:jc w:val="center"/>
              <w:rPr>
                <w:rFonts w:eastAsia="Times New Roman"/>
                <w:color w:val="000000"/>
              </w:rPr>
            </w:pPr>
            <w:r w:rsidRPr="002616D0">
              <w:rPr>
                <w:rFonts w:eastAsia="Times New Roman"/>
                <w:color w:val="000000"/>
              </w:rPr>
              <w:t>429.6</w:t>
            </w:r>
          </w:p>
        </w:tc>
      </w:tr>
    </w:tbl>
    <w:p w14:paraId="74B012DF" w14:textId="77777777" w:rsidR="009335A8" w:rsidRDefault="009335A8" w:rsidP="00572497">
      <w:pPr>
        <w:pStyle w:val="Heading2"/>
      </w:pPr>
      <w:r>
        <w:fldChar w:fldCharType="begin"/>
      </w:r>
      <w:r>
        <w:instrText xml:space="preserve"> LISTNUM CHAP \l 2 </w:instrText>
      </w:r>
      <w:bookmarkStart w:id="291" w:name="_Toc382921557"/>
      <w:r>
        <w:fldChar w:fldCharType="end"/>
      </w:r>
      <w:r>
        <w:t xml:space="preserve">    Validation of Simplifying Coupled Model Assumptions</w:t>
      </w:r>
      <w:bookmarkEnd w:id="291"/>
    </w:p>
    <w:p w14:paraId="556D0929" w14:textId="3E164846" w:rsidR="0025248B" w:rsidRDefault="009335A8" w:rsidP="009335A8">
      <w:r>
        <w:t xml:space="preserve">As mentioned previously, the exclusion of the side plates from the coupled model is due in large part to their incompatibility with the 2D coolant domain.  Their exclusion is justified by results from the 3D </w:t>
      </w:r>
      <w:r>
        <w:lastRenderedPageBreak/>
        <w:t xml:space="preserve">model which show that heat </w:t>
      </w:r>
      <w:r w:rsidR="0025248B">
        <w:t>flow</w:t>
      </w:r>
      <w:r>
        <w:t xml:space="preserve"> into the side plates is minimal compared to that in the fuel plate and coolant channel.  Local heat flux into the inner side plate is shown in Fig. </w:t>
      </w:r>
      <w:r>
        <w:fldChar w:fldCharType="begin"/>
      </w:r>
      <w:r>
        <w:instrText xml:space="preserve"> REF _Ref382214767 \r \h </w:instrText>
      </w:r>
      <w:r>
        <w:fldChar w:fldCharType="separate"/>
      </w:r>
      <w:r w:rsidR="001C5EC1">
        <w:t>7.13</w:t>
      </w:r>
      <w:r>
        <w:fldChar w:fldCharType="end"/>
      </w:r>
      <w:r>
        <w:t xml:space="preserve">.  </w:t>
      </w:r>
      <w:r w:rsidR="00D30E0F">
        <w:t>Across</w:t>
      </w:r>
      <w:r w:rsidR="0025248B">
        <w:t xml:space="preserve"> the boundary with the fuel plate heat flow is predomina</w:t>
      </w:r>
      <w:r w:rsidR="00D30E0F">
        <w:t>ntly into the side plate.  Across</w:t>
      </w:r>
      <w:r w:rsidR="0025248B">
        <w:t xml:space="preserve"> the common with the coolant channel heat flow is predominantly outward.</w:t>
      </w:r>
      <w:r w:rsidR="00F664DD">
        <w:t xml:space="preserve">  A surface integral of heat flux through the fuel plate boundary shows that the total inward heat flow is only 578 W.  The total outward heat flow through the coolant common boundary is only 227 W.  Both of these are three orders of magnitude smaller than the total nuclear heat generation production.</w:t>
      </w:r>
    </w:p>
    <w:p w14:paraId="70A83815" w14:textId="504B07A4" w:rsidR="009335A8" w:rsidRDefault="0025248B" w:rsidP="009335A8">
      <w:pPr>
        <w:pStyle w:val="PictureSytel"/>
      </w:pPr>
      <w:r>
        <w:rPr>
          <w:noProof/>
        </w:rPr>
        <w:drawing>
          <wp:inline distT="0" distB="0" distL="0" distR="0" wp14:anchorId="6970F139" wp14:editId="51B31525">
            <wp:extent cx="4997395" cy="2667413"/>
            <wp:effectExtent l="19050" t="19050" r="13335" b="190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SP_heat_flux_profile.png"/>
                    <pic:cNvPicPr/>
                  </pic:nvPicPr>
                  <pic:blipFill>
                    <a:blip r:embed="rId448">
                      <a:extLst>
                        <a:ext uri="{28A0092B-C50C-407E-A947-70E740481C1C}">
                          <a14:useLocalDpi xmlns:a14="http://schemas.microsoft.com/office/drawing/2010/main" val="0"/>
                        </a:ext>
                      </a:extLst>
                    </a:blip>
                    <a:stretch>
                      <a:fillRect/>
                    </a:stretch>
                  </pic:blipFill>
                  <pic:spPr>
                    <a:xfrm>
                      <a:off x="0" y="0"/>
                      <a:ext cx="5009455" cy="2673850"/>
                    </a:xfrm>
                    <a:prstGeom prst="rect">
                      <a:avLst/>
                    </a:prstGeom>
                    <a:ln>
                      <a:solidFill>
                        <a:schemeClr val="tx1"/>
                      </a:solidFill>
                    </a:ln>
                  </pic:spPr>
                </pic:pic>
              </a:graphicData>
            </a:graphic>
          </wp:inline>
        </w:drawing>
      </w:r>
    </w:p>
    <w:p w14:paraId="56C54F47" w14:textId="0911DAE7" w:rsidR="009335A8" w:rsidRPr="00607ABE" w:rsidRDefault="009335A8" w:rsidP="009335A8">
      <w:pPr>
        <w:pStyle w:val="FigTitleStyle"/>
        <w:rPr>
          <w:b w:val="0"/>
        </w:rPr>
      </w:pPr>
      <w:bookmarkStart w:id="292" w:name="_Toc382920298"/>
      <w:r w:rsidRPr="00DF60FB">
        <w:t xml:space="preserve">Fig. </w:t>
      </w:r>
      <w:r w:rsidRPr="00DF60FB">
        <w:fldChar w:fldCharType="begin"/>
      </w:r>
      <w:bookmarkStart w:id="293" w:name="_Ref382214767"/>
      <w:bookmarkEnd w:id="293"/>
      <w:r w:rsidRPr="00DF60FB">
        <w:instrText xml:space="preserve"> LISTNUM FIG \l 2 </w:instrText>
      </w:r>
      <w:r w:rsidRPr="00DF60FB">
        <w:fldChar w:fldCharType="end"/>
      </w:r>
      <w:r>
        <w:t xml:space="preserve">.  </w:t>
      </w:r>
      <w:r w:rsidRPr="0025248B">
        <w:t xml:space="preserve">3D Model Inner Side Plate </w:t>
      </w:r>
      <w:r w:rsidR="0025248B">
        <w:t xml:space="preserve">Inward </w:t>
      </w:r>
      <w:r w:rsidRPr="0025248B">
        <w:t>Heat Flux.</w:t>
      </w:r>
      <w:r>
        <w:rPr>
          <w:b w:val="0"/>
        </w:rPr>
        <w:t xml:space="preserve">  Figure is not to scale.  The </w:t>
      </w:r>
      <w:r>
        <w:rPr>
          <w:b w:val="0"/>
          <w:i/>
        </w:rPr>
        <w:t>t</w:t>
      </w:r>
      <w:r>
        <w:rPr>
          <w:b w:val="0"/>
        </w:rPr>
        <w:t xml:space="preserve">-direction has been stretched by a factor of </w:t>
      </w:r>
      <w:r w:rsidRPr="0025248B">
        <w:rPr>
          <w:b w:val="0"/>
        </w:rPr>
        <w:t>20</w:t>
      </w:r>
      <w:r>
        <w:rPr>
          <w:b w:val="0"/>
        </w:rPr>
        <w:t xml:space="preserve"> for ease of viewing.</w:t>
      </w:r>
      <w:r w:rsidR="0025248B">
        <w:rPr>
          <w:b w:val="0"/>
        </w:rPr>
        <w:t xml:space="preserve">  The fuel plate is outlined in three parts with the coolant channel surrounding it.</w:t>
      </w:r>
      <w:bookmarkEnd w:id="292"/>
    </w:p>
    <w:p w14:paraId="40B2E31A" w14:textId="4BD30110" w:rsidR="00947473" w:rsidRDefault="00F50BB8" w:rsidP="00F15F8D">
      <w:r>
        <w:t xml:space="preserve">Additional simplifications can be made to the coupled model through observation of preliminary solutions to the model itself.  </w:t>
      </w:r>
      <w:r w:rsidR="00947473">
        <w:t xml:space="preserve">The use of a single bulk velocity value along the length of the plate is validated by the short length of the hydrodynamic entrance region, as shown in Fig. </w:t>
      </w:r>
      <w:r w:rsidR="00BE4C71">
        <w:fldChar w:fldCharType="begin"/>
      </w:r>
      <w:r w:rsidR="00BE4C71">
        <w:instrText xml:space="preserve"> REF _Ref382743913 \r \h </w:instrText>
      </w:r>
      <w:r w:rsidR="00BE4C71">
        <w:fldChar w:fldCharType="separate"/>
      </w:r>
      <w:r w:rsidR="001C5EC1">
        <w:t>7.14</w:t>
      </w:r>
      <w:r w:rsidR="00BE4C71">
        <w:fldChar w:fldCharType="end"/>
      </w:r>
      <w:r w:rsidR="00947473">
        <w:t>.</w:t>
      </w:r>
      <w:r w:rsidR="00BE4C71">
        <w:t xml:space="preserve">  For reference, the leading edge of the fuel plate is situated at -5.08 cm.  Within 2 cm</w:t>
      </w:r>
      <w:r w:rsidR="00E70BD1">
        <w:t>, and still well before the top of the fuel section,</w:t>
      </w:r>
      <w:r w:rsidR="00BE4C71">
        <w:t xml:space="preserve"> the fl</w:t>
      </w:r>
      <w:r w:rsidR="00D05415">
        <w:t>ow is fully developed.</w:t>
      </w:r>
      <w:r w:rsidR="007C3527">
        <w:t xml:space="preserve">  Similarly, the onset of turbulence is e</w:t>
      </w:r>
      <w:r>
        <w:t xml:space="preserve">xtremely rapid as shown in Fig. </w:t>
      </w:r>
      <w:r>
        <w:fldChar w:fldCharType="begin"/>
      </w:r>
      <w:r>
        <w:instrText xml:space="preserve"> REF _Ref382744498 \r \h </w:instrText>
      </w:r>
      <w:r>
        <w:fldChar w:fldCharType="separate"/>
      </w:r>
      <w:r w:rsidR="001C5EC1">
        <w:t>7.15</w:t>
      </w:r>
      <w:r>
        <w:fldChar w:fldCharType="end"/>
      </w:r>
      <w:r>
        <w:t xml:space="preserve">, validating both the assumption of turbulent flow throughout as well as verifying that the model remains within the limits of the modified Hausen correlation as </w:t>
      </w:r>
      <w:r w:rsidR="00D30E0F">
        <w:t>experimentally verified</w:t>
      </w:r>
      <w:r>
        <w:t xml:space="preserve"> by Gambill and Bundy.  The thermal entrance region</w:t>
      </w:r>
      <w:r w:rsidR="00D30E0F">
        <w:t xml:space="preserve">, shown in in Fig. </w:t>
      </w:r>
      <w:r w:rsidR="00D30E0F">
        <w:fldChar w:fldCharType="begin"/>
      </w:r>
      <w:r w:rsidR="00D30E0F">
        <w:instrText xml:space="preserve"> REF _Ref382744922 \r \h </w:instrText>
      </w:r>
      <w:r w:rsidR="00D30E0F">
        <w:fldChar w:fldCharType="separate"/>
      </w:r>
      <w:r w:rsidR="001C5EC1">
        <w:t>7.16</w:t>
      </w:r>
      <w:r w:rsidR="00D30E0F">
        <w:fldChar w:fldCharType="end"/>
      </w:r>
      <w:r w:rsidR="00D30E0F">
        <w:t>, is also</w:t>
      </w:r>
      <w:r>
        <w:t xml:space="preserve"> extremely short.  The onset of thermally developed flow is delayed until just upstream of the fueled section.  This gives the flow </w:t>
      </w:r>
      <w:r>
        <w:lastRenderedPageBreak/>
        <w:t>adequate space to become both full</w:t>
      </w:r>
      <w:r w:rsidR="00095F2F">
        <w:t>y</w:t>
      </w:r>
      <w:r>
        <w:t xml:space="preserve"> developed and fully turbulent before interacting significant</w:t>
      </w:r>
      <w:r w:rsidR="00095F2F">
        <w:t>ly with the fuel.  T</w:t>
      </w:r>
      <w:r>
        <w:t>he distance from onset to fully developed th</w:t>
      </w:r>
      <w:r w:rsidR="00095F2F">
        <w:t>ermal flow occurs</w:t>
      </w:r>
      <w:r>
        <w:t xml:space="preserve"> in less than 4 cm.</w:t>
      </w:r>
    </w:p>
    <w:p w14:paraId="00F931CB" w14:textId="7B17098F" w:rsidR="00947473" w:rsidRDefault="00947473" w:rsidP="00947473">
      <w:pPr>
        <w:pStyle w:val="PictureSytel"/>
      </w:pPr>
      <w:r>
        <w:rPr>
          <w:noProof/>
        </w:rPr>
        <w:drawing>
          <wp:inline distT="0" distB="0" distL="0" distR="0" wp14:anchorId="3DD6B074" wp14:editId="6511833A">
            <wp:extent cx="5084654" cy="2486025"/>
            <wp:effectExtent l="19050" t="19050" r="2095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pled_Hydrodynamic_Entrance_Region.png"/>
                    <pic:cNvPicPr/>
                  </pic:nvPicPr>
                  <pic:blipFill>
                    <a:blip r:embed="rId449">
                      <a:extLst>
                        <a:ext uri="{28A0092B-C50C-407E-A947-70E740481C1C}">
                          <a14:useLocalDpi xmlns:a14="http://schemas.microsoft.com/office/drawing/2010/main" val="0"/>
                        </a:ext>
                      </a:extLst>
                    </a:blip>
                    <a:stretch>
                      <a:fillRect/>
                    </a:stretch>
                  </pic:blipFill>
                  <pic:spPr>
                    <a:xfrm>
                      <a:off x="0" y="0"/>
                      <a:ext cx="5099756" cy="2493409"/>
                    </a:xfrm>
                    <a:prstGeom prst="rect">
                      <a:avLst/>
                    </a:prstGeom>
                    <a:ln>
                      <a:solidFill>
                        <a:schemeClr val="tx1"/>
                      </a:solidFill>
                    </a:ln>
                  </pic:spPr>
                </pic:pic>
              </a:graphicData>
            </a:graphic>
          </wp:inline>
        </w:drawing>
      </w:r>
    </w:p>
    <w:p w14:paraId="72F7E21B" w14:textId="37CAB5BD" w:rsidR="00947473" w:rsidRPr="00607ABE" w:rsidRDefault="00947473" w:rsidP="00947473">
      <w:pPr>
        <w:pStyle w:val="FigTitleStyle"/>
        <w:rPr>
          <w:b w:val="0"/>
        </w:rPr>
      </w:pPr>
      <w:bookmarkStart w:id="294" w:name="_Toc382920299"/>
      <w:r w:rsidRPr="00DF60FB">
        <w:t xml:space="preserve">Fig. </w:t>
      </w:r>
      <w:r w:rsidRPr="00DF60FB">
        <w:fldChar w:fldCharType="begin"/>
      </w:r>
      <w:bookmarkStart w:id="295" w:name="_Ref382743913"/>
      <w:bookmarkEnd w:id="295"/>
      <w:r w:rsidRPr="00DF60FB">
        <w:instrText xml:space="preserve"> LISTNUM FIG \l 2 </w:instrText>
      </w:r>
      <w:r w:rsidRPr="00DF60FB">
        <w:fldChar w:fldCharType="end"/>
      </w:r>
      <w:r>
        <w:t xml:space="preserve">.  </w:t>
      </w:r>
      <w:r w:rsidR="00BE4C71">
        <w:t>Coupled Model Hydrodynamic Entrance Region Velocity Profiles</w:t>
      </w:r>
      <w:r w:rsidRPr="0025248B">
        <w:t>.</w:t>
      </w:r>
      <w:bookmarkEnd w:id="294"/>
    </w:p>
    <w:p w14:paraId="7D285206" w14:textId="0670D2A3" w:rsidR="00947473" w:rsidRDefault="007C3527" w:rsidP="00947473">
      <w:pPr>
        <w:pStyle w:val="PictureSytel"/>
      </w:pPr>
      <w:r>
        <w:rPr>
          <w:noProof/>
        </w:rPr>
        <w:drawing>
          <wp:inline distT="0" distB="0" distL="0" distR="0" wp14:anchorId="314D6EBD" wp14:editId="44240EEF">
            <wp:extent cx="5114925" cy="3578808"/>
            <wp:effectExtent l="19050" t="19050" r="9525" b="222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pled_Entrance_Re_Profile.png"/>
                    <pic:cNvPicPr/>
                  </pic:nvPicPr>
                  <pic:blipFill>
                    <a:blip r:embed="rId450">
                      <a:extLst>
                        <a:ext uri="{28A0092B-C50C-407E-A947-70E740481C1C}">
                          <a14:useLocalDpi xmlns:a14="http://schemas.microsoft.com/office/drawing/2010/main" val="0"/>
                        </a:ext>
                      </a:extLst>
                    </a:blip>
                    <a:stretch>
                      <a:fillRect/>
                    </a:stretch>
                  </pic:blipFill>
                  <pic:spPr>
                    <a:xfrm>
                      <a:off x="0" y="0"/>
                      <a:ext cx="5114925" cy="3578808"/>
                    </a:xfrm>
                    <a:prstGeom prst="rect">
                      <a:avLst/>
                    </a:prstGeom>
                    <a:ln>
                      <a:solidFill>
                        <a:schemeClr val="tx1"/>
                      </a:solidFill>
                    </a:ln>
                  </pic:spPr>
                </pic:pic>
              </a:graphicData>
            </a:graphic>
          </wp:inline>
        </w:drawing>
      </w:r>
    </w:p>
    <w:p w14:paraId="1D08287E" w14:textId="57264E39" w:rsidR="007C3527" w:rsidRPr="00607ABE" w:rsidRDefault="007C3527" w:rsidP="007C3527">
      <w:pPr>
        <w:pStyle w:val="FigTitleStyle"/>
        <w:rPr>
          <w:b w:val="0"/>
        </w:rPr>
      </w:pPr>
      <w:bookmarkStart w:id="296" w:name="_Toc382920300"/>
      <w:r w:rsidRPr="00DF60FB">
        <w:t xml:space="preserve">Fig. </w:t>
      </w:r>
      <w:r w:rsidRPr="00DF60FB">
        <w:fldChar w:fldCharType="begin"/>
      </w:r>
      <w:bookmarkStart w:id="297" w:name="_Ref382744498"/>
      <w:bookmarkEnd w:id="297"/>
      <w:r w:rsidRPr="00DF60FB">
        <w:instrText xml:space="preserve"> LISTNUM FIG \l 2 </w:instrText>
      </w:r>
      <w:r w:rsidRPr="00DF60FB">
        <w:fldChar w:fldCharType="end"/>
      </w:r>
      <w:r>
        <w:t>.  Coupled Model Entrance Region Reynolds Number Profile</w:t>
      </w:r>
      <w:r w:rsidRPr="0025248B">
        <w:t>.</w:t>
      </w:r>
      <w:bookmarkEnd w:id="296"/>
    </w:p>
    <w:p w14:paraId="1AA6044F" w14:textId="17C4209F" w:rsidR="007C3527" w:rsidRDefault="00F50BB8" w:rsidP="00F50BB8">
      <w:pPr>
        <w:pStyle w:val="PictureSytel"/>
      </w:pPr>
      <w:r>
        <w:rPr>
          <w:noProof/>
        </w:rPr>
        <w:lastRenderedPageBreak/>
        <w:drawing>
          <wp:inline distT="0" distB="0" distL="0" distR="0" wp14:anchorId="5A244150" wp14:editId="155BA82F">
            <wp:extent cx="5128591" cy="2672238"/>
            <wp:effectExtent l="19050" t="19050" r="15240" b="139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pled_Thermal)Entrance_Region.png"/>
                    <pic:cNvPicPr/>
                  </pic:nvPicPr>
                  <pic:blipFill>
                    <a:blip r:embed="rId451">
                      <a:extLst>
                        <a:ext uri="{28A0092B-C50C-407E-A947-70E740481C1C}">
                          <a14:useLocalDpi xmlns:a14="http://schemas.microsoft.com/office/drawing/2010/main" val="0"/>
                        </a:ext>
                      </a:extLst>
                    </a:blip>
                    <a:stretch>
                      <a:fillRect/>
                    </a:stretch>
                  </pic:blipFill>
                  <pic:spPr>
                    <a:xfrm>
                      <a:off x="0" y="0"/>
                      <a:ext cx="5111544" cy="2663356"/>
                    </a:xfrm>
                    <a:prstGeom prst="rect">
                      <a:avLst/>
                    </a:prstGeom>
                    <a:ln>
                      <a:solidFill>
                        <a:schemeClr val="tx1"/>
                      </a:solidFill>
                    </a:ln>
                  </pic:spPr>
                </pic:pic>
              </a:graphicData>
            </a:graphic>
          </wp:inline>
        </w:drawing>
      </w:r>
    </w:p>
    <w:p w14:paraId="533F9137" w14:textId="7CDF0F2F" w:rsidR="00947473" w:rsidRPr="00B340F3" w:rsidRDefault="00F50BB8" w:rsidP="00B340F3">
      <w:pPr>
        <w:pStyle w:val="FigTitleStyle"/>
        <w:rPr>
          <w:b w:val="0"/>
        </w:rPr>
      </w:pPr>
      <w:bookmarkStart w:id="298" w:name="_Toc382920301"/>
      <w:r w:rsidRPr="00DF60FB">
        <w:t xml:space="preserve">Fig. </w:t>
      </w:r>
      <w:r w:rsidRPr="00DF60FB">
        <w:fldChar w:fldCharType="begin"/>
      </w:r>
      <w:bookmarkStart w:id="299" w:name="_Ref382744922"/>
      <w:bookmarkEnd w:id="299"/>
      <w:r w:rsidRPr="00DF60FB">
        <w:instrText xml:space="preserve"> LISTNUM FIG \l 2 </w:instrText>
      </w:r>
      <w:r w:rsidRPr="00DF60FB">
        <w:fldChar w:fldCharType="end"/>
      </w:r>
      <w:r>
        <w:t>.  Coupled Model Thermal Entrance Region Temperature Profiles</w:t>
      </w:r>
      <w:r w:rsidRPr="0025248B">
        <w:t>.</w:t>
      </w:r>
      <w:bookmarkEnd w:id="298"/>
    </w:p>
    <w:p w14:paraId="58D11C62" w14:textId="5EE0D5DF" w:rsidR="005E43FF" w:rsidRDefault="005E43FF" w:rsidP="00F15F8D">
      <w:r>
        <w:t>Performing a surface integral of heat flux on the leading and trailing edge surfaces shows the total heat flow through each to be less than 1 W.  This is a completely trivial quantity</w:t>
      </w:r>
      <w:r w:rsidR="00095F2F">
        <w:t xml:space="preserve"> with respect to the magnitude of the nuclear heat generation</w:t>
      </w:r>
      <w:r>
        <w:t xml:space="preserve">.  The coupling mechanisms attached to these surfaces can therefore be removed without affecting any noticeable change </w:t>
      </w:r>
      <w:r w:rsidR="00095F2F">
        <w:t>in</w:t>
      </w:r>
      <w:r>
        <w:t xml:space="preserve"> the model’s solution.  With the coupling boundaries dropped, both surfaces—in both domains—are treated as insulated boundaries.  Although a trivial quantity compared to the millions of degrees of freedom in the model, this allows a few hundred unnecessary coupling variables to be removed from the model.  The greatest gain </w:t>
      </w:r>
      <w:r w:rsidR="00095F2F">
        <w:t>is in</w:t>
      </w:r>
      <w:r>
        <w:t xml:space="preserve"> the increased simplicity of the coupling mechanism which is now active only on axial faces.</w:t>
      </w:r>
    </w:p>
    <w:p w14:paraId="58A16605" w14:textId="37441B5E" w:rsidR="00095F2F" w:rsidRDefault="00095F2F" w:rsidP="00095F2F">
      <w:pPr>
        <w:pStyle w:val="Heading2"/>
      </w:pPr>
      <w:r>
        <w:fldChar w:fldCharType="begin"/>
      </w:r>
      <w:r>
        <w:instrText xml:space="preserve"> LISTNUM CHAP \l 2 </w:instrText>
      </w:r>
      <w:bookmarkStart w:id="300" w:name="_Toc382921558"/>
      <w:r>
        <w:fldChar w:fldCharType="end"/>
      </w:r>
      <w:r>
        <w:t xml:space="preserve">    Paneling</w:t>
      </w:r>
      <w:bookmarkEnd w:id="300"/>
    </w:p>
    <w:p w14:paraId="2F0944DE" w14:textId="0F7510C2" w:rsidR="000F186B" w:rsidRDefault="006C3FCE" w:rsidP="00F15F8D">
      <w:r>
        <w:t>The concept of paneling was first tested using a conceptual model.  This model substituted the high-aspect ratio fuel plate with a</w:t>
      </w:r>
      <w:r w:rsidR="000F186B">
        <w:t xml:space="preserve"> simple</w:t>
      </w:r>
      <w:r>
        <w:t xml:space="preserve"> </w:t>
      </w:r>
      <w:r w:rsidR="000F186B">
        <w:t>block</w:t>
      </w:r>
      <w:r>
        <w:t xml:space="preserve">.  A </w:t>
      </w:r>
      <w:r w:rsidR="000F186B">
        <w:t xml:space="preserve">Two opposing faces cut in half and coupled to 2D coolant channel slices.  Heat flow was triggered in the system via a specified midplane temperature profile.  The interactions of the conceptual model are shown in Fig. </w:t>
      </w:r>
      <w:r w:rsidR="000F186B">
        <w:fldChar w:fldCharType="begin"/>
      </w:r>
      <w:r w:rsidR="000F186B">
        <w:instrText xml:space="preserve"> REF _Ref382839527 \r \h </w:instrText>
      </w:r>
      <w:r w:rsidR="000F186B">
        <w:fldChar w:fldCharType="separate"/>
      </w:r>
      <w:r w:rsidR="001C5EC1">
        <w:t>7.17</w:t>
      </w:r>
      <w:r w:rsidR="000F186B">
        <w:fldChar w:fldCharType="end"/>
      </w:r>
      <w:r w:rsidR="000F186B">
        <w:t>.</w:t>
      </w:r>
    </w:p>
    <w:p w14:paraId="5330E9B4" w14:textId="30017906" w:rsidR="000F186B" w:rsidRDefault="000F186B" w:rsidP="000F186B">
      <w:pPr>
        <w:pStyle w:val="PictureSytel"/>
      </w:pPr>
      <w:r>
        <w:rPr>
          <w:noProof/>
        </w:rPr>
        <w:lastRenderedPageBreak/>
        <w:drawing>
          <wp:inline distT="0" distB="0" distL="0" distR="0" wp14:anchorId="438CAFB3" wp14:editId="2A256F48">
            <wp:extent cx="5023082" cy="3676617"/>
            <wp:effectExtent l="19050" t="19050" r="25400" b="1968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ck_Model_Panel_Diagram.png"/>
                    <pic:cNvPicPr/>
                  </pic:nvPicPr>
                  <pic:blipFill>
                    <a:blip r:embed="rId452">
                      <a:extLst>
                        <a:ext uri="{28A0092B-C50C-407E-A947-70E740481C1C}">
                          <a14:useLocalDpi xmlns:a14="http://schemas.microsoft.com/office/drawing/2010/main" val="0"/>
                        </a:ext>
                      </a:extLst>
                    </a:blip>
                    <a:stretch>
                      <a:fillRect/>
                    </a:stretch>
                  </pic:blipFill>
                  <pic:spPr>
                    <a:xfrm>
                      <a:off x="0" y="0"/>
                      <a:ext cx="5025050" cy="3678058"/>
                    </a:xfrm>
                    <a:prstGeom prst="rect">
                      <a:avLst/>
                    </a:prstGeom>
                    <a:ln>
                      <a:solidFill>
                        <a:schemeClr val="tx1"/>
                      </a:solidFill>
                    </a:ln>
                  </pic:spPr>
                </pic:pic>
              </a:graphicData>
            </a:graphic>
          </wp:inline>
        </w:drawing>
      </w:r>
    </w:p>
    <w:p w14:paraId="1509FC34" w14:textId="6B51DA3B" w:rsidR="000F186B" w:rsidRPr="00B340F3" w:rsidRDefault="000F186B" w:rsidP="000F186B">
      <w:pPr>
        <w:pStyle w:val="FigTitleStyle"/>
        <w:rPr>
          <w:b w:val="0"/>
        </w:rPr>
      </w:pPr>
      <w:bookmarkStart w:id="301" w:name="_Toc382920302"/>
      <w:r w:rsidRPr="00DF60FB">
        <w:t xml:space="preserve">Fig. </w:t>
      </w:r>
      <w:r w:rsidRPr="00DF60FB">
        <w:fldChar w:fldCharType="begin"/>
      </w:r>
      <w:bookmarkStart w:id="302" w:name="_Ref382839527"/>
      <w:bookmarkEnd w:id="302"/>
      <w:r w:rsidRPr="00DF60FB">
        <w:instrText xml:space="preserve"> LISTNUM FIG \l 2 </w:instrText>
      </w:r>
      <w:r w:rsidRPr="00DF60FB">
        <w:fldChar w:fldCharType="end"/>
      </w:r>
      <w:r>
        <w:t>.  Conceptual Paneling Model Diagram</w:t>
      </w:r>
      <w:r w:rsidRPr="0025248B">
        <w:t>.</w:t>
      </w:r>
      <w:bookmarkEnd w:id="301"/>
    </w:p>
    <w:p w14:paraId="6EE19367" w14:textId="23A7248A" w:rsidR="00095F2F" w:rsidRDefault="000F186B" w:rsidP="000F186B">
      <w:r>
        <w:t>The model performed exceedingly well, providing validation for the paneling concept.  The bifurcated bulk temperature profile that the model yielded</w:t>
      </w:r>
      <w:r w:rsidR="00886B05">
        <w:t>, as projected onto the panels themselves,</w:t>
      </w:r>
      <w:r>
        <w:t xml:space="preserve"> is shown in Fig. </w:t>
      </w:r>
      <w:r w:rsidR="00886B05">
        <w:fldChar w:fldCharType="begin"/>
      </w:r>
      <w:r w:rsidR="00886B05">
        <w:instrText xml:space="preserve"> REF _Ref382839705 \r \h </w:instrText>
      </w:r>
      <w:r w:rsidR="00886B05">
        <w:fldChar w:fldCharType="separate"/>
      </w:r>
      <w:r w:rsidR="001C5EC1">
        <w:t>7.18</w:t>
      </w:r>
      <w:r w:rsidR="00886B05">
        <w:fldChar w:fldCharType="end"/>
      </w:r>
      <w:r>
        <w:t>.</w:t>
      </w:r>
      <w:r w:rsidR="00654AB4">
        <w:t xml:space="preserve">  The gain of the model was that instead of imposing a single bulk temperature across the span of the heated body, a two-part discontinuous temperature profile could be imposed.  Despite the discontinuity in the bulk temperature profile the conceptual model produced a smooth surface temperature, as shown in Fig. </w:t>
      </w:r>
      <w:r w:rsidR="004421EE">
        <w:fldChar w:fldCharType="begin"/>
      </w:r>
      <w:r w:rsidR="004421EE">
        <w:instrText xml:space="preserve"> REF _Ref382840157 \r \h </w:instrText>
      </w:r>
      <w:r w:rsidR="004421EE">
        <w:fldChar w:fldCharType="separate"/>
      </w:r>
      <w:r w:rsidR="001C5EC1">
        <w:t>7.19</w:t>
      </w:r>
      <w:r w:rsidR="004421EE">
        <w:fldChar w:fldCharType="end"/>
      </w:r>
      <w:r w:rsidR="00654AB4">
        <w:t xml:space="preserve">.  The imposed midplane temperature profile is </w:t>
      </w:r>
      <w:r w:rsidR="00A54378">
        <w:t>included</w:t>
      </w:r>
      <w:r w:rsidR="00654AB4">
        <w:t xml:space="preserve"> for reference.</w:t>
      </w:r>
    </w:p>
    <w:p w14:paraId="732FDCA4" w14:textId="001F5E0D" w:rsidR="000F186B" w:rsidRDefault="00BD26E1" w:rsidP="000F186B">
      <w:pPr>
        <w:pStyle w:val="PictureSytel"/>
      </w:pPr>
      <w:r>
        <w:rPr>
          <w:noProof/>
        </w:rPr>
        <w:lastRenderedPageBreak/>
        <w:drawing>
          <wp:inline distT="0" distB="0" distL="0" distR="0" wp14:anchorId="4E67CC93" wp14:editId="4160BE00">
            <wp:extent cx="4952357" cy="2472801"/>
            <wp:effectExtent l="19050" t="19050" r="20320" b="2286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ck Paneled Bulk Ts.png"/>
                    <pic:cNvPicPr/>
                  </pic:nvPicPr>
                  <pic:blipFill rotWithShape="1">
                    <a:blip r:embed="rId453">
                      <a:extLst>
                        <a:ext uri="{28A0092B-C50C-407E-A947-70E740481C1C}">
                          <a14:useLocalDpi xmlns:a14="http://schemas.microsoft.com/office/drawing/2010/main" val="0"/>
                        </a:ext>
                      </a:extLst>
                    </a:blip>
                    <a:srcRect l="-48926" r="-50345"/>
                    <a:stretch/>
                  </pic:blipFill>
                  <pic:spPr bwMode="auto">
                    <a:xfrm>
                      <a:off x="0" y="0"/>
                      <a:ext cx="4942730" cy="246799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47E3577" w14:textId="7EFF9BFD" w:rsidR="000F186B" w:rsidRPr="00B340F3" w:rsidRDefault="000F186B" w:rsidP="000F186B">
      <w:pPr>
        <w:pStyle w:val="FigTitleStyle"/>
        <w:rPr>
          <w:b w:val="0"/>
        </w:rPr>
      </w:pPr>
      <w:bookmarkStart w:id="303" w:name="_Toc382920303"/>
      <w:r w:rsidRPr="00DF60FB">
        <w:t xml:space="preserve">Fig. </w:t>
      </w:r>
      <w:r w:rsidRPr="00DF60FB">
        <w:fldChar w:fldCharType="begin"/>
      </w:r>
      <w:bookmarkStart w:id="304" w:name="_Ref382839705"/>
      <w:bookmarkEnd w:id="304"/>
      <w:r w:rsidRPr="00DF60FB">
        <w:instrText xml:space="preserve"> LISTNUM FIG \l 2 </w:instrText>
      </w:r>
      <w:r w:rsidRPr="00DF60FB">
        <w:fldChar w:fldCharType="end"/>
      </w:r>
      <w:r>
        <w:t>.  Conceptual Paneling Model Bulk Temperature Projections</w:t>
      </w:r>
      <w:r w:rsidRPr="0025248B">
        <w:t>.</w:t>
      </w:r>
      <w:bookmarkEnd w:id="303"/>
    </w:p>
    <w:p w14:paraId="6A6B0F8E" w14:textId="4ABB6C50" w:rsidR="000F186B" w:rsidRDefault="004421EE" w:rsidP="00654AB4">
      <w:pPr>
        <w:pStyle w:val="PictureSytel"/>
      </w:pPr>
      <w:r>
        <w:rPr>
          <w:noProof/>
        </w:rPr>
        <w:drawing>
          <wp:inline distT="0" distB="0" distL="0" distR="0" wp14:anchorId="133703D8" wp14:editId="061650B0">
            <wp:extent cx="4985468" cy="2879427"/>
            <wp:effectExtent l="19050" t="19050" r="24765" b="1651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ck Midplane and Surface T.png"/>
                    <pic:cNvPicPr/>
                  </pic:nvPicPr>
                  <pic:blipFill>
                    <a:blip r:embed="rId454">
                      <a:extLst>
                        <a:ext uri="{28A0092B-C50C-407E-A947-70E740481C1C}">
                          <a14:useLocalDpi xmlns:a14="http://schemas.microsoft.com/office/drawing/2010/main" val="0"/>
                        </a:ext>
                      </a:extLst>
                    </a:blip>
                    <a:stretch>
                      <a:fillRect/>
                    </a:stretch>
                  </pic:blipFill>
                  <pic:spPr>
                    <a:xfrm>
                      <a:off x="0" y="0"/>
                      <a:ext cx="4982100" cy="2877482"/>
                    </a:xfrm>
                    <a:prstGeom prst="rect">
                      <a:avLst/>
                    </a:prstGeom>
                    <a:ln>
                      <a:solidFill>
                        <a:schemeClr val="tx1"/>
                      </a:solidFill>
                    </a:ln>
                  </pic:spPr>
                </pic:pic>
              </a:graphicData>
            </a:graphic>
          </wp:inline>
        </w:drawing>
      </w:r>
    </w:p>
    <w:p w14:paraId="6F021A58" w14:textId="3A416F67" w:rsidR="00654AB4" w:rsidRPr="00B340F3" w:rsidRDefault="00654AB4" w:rsidP="00654AB4">
      <w:pPr>
        <w:pStyle w:val="FigTitleStyle"/>
        <w:rPr>
          <w:b w:val="0"/>
        </w:rPr>
      </w:pPr>
      <w:bookmarkStart w:id="305" w:name="_Toc382920304"/>
      <w:r w:rsidRPr="00DF60FB">
        <w:t xml:space="preserve">Fig. </w:t>
      </w:r>
      <w:r w:rsidRPr="00DF60FB">
        <w:fldChar w:fldCharType="begin"/>
      </w:r>
      <w:bookmarkStart w:id="306" w:name="_Ref382840157"/>
      <w:bookmarkEnd w:id="306"/>
      <w:r w:rsidRPr="00DF60FB">
        <w:instrText xml:space="preserve"> LISTNUM FIG \l 2 </w:instrText>
      </w:r>
      <w:r w:rsidRPr="00DF60FB">
        <w:fldChar w:fldCharType="end"/>
      </w:r>
      <w:r>
        <w:t>.  Conceptual Paneling Model Surface and Midplane Temperature Profiles</w:t>
      </w:r>
      <w:r w:rsidRPr="0025248B">
        <w:t>.</w:t>
      </w:r>
      <w:r w:rsidR="0006393F">
        <w:t xml:space="preserve">  </w:t>
      </w:r>
      <w:r w:rsidR="0006393F">
        <w:rPr>
          <w:b w:val="0"/>
        </w:rPr>
        <w:t>Temperature profiles are not on the same color scale.  They are merely intended to provide a qualitative comparison.</w:t>
      </w:r>
      <w:bookmarkEnd w:id="305"/>
    </w:p>
    <w:p w14:paraId="4A1C1486" w14:textId="218B0425" w:rsidR="00654AB4" w:rsidRDefault="00882464" w:rsidP="00882464">
      <w:r>
        <w:t xml:space="preserve">The paneling concept failed to transition successfully to the coupled model.  The issue arises from the high aspect ratio of the fuel plate.  The coolant creates a path of least resistance, so to speak, for heat flowing out of the fuel meat.  Given the extremely short distance between the two, compared to both the length and the span of the fuel plate, heat flow occurs almost exclusively in the </w:t>
      </w:r>
      <w:r>
        <w:rPr>
          <w:i/>
        </w:rPr>
        <w:t>t</w:t>
      </w:r>
      <w:r>
        <w:t xml:space="preserve">-direction, parallel to the </w:t>
      </w:r>
      <w:r>
        <w:lastRenderedPageBreak/>
        <w:t xml:space="preserve">normal of the fuel plate’s surface.  Any diffusion occurring within the fuel plate in the </w:t>
      </w:r>
      <w:r>
        <w:rPr>
          <w:i/>
        </w:rPr>
        <w:t>s</w:t>
      </w:r>
      <w:r>
        <w:t xml:space="preserve">- or </w:t>
      </w:r>
      <w:r>
        <w:rPr>
          <w:i/>
        </w:rPr>
        <w:t>z</w:t>
      </w:r>
      <w:r>
        <w:t xml:space="preserve">-directions is miniscule in comparison.  As a result, the surface temperature profile that this yields contains an artifact of the bifurcated bulk temperature profile.  This surface temperature profile is shown in Fig. </w:t>
      </w:r>
      <w:r w:rsidR="00904F9A">
        <w:fldChar w:fldCharType="begin"/>
      </w:r>
      <w:r w:rsidR="00904F9A">
        <w:instrText xml:space="preserve"> REF _Ref382840951 \r \h </w:instrText>
      </w:r>
      <w:r w:rsidR="00904F9A">
        <w:fldChar w:fldCharType="separate"/>
      </w:r>
      <w:r w:rsidR="001C5EC1">
        <w:t>7.20</w:t>
      </w:r>
      <w:r w:rsidR="00904F9A">
        <w:fldChar w:fldCharType="end"/>
      </w:r>
      <w:r>
        <w:t>.</w:t>
      </w:r>
      <w:r w:rsidR="00B70BB5">
        <w:t xml:space="preserve">  There is a “kink” visible running down the axial midline of the temperature profile.  It is likely that with an increasing number of panels the severity of the kinks between each would </w:t>
      </w:r>
      <w:r w:rsidR="00F71FCA">
        <w:t>decrease.  Eventually they would decrease to the point that they became trivial.  T</w:t>
      </w:r>
      <w:r w:rsidR="00B70BB5">
        <w:t>he requisite number of panels would likely over-encumber the model</w:t>
      </w:r>
      <w:r w:rsidR="00F71FCA">
        <w:t>, however,</w:t>
      </w:r>
      <w:r w:rsidR="00B70BB5">
        <w:t xml:space="preserve"> and negate the benefit of its lowered computational expense.  As such, the paneling concept was not pursued further, it being deemed incompatible with the fuel plate geometry.</w:t>
      </w:r>
    </w:p>
    <w:p w14:paraId="0AF62A8F" w14:textId="2467CCFD" w:rsidR="00882464" w:rsidRDefault="00904F9A" w:rsidP="00882464">
      <w:pPr>
        <w:pStyle w:val="PictureSytel"/>
      </w:pPr>
      <w:r>
        <w:rPr>
          <w:noProof/>
        </w:rPr>
        <w:drawing>
          <wp:inline distT="0" distB="0" distL="0" distR="0" wp14:anchorId="3D2FC0CE" wp14:editId="1DBFFE9C">
            <wp:extent cx="4965956" cy="953400"/>
            <wp:effectExtent l="19050" t="19050" r="25400" b="1841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pled_Paneled_T_Surf.png"/>
                    <pic:cNvPicPr/>
                  </pic:nvPicPr>
                  <pic:blipFill>
                    <a:blip r:embed="rId455">
                      <a:extLst>
                        <a:ext uri="{28A0092B-C50C-407E-A947-70E740481C1C}">
                          <a14:useLocalDpi xmlns:a14="http://schemas.microsoft.com/office/drawing/2010/main" val="0"/>
                        </a:ext>
                      </a:extLst>
                    </a:blip>
                    <a:stretch>
                      <a:fillRect/>
                    </a:stretch>
                  </pic:blipFill>
                  <pic:spPr>
                    <a:xfrm>
                      <a:off x="0" y="0"/>
                      <a:ext cx="4965913" cy="953392"/>
                    </a:xfrm>
                    <a:prstGeom prst="rect">
                      <a:avLst/>
                    </a:prstGeom>
                    <a:ln>
                      <a:solidFill>
                        <a:schemeClr val="tx1"/>
                      </a:solidFill>
                    </a:ln>
                  </pic:spPr>
                </pic:pic>
              </a:graphicData>
            </a:graphic>
          </wp:inline>
        </w:drawing>
      </w:r>
    </w:p>
    <w:p w14:paraId="117F76AC" w14:textId="059C0D33" w:rsidR="00882464" w:rsidRDefault="00882464" w:rsidP="00882464">
      <w:pPr>
        <w:pStyle w:val="FigTitleStyle"/>
      </w:pPr>
      <w:bookmarkStart w:id="307" w:name="_Toc382920305"/>
      <w:r w:rsidRPr="00DF60FB">
        <w:t xml:space="preserve">Fig. </w:t>
      </w:r>
      <w:r w:rsidRPr="00DF60FB">
        <w:fldChar w:fldCharType="begin"/>
      </w:r>
      <w:bookmarkStart w:id="308" w:name="_Ref382840951"/>
      <w:bookmarkEnd w:id="308"/>
      <w:r w:rsidRPr="00DF60FB">
        <w:instrText xml:space="preserve"> LISTNUM FIG \l 2 </w:instrText>
      </w:r>
      <w:r w:rsidRPr="00DF60FB">
        <w:fldChar w:fldCharType="end"/>
      </w:r>
      <w:r>
        <w:t>.  Coupled Paneled Model Concave Fuel Plate Surface Temperature Profile</w:t>
      </w:r>
      <w:r w:rsidRPr="0025248B">
        <w:t>.</w:t>
      </w:r>
      <w:bookmarkEnd w:id="307"/>
      <w:r>
        <w:t xml:space="preserve">  </w:t>
      </w:r>
    </w:p>
    <w:p w14:paraId="199014AA" w14:textId="2AF76D36" w:rsidR="00D569D5" w:rsidRDefault="00D569D5" w:rsidP="00D569D5">
      <w:pPr>
        <w:pStyle w:val="Heading2"/>
      </w:pPr>
      <w:r>
        <w:fldChar w:fldCharType="begin"/>
      </w:r>
      <w:r>
        <w:instrText xml:space="preserve"> LISTNUM CHAP \l 2 </w:instrText>
      </w:r>
      <w:bookmarkStart w:id="309" w:name="_Toc382921559"/>
      <w:r>
        <w:fldChar w:fldCharType="end"/>
      </w:r>
      <w:r>
        <w:t xml:space="preserve">    Model Comparisons</w:t>
      </w:r>
      <w:bookmarkEnd w:id="309"/>
    </w:p>
    <w:p w14:paraId="3A3ABF0E" w14:textId="77777777" w:rsidR="008A57CB" w:rsidRDefault="00E71A61" w:rsidP="0086002D">
      <w:r>
        <w:t xml:space="preserve">Solution comparisons in the fuel plate are relatively straightforward given that the geometry </w:t>
      </w:r>
      <w:r w:rsidR="00F80B81">
        <w:t>itself is identical in both models.</w:t>
      </w:r>
      <w:r w:rsidR="0086002D">
        <w:t xml:space="preserve">  </w:t>
      </w:r>
      <w:r w:rsidR="00AF6117">
        <w:t xml:space="preserve">Coolant channel comparison are more difficult due to the dimensional disparity between the two models.  </w:t>
      </w:r>
      <w:r w:rsidR="00704C4F">
        <w:t xml:space="preserve">While </w:t>
      </w:r>
      <w:r w:rsidR="0086002D">
        <w:t>comparing profiles of surface variables</w:t>
      </w:r>
      <w:r w:rsidR="00704C4F">
        <w:t xml:space="preserve"> provide</w:t>
      </w:r>
      <w:r w:rsidR="0086002D">
        <w:t>s</w:t>
      </w:r>
      <w:r w:rsidR="00704C4F">
        <w:t xml:space="preserve"> the most information about the state of a given solutio</w:t>
      </w:r>
      <w:r w:rsidR="005D1936">
        <w:t xml:space="preserve">n, </w:t>
      </w:r>
      <w:r w:rsidR="00D27465">
        <w:t>it is</w:t>
      </w:r>
      <w:r w:rsidR="005D1936">
        <w:t xml:space="preserve"> less useful for quantifying differences between solutions.</w:t>
      </w:r>
      <w:r w:rsidR="00EC1A64">
        <w:t xml:space="preserve">  Consider, for example,</w:t>
      </w:r>
      <w:r w:rsidR="00DF7BED">
        <w:t xml:space="preserve"> Fig. </w:t>
      </w:r>
      <w:r w:rsidR="00DF7BED">
        <w:fldChar w:fldCharType="begin"/>
      </w:r>
      <w:r w:rsidR="00DF7BED">
        <w:instrText xml:space="preserve"> REF _Ref382577372 \r \h </w:instrText>
      </w:r>
      <w:r w:rsidR="00DF7BED">
        <w:fldChar w:fldCharType="separate"/>
      </w:r>
      <w:r w:rsidR="001C5EC1">
        <w:t>7.21</w:t>
      </w:r>
      <w:r w:rsidR="00DF7BED">
        <w:fldChar w:fldCharType="end"/>
      </w:r>
      <w:r w:rsidR="0086002D">
        <w:t xml:space="preserve"> in which the temperature profile on the concave surface of</w:t>
      </w:r>
      <w:r w:rsidR="008A57CB">
        <w:t xml:space="preserve"> the fuel meat in</w:t>
      </w:r>
      <w:r w:rsidR="0086002D">
        <w:t xml:space="preserve"> each model is shown.</w:t>
      </w:r>
      <w:r w:rsidR="00DF7BED">
        <w:t xml:space="preserve">  The surface profile comparison readily conveys the similarity in solution between the two models</w:t>
      </w:r>
      <w:r w:rsidR="00EC1A64">
        <w:t>, showing similarly topographies and corresponding hot and cold patches</w:t>
      </w:r>
      <w:r w:rsidR="00DF7BED">
        <w:t>.</w:t>
      </w:r>
      <w:r w:rsidR="008A57CB">
        <w:t xml:space="preserve">  It does provide a clear understanding of the difference in magnitude between the solutions at any given point, however.</w:t>
      </w:r>
      <w:r w:rsidR="00DF7BED">
        <w:t xml:space="preserve">  </w:t>
      </w:r>
    </w:p>
    <w:p w14:paraId="693D8D8C" w14:textId="3056C1C5" w:rsidR="0086002D" w:rsidRDefault="008A57CB" w:rsidP="0086002D">
      <w:r>
        <w:t>For this purpose, consider the</w:t>
      </w:r>
      <w:r w:rsidR="00EC1A64">
        <w:t xml:space="preserve"> 1D temperature data from</w:t>
      </w:r>
      <w:r w:rsidR="00D27465">
        <w:t xml:space="preserve"> </w:t>
      </w:r>
      <w:r w:rsidR="00451078">
        <w:t>Axial L</w:t>
      </w:r>
      <w:r w:rsidR="00D27465">
        <w:t>ine</w:t>
      </w:r>
      <w:r w:rsidR="00EC1A64">
        <w:t>s 1 and 2</w:t>
      </w:r>
      <w:r w:rsidR="001F32DE">
        <w:t xml:space="preserve"> </w:t>
      </w:r>
      <w:r>
        <w:t>plotted</w:t>
      </w:r>
      <w:r w:rsidR="001F32DE">
        <w:t xml:space="preserve"> in Fig. </w:t>
      </w:r>
      <w:r w:rsidR="001F32DE">
        <w:fldChar w:fldCharType="begin"/>
      </w:r>
      <w:r w:rsidR="001F32DE">
        <w:instrText xml:space="preserve"> REF _Ref382577512 \r \h </w:instrText>
      </w:r>
      <w:r w:rsidR="001F32DE">
        <w:fldChar w:fldCharType="separate"/>
      </w:r>
      <w:r w:rsidR="001C5EC1">
        <w:t>7.22</w:t>
      </w:r>
      <w:r w:rsidR="001F32DE">
        <w:fldChar w:fldCharType="end"/>
      </w:r>
      <w:r w:rsidR="00EC1A64">
        <w:t>.</w:t>
      </w:r>
      <w:r w:rsidR="006949B3">
        <w:t xml:space="preserve"> </w:t>
      </w:r>
      <w:r w:rsidR="00451078">
        <w:t xml:space="preserve"> Axial L</w:t>
      </w:r>
      <w:r w:rsidR="006949B3">
        <w:t>ines 1 and 2 were placed such that they ran through sections of relatively high and low temperature, respectively.  As was expected for the coupled model, in areas of higher temperature</w:t>
      </w:r>
      <w:r w:rsidR="00451078">
        <w:t>, Axial Line 1,</w:t>
      </w:r>
      <w:r w:rsidR="006949B3">
        <w:t xml:space="preserve"> the </w:t>
      </w:r>
      <w:r w:rsidR="00451078">
        <w:t>difference in observed temperatures between models is greatest</w:t>
      </w:r>
      <w:r w:rsidR="006949B3">
        <w:t xml:space="preserve">.  In areas of mid to lower temperature, </w:t>
      </w:r>
      <w:r w:rsidR="00451078">
        <w:t xml:space="preserve">Axial Line 2, </w:t>
      </w:r>
      <w:r w:rsidR="006949B3">
        <w:t xml:space="preserve">the observed temperatures </w:t>
      </w:r>
      <w:r w:rsidR="00451078">
        <w:t xml:space="preserve">are in </w:t>
      </w:r>
      <w:r w:rsidR="00C12FCD">
        <w:t xml:space="preserve">much </w:t>
      </w:r>
      <w:r w:rsidR="00451078">
        <w:t>closer agreement.</w:t>
      </w:r>
      <w:r w:rsidR="00C12FCD">
        <w:t xml:space="preserve">  This is a combination of the smoothing effect of the bulk coolant slice</w:t>
      </w:r>
      <w:r>
        <w:t xml:space="preserve"> used</w:t>
      </w:r>
      <w:r w:rsidR="00C12FCD">
        <w:t xml:space="preserve"> in the coupled model which affects </w:t>
      </w:r>
      <w:r w:rsidR="00C12FCD">
        <w:lastRenderedPageBreak/>
        <w:t xml:space="preserve">local </w:t>
      </w:r>
      <w:r>
        <w:t>minima and maxima as well as</w:t>
      </w:r>
      <w:r w:rsidR="00C12FCD">
        <w:t xml:space="preserve"> the </w:t>
      </w:r>
      <w:r w:rsidR="005D4A77">
        <w:t>sacrifice to accuracy made for the sake of</w:t>
      </w:r>
      <w:r w:rsidR="00C12FCD">
        <w:t xml:space="preserve"> computational cost </w:t>
      </w:r>
      <w:r w:rsidR="005D4A77">
        <w:t xml:space="preserve">associated </w:t>
      </w:r>
      <w:r w:rsidR="00C12FCD">
        <w:t xml:space="preserve">with the </w:t>
      </w:r>
      <w:r w:rsidR="005D4A77">
        <w:t xml:space="preserve">final </w:t>
      </w:r>
      <w:r w:rsidR="00C12FCD">
        <w:t>coupled model which lowers the temperature of the entire model by a few Kelvin.</w:t>
      </w:r>
    </w:p>
    <w:p w14:paraId="6A14EA18" w14:textId="03CE4FE8" w:rsidR="0086002D" w:rsidRDefault="00750C70" w:rsidP="00DF7BED">
      <w:pPr>
        <w:pStyle w:val="PictureSytel"/>
      </w:pPr>
      <w:r>
        <w:rPr>
          <w:noProof/>
        </w:rPr>
        <w:drawing>
          <wp:inline distT="0" distB="0" distL="0" distR="0" wp14:anchorId="1CDC382C" wp14:editId="78813C59">
            <wp:extent cx="4953663" cy="2219621"/>
            <wp:effectExtent l="19050" t="19050" r="18415" b="285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_concave_fuel_meat_T.png"/>
                    <pic:cNvPicPr/>
                  </pic:nvPicPr>
                  <pic:blipFill>
                    <a:blip r:embed="rId456">
                      <a:extLst>
                        <a:ext uri="{28A0092B-C50C-407E-A947-70E740481C1C}">
                          <a14:useLocalDpi xmlns:a14="http://schemas.microsoft.com/office/drawing/2010/main" val="0"/>
                        </a:ext>
                      </a:extLst>
                    </a:blip>
                    <a:stretch>
                      <a:fillRect/>
                    </a:stretch>
                  </pic:blipFill>
                  <pic:spPr>
                    <a:xfrm>
                      <a:off x="0" y="0"/>
                      <a:ext cx="4950020" cy="2217989"/>
                    </a:xfrm>
                    <a:prstGeom prst="rect">
                      <a:avLst/>
                    </a:prstGeom>
                    <a:ln>
                      <a:solidFill>
                        <a:schemeClr val="tx1"/>
                      </a:solidFill>
                    </a:ln>
                  </pic:spPr>
                </pic:pic>
              </a:graphicData>
            </a:graphic>
          </wp:inline>
        </w:drawing>
      </w:r>
    </w:p>
    <w:p w14:paraId="03885A2D" w14:textId="46383C1F" w:rsidR="00DF7BED" w:rsidRDefault="00DF7BED" w:rsidP="00DF7BED">
      <w:pPr>
        <w:pStyle w:val="FigTitleStyle"/>
      </w:pPr>
      <w:bookmarkStart w:id="310" w:name="_Toc382920306"/>
      <w:r w:rsidRPr="00DF60FB">
        <w:t xml:space="preserve">Fig. </w:t>
      </w:r>
      <w:r w:rsidRPr="00DF60FB">
        <w:fldChar w:fldCharType="begin"/>
      </w:r>
      <w:bookmarkStart w:id="311" w:name="_Ref382577372"/>
      <w:bookmarkEnd w:id="311"/>
      <w:r w:rsidRPr="00DF60FB">
        <w:instrText xml:space="preserve"> LISTNUM FIG \l 2 </w:instrText>
      </w:r>
      <w:r w:rsidRPr="00DF60FB">
        <w:fldChar w:fldCharType="end"/>
      </w:r>
      <w:r>
        <w:t xml:space="preserve">.  </w:t>
      </w:r>
      <w:r w:rsidRPr="00750C70">
        <w:t>Fue</w:t>
      </w:r>
      <w:r w:rsidR="00E62854" w:rsidRPr="00750C70">
        <w:t>l Meat</w:t>
      </w:r>
      <w:r w:rsidRPr="00750C70">
        <w:t xml:space="preserve"> Concave Surface Temperature Profile Comparison.</w:t>
      </w:r>
      <w:bookmarkEnd w:id="310"/>
      <w:r>
        <w:rPr>
          <w:b w:val="0"/>
        </w:rPr>
        <w:t xml:space="preserve">  </w:t>
      </w:r>
    </w:p>
    <w:p w14:paraId="4316C986" w14:textId="2CEA1A20" w:rsidR="0086002D" w:rsidRDefault="006C3D83" w:rsidP="00412063">
      <w:pPr>
        <w:pStyle w:val="PictureSytel"/>
      </w:pPr>
      <w:r>
        <w:rPr>
          <w:noProof/>
        </w:rPr>
        <w:drawing>
          <wp:inline distT="0" distB="0" distL="0" distR="0" wp14:anchorId="2BF90DCD" wp14:editId="34D962A0">
            <wp:extent cx="4985468" cy="3042413"/>
            <wp:effectExtent l="19050" t="19050" r="24765" b="2476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_Concave_Fuel_Meat_z_Cut_Line.png"/>
                    <pic:cNvPicPr/>
                  </pic:nvPicPr>
                  <pic:blipFill>
                    <a:blip r:embed="rId457">
                      <a:extLst>
                        <a:ext uri="{28A0092B-C50C-407E-A947-70E740481C1C}">
                          <a14:useLocalDpi xmlns:a14="http://schemas.microsoft.com/office/drawing/2010/main" val="0"/>
                        </a:ext>
                      </a:extLst>
                    </a:blip>
                    <a:stretch>
                      <a:fillRect/>
                    </a:stretch>
                  </pic:blipFill>
                  <pic:spPr>
                    <a:xfrm>
                      <a:off x="0" y="0"/>
                      <a:ext cx="4989013" cy="3044577"/>
                    </a:xfrm>
                    <a:prstGeom prst="rect">
                      <a:avLst/>
                    </a:prstGeom>
                    <a:ln>
                      <a:solidFill>
                        <a:schemeClr val="tx1"/>
                      </a:solidFill>
                    </a:ln>
                  </pic:spPr>
                </pic:pic>
              </a:graphicData>
            </a:graphic>
          </wp:inline>
        </w:drawing>
      </w:r>
    </w:p>
    <w:p w14:paraId="6650F2D0" w14:textId="178304A9" w:rsidR="00412063" w:rsidRDefault="00412063" w:rsidP="00412063">
      <w:pPr>
        <w:pStyle w:val="FigTitleStyle"/>
      </w:pPr>
      <w:bookmarkStart w:id="312" w:name="_Toc382920307"/>
      <w:r w:rsidRPr="00DF60FB">
        <w:t xml:space="preserve">Fig. </w:t>
      </w:r>
      <w:r w:rsidRPr="00DF60FB">
        <w:fldChar w:fldCharType="begin"/>
      </w:r>
      <w:bookmarkStart w:id="313" w:name="_Ref382577512"/>
      <w:bookmarkEnd w:id="313"/>
      <w:r w:rsidRPr="00DF60FB">
        <w:instrText xml:space="preserve"> LISTNUM FIG \l 2 </w:instrText>
      </w:r>
      <w:r w:rsidRPr="00DF60FB">
        <w:fldChar w:fldCharType="end"/>
      </w:r>
      <w:r>
        <w:t xml:space="preserve">.  </w:t>
      </w:r>
      <w:r w:rsidR="00E62854" w:rsidRPr="006C3D83">
        <w:t>Fuel Meat</w:t>
      </w:r>
      <w:r w:rsidR="00CA48AF" w:rsidRPr="006C3D83">
        <w:t xml:space="preserve"> Concave Surface</w:t>
      </w:r>
      <w:r w:rsidR="00E62854" w:rsidRPr="006C3D83">
        <w:t xml:space="preserve"> </w:t>
      </w:r>
      <w:r w:rsidR="007F2431">
        <w:t>Axial</w:t>
      </w:r>
      <w:r w:rsidR="00E62854" w:rsidRPr="006C3D83">
        <w:t xml:space="preserve"> 1D</w:t>
      </w:r>
      <w:r w:rsidR="00CA48AF" w:rsidRPr="006C3D83">
        <w:t xml:space="preserve"> </w:t>
      </w:r>
      <w:r w:rsidR="00E62854" w:rsidRPr="006C3D83">
        <w:t>T</w:t>
      </w:r>
      <w:r w:rsidR="004804E4" w:rsidRPr="006C3D83">
        <w:t>emperature</w:t>
      </w:r>
      <w:r w:rsidR="00E62854" w:rsidRPr="006C3D83">
        <w:t xml:space="preserve"> Profiles</w:t>
      </w:r>
      <w:r w:rsidRPr="006C3D83">
        <w:t>.</w:t>
      </w:r>
      <w:bookmarkEnd w:id="312"/>
    </w:p>
    <w:p w14:paraId="398773DB" w14:textId="35CEED71" w:rsidR="00412063" w:rsidRDefault="005C19D5" w:rsidP="005C19D5">
      <w:r>
        <w:lastRenderedPageBreak/>
        <w:t xml:space="preserve">The </w:t>
      </w:r>
      <w:r w:rsidR="006949B3">
        <w:t>1D temperature</w:t>
      </w:r>
      <w:r>
        <w:t xml:space="preserve"> comparison </w:t>
      </w:r>
      <w:r w:rsidR="006949B3">
        <w:t>does a much better job of quantifying the difference between the two solutions than the 2D comparison</w:t>
      </w:r>
      <w:r w:rsidR="00AA4F07">
        <w:t xml:space="preserve"> does</w:t>
      </w:r>
      <w:r>
        <w:t>.  The trade off</w:t>
      </w:r>
      <w:r w:rsidR="006949B3">
        <w:t xml:space="preserve"> with the 1D</w:t>
      </w:r>
      <w:r w:rsidR="00AA4F07">
        <w:t xml:space="preserve"> comparison</w:t>
      </w:r>
      <w:r w:rsidR="00CA48AF">
        <w:t xml:space="preserve"> is that it</w:t>
      </w:r>
      <w:r>
        <w:t xml:space="preserve"> conveys much less information t</w:t>
      </w:r>
      <w:r w:rsidR="00CA48AF">
        <w:t>han the surface</w:t>
      </w:r>
      <w:r w:rsidR="006949B3">
        <w:t xml:space="preserve"> comparison</w:t>
      </w:r>
      <w:r w:rsidR="00CA48AF">
        <w:t xml:space="preserve">, the former having one </w:t>
      </w:r>
      <w:r w:rsidR="006949B3">
        <w:t>less</w:t>
      </w:r>
      <w:r w:rsidR="00CA48AF">
        <w:t xml:space="preserve"> dimension</w:t>
      </w:r>
      <w:r>
        <w:t xml:space="preserve"> than the latter.</w:t>
      </w:r>
      <w:r w:rsidR="00414482">
        <w:t xml:space="preserve">  For this reason, model comparisons</w:t>
      </w:r>
      <w:r w:rsidR="00CA48AF">
        <w:t>, where appropriate,</w:t>
      </w:r>
      <w:r w:rsidR="00414482">
        <w:t xml:space="preserve"> will be presented in two parts</w:t>
      </w:r>
      <w:r w:rsidR="00CA48AF">
        <w:t>:  one part</w:t>
      </w:r>
      <w:r w:rsidR="00414482">
        <w:t xml:space="preserve"> to provide a quali</w:t>
      </w:r>
      <w:r w:rsidR="00CA48AF">
        <w:t xml:space="preserve">tative comparison </w:t>
      </w:r>
      <w:r w:rsidR="00DA52EE">
        <w:t xml:space="preserve">between models </w:t>
      </w:r>
      <w:r w:rsidR="00CA48AF">
        <w:t>and another</w:t>
      </w:r>
      <w:r w:rsidR="00414482">
        <w:t xml:space="preserve"> to quantify </w:t>
      </w:r>
      <w:r w:rsidR="00CA48AF">
        <w:t>the difference</w:t>
      </w:r>
      <w:r w:rsidR="00414482">
        <w:t xml:space="preserve"> between them.</w:t>
      </w:r>
    </w:p>
    <w:p w14:paraId="07F34341" w14:textId="06176F32" w:rsidR="006949B3" w:rsidRDefault="006B6D86" w:rsidP="00D569D5">
      <w:r>
        <w:t>The same</w:t>
      </w:r>
      <w:r w:rsidR="001F32DE">
        <w:t xml:space="preserve"> quantitative comparison can be made in the spanwise direction using temperature data from </w:t>
      </w:r>
      <w:r w:rsidR="00BB5BAB">
        <w:t>Spanwise Lines 1 and 2</w:t>
      </w:r>
      <w:r w:rsidR="001F32DE">
        <w:t xml:space="preserve">, as shown in Fig. </w:t>
      </w:r>
      <w:r w:rsidR="001F32DE">
        <w:fldChar w:fldCharType="begin"/>
      </w:r>
      <w:r w:rsidR="001F32DE">
        <w:instrText xml:space="preserve"> REF _Ref382746606 \r \h </w:instrText>
      </w:r>
      <w:r w:rsidR="001F32DE">
        <w:fldChar w:fldCharType="separate"/>
      </w:r>
      <w:r w:rsidR="001C5EC1">
        <w:t>7.23</w:t>
      </w:r>
      <w:r w:rsidR="001F32DE">
        <w:fldChar w:fldCharType="end"/>
      </w:r>
      <w:r w:rsidR="001F32DE">
        <w:t xml:space="preserve">.  Again, the hotter of the two lines, </w:t>
      </w:r>
      <w:r w:rsidR="00BB5BAB">
        <w:t xml:space="preserve">Spanwise </w:t>
      </w:r>
      <w:r w:rsidR="001F32DE">
        <w:t xml:space="preserve">Line 2, shows the greatest temperature disparity between the two models.  In </w:t>
      </w:r>
      <w:r w:rsidR="00BB5BAB">
        <w:t xml:space="preserve">Spanwise </w:t>
      </w:r>
      <w:r w:rsidR="001F32DE">
        <w:t xml:space="preserve">Line 2’s temperature profiles alone the effect that higher temperature has on differences between the model is </w:t>
      </w:r>
      <w:r w:rsidR="000B3E4D">
        <w:t xml:space="preserve">also </w:t>
      </w:r>
      <w:r w:rsidR="001F32DE">
        <w:t xml:space="preserve">apparent.  It is at the profile’s lowest point, </w:t>
      </w:r>
      <w:r w:rsidR="000B3E4D">
        <w:t>ignoring</w:t>
      </w:r>
      <w:r w:rsidR="001F32DE">
        <w:t xml:space="preserve"> its outer edges, in which the two profiles are in the closest agreement.</w:t>
      </w:r>
      <w:r w:rsidR="005064FA">
        <w:t xml:space="preserve">  Performing a temperature average along </w:t>
      </w:r>
      <w:r w:rsidR="000B3E4D">
        <w:t>Spanwise Line 2</w:t>
      </w:r>
      <w:r w:rsidR="005064FA">
        <w:t xml:space="preserve"> in the coupled model shows that the average temperature is </w:t>
      </w:r>
      <w:r w:rsidR="005064FA" w:rsidRPr="005064FA">
        <w:t>385.8 K</w:t>
      </w:r>
      <w:r w:rsidR="005064FA">
        <w:t xml:space="preserve"> which is very close to the region in which the profiles </w:t>
      </w:r>
      <w:r w:rsidR="000B3E4D">
        <w:t>are in the closest agreement</w:t>
      </w:r>
      <w:r w:rsidR="005064FA">
        <w:t xml:space="preserve">.  </w:t>
      </w:r>
    </w:p>
    <w:p w14:paraId="2DC4C4B3" w14:textId="1472D1B5" w:rsidR="001F32DE" w:rsidRDefault="004312A9" w:rsidP="001F32DE">
      <w:pPr>
        <w:pStyle w:val="PictureSytel"/>
      </w:pPr>
      <w:r>
        <w:rPr>
          <w:noProof/>
        </w:rPr>
        <w:drawing>
          <wp:inline distT="0" distB="0" distL="0" distR="0" wp14:anchorId="13E3DBCE" wp14:editId="71BA35B9">
            <wp:extent cx="4992597" cy="2488830"/>
            <wp:effectExtent l="19050" t="19050" r="17780" b="260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_Concave_Fuel_Meat_s_Cut_Lines.png"/>
                    <pic:cNvPicPr/>
                  </pic:nvPicPr>
                  <pic:blipFill>
                    <a:blip r:embed="rId458">
                      <a:extLst>
                        <a:ext uri="{28A0092B-C50C-407E-A947-70E740481C1C}">
                          <a14:useLocalDpi xmlns:a14="http://schemas.microsoft.com/office/drawing/2010/main" val="0"/>
                        </a:ext>
                      </a:extLst>
                    </a:blip>
                    <a:stretch>
                      <a:fillRect/>
                    </a:stretch>
                  </pic:blipFill>
                  <pic:spPr>
                    <a:xfrm>
                      <a:off x="0" y="0"/>
                      <a:ext cx="4990064" cy="2487567"/>
                    </a:xfrm>
                    <a:prstGeom prst="rect">
                      <a:avLst/>
                    </a:prstGeom>
                    <a:ln>
                      <a:solidFill>
                        <a:schemeClr val="tx1"/>
                      </a:solidFill>
                    </a:ln>
                  </pic:spPr>
                </pic:pic>
              </a:graphicData>
            </a:graphic>
          </wp:inline>
        </w:drawing>
      </w:r>
    </w:p>
    <w:p w14:paraId="338E6468" w14:textId="5E1FFDA4" w:rsidR="001F32DE" w:rsidRDefault="001F32DE" w:rsidP="001F32DE">
      <w:pPr>
        <w:pStyle w:val="FigTitleStyle"/>
      </w:pPr>
      <w:bookmarkStart w:id="314" w:name="_Toc382920308"/>
      <w:r w:rsidRPr="00DF60FB">
        <w:t xml:space="preserve">Fig. </w:t>
      </w:r>
      <w:r w:rsidRPr="00DF60FB">
        <w:fldChar w:fldCharType="begin"/>
      </w:r>
      <w:bookmarkStart w:id="315" w:name="_Ref382746606"/>
      <w:bookmarkEnd w:id="315"/>
      <w:r w:rsidRPr="00DF60FB">
        <w:instrText xml:space="preserve"> LISTNUM FIG \l 2 </w:instrText>
      </w:r>
      <w:r w:rsidRPr="00DF60FB">
        <w:fldChar w:fldCharType="end"/>
      </w:r>
      <w:r>
        <w:t xml:space="preserve">.  </w:t>
      </w:r>
      <w:r w:rsidRPr="004312A9">
        <w:t xml:space="preserve">Fuel Meat Concave Surface </w:t>
      </w:r>
      <w:r w:rsidR="007F2431" w:rsidRPr="004312A9">
        <w:t xml:space="preserve">Spanwise </w:t>
      </w:r>
      <w:r w:rsidRPr="004312A9">
        <w:t>1D Temperature Profiles.</w:t>
      </w:r>
      <w:bookmarkEnd w:id="314"/>
    </w:p>
    <w:p w14:paraId="41C96082" w14:textId="295FB5A1" w:rsidR="001F32DE" w:rsidRDefault="00451078" w:rsidP="00B95F85">
      <w:r>
        <w:t>L</w:t>
      </w:r>
      <w:r w:rsidR="00BB5BAB">
        <w:t>ooking at a cross-sectional</w:t>
      </w:r>
      <w:r>
        <w:rPr>
          <w:i/>
        </w:rPr>
        <w:t xml:space="preserve"> </w:t>
      </w:r>
      <w:r>
        <w:t>plan</w:t>
      </w:r>
      <w:r w:rsidR="007F2431">
        <w:t>e cut through the entire model</w:t>
      </w:r>
      <w:r>
        <w:t xml:space="preserve"> along Spanwise Line 2</w:t>
      </w:r>
      <w:r w:rsidR="00BB5BAB">
        <w:t xml:space="preserve">, a topographical comparison can be made in the </w:t>
      </w:r>
      <w:r w:rsidR="00BB5BAB">
        <w:rPr>
          <w:i/>
        </w:rPr>
        <w:t>s</w:t>
      </w:r>
      <w:r w:rsidR="00BB5BAB">
        <w:rPr>
          <w:i/>
        </w:rPr>
        <w:softHyphen/>
      </w:r>
      <w:r w:rsidR="00BB5BAB">
        <w:t>-</w:t>
      </w:r>
      <w:r w:rsidR="00BB5BAB">
        <w:rPr>
          <w:i/>
        </w:rPr>
        <w:t xml:space="preserve">t </w:t>
      </w:r>
      <w:r w:rsidR="00BB5BAB">
        <w:t>plane</w:t>
      </w:r>
      <w:r w:rsidR="007F2431">
        <w:t xml:space="preserve"> as well</w:t>
      </w:r>
      <w:r w:rsidR="00BB5BAB">
        <w:t xml:space="preserve">.  </w:t>
      </w:r>
      <w:r w:rsidR="007F2431">
        <w:t>This co</w:t>
      </w:r>
      <w:r w:rsidR="0051541B">
        <w:t xml:space="preserve">mparison is shown in Fig. </w:t>
      </w:r>
      <w:r w:rsidR="0051541B">
        <w:fldChar w:fldCharType="begin"/>
      </w:r>
      <w:r w:rsidR="0051541B">
        <w:instrText xml:space="preserve"> REF _Ref382749229 \r \h </w:instrText>
      </w:r>
      <w:r w:rsidR="0051541B">
        <w:fldChar w:fldCharType="separate"/>
      </w:r>
      <w:r w:rsidR="001C5EC1">
        <w:t>7.24</w:t>
      </w:r>
      <w:r w:rsidR="0051541B">
        <w:fldChar w:fldCharType="end"/>
      </w:r>
      <w:r w:rsidR="007F2431">
        <w:t>.</w:t>
      </w:r>
      <w:r w:rsidR="00BB38BA">
        <w:t xml:space="preserve">  Both models show the same general </w:t>
      </w:r>
      <w:r w:rsidR="004A5297">
        <w:t>topography</w:t>
      </w:r>
      <w:r w:rsidR="00BB38BA">
        <w:t xml:space="preserve"> with the coupled model showing slightly higher temperatures along the inne</w:t>
      </w:r>
      <w:r w:rsidR="004A5297">
        <w:t xml:space="preserve">r side plate border at top left </w:t>
      </w:r>
      <w:r w:rsidR="00BB38BA">
        <w:t xml:space="preserve">than the 3D model.  This is likely due to the fact that local fuel plate temperatures fall below the spanwise average in this area and the bulk coolant is thus </w:t>
      </w:r>
      <w:r w:rsidR="00BB38BA">
        <w:lastRenderedPageBreak/>
        <w:t>higher than it should be.  A small part of it could also be the removal of the side plate.  A more direct comparison can be made</w:t>
      </w:r>
      <w:r w:rsidR="00B52DB8">
        <w:t xml:space="preserve"> between the models</w:t>
      </w:r>
      <w:r w:rsidR="00BB38BA">
        <w:t xml:space="preserve"> by </w:t>
      </w:r>
      <w:r w:rsidR="00EE1824">
        <w:t xml:space="preserve">looking at the 1D temperature profiles along </w:t>
      </w:r>
      <w:r w:rsidR="005F5ACA">
        <w:t>Widthwise Line 1 drawn on both plots</w:t>
      </w:r>
      <w:r w:rsidR="00EE1824">
        <w:t xml:space="preserve">.  </w:t>
      </w:r>
      <w:r w:rsidR="009B5295">
        <w:t>Tempera</w:t>
      </w:r>
      <w:r w:rsidR="005F5ACA">
        <w:t xml:space="preserve">ture data is plotted along Widthwise Line 1 in </w:t>
      </w:r>
      <w:r w:rsidR="00C00A80">
        <w:t xml:space="preserve">Fig. </w:t>
      </w:r>
      <w:r w:rsidR="00C00A80">
        <w:fldChar w:fldCharType="begin"/>
      </w:r>
      <w:r w:rsidR="00C00A80">
        <w:instrText xml:space="preserve"> REF _Ref382749729 \r \h </w:instrText>
      </w:r>
      <w:r w:rsidR="00C00A80">
        <w:fldChar w:fldCharType="separate"/>
      </w:r>
      <w:r w:rsidR="001C5EC1">
        <w:t>7.25</w:t>
      </w:r>
      <w:r w:rsidR="00C00A80">
        <w:fldChar w:fldCharType="end"/>
      </w:r>
      <w:r w:rsidR="00C00A80">
        <w:t>.</w:t>
      </w:r>
      <w:r w:rsidR="00875A62">
        <w:t xml:space="preserve">  The widthwise line corresponds roughly to the intersection of Axial Line 1</w:t>
      </w:r>
      <w:r w:rsidR="00445C88">
        <w:t xml:space="preserve"> and Spanwise Line 2 in Fig. </w:t>
      </w:r>
      <w:r w:rsidR="00875A62">
        <w:fldChar w:fldCharType="begin"/>
      </w:r>
      <w:r w:rsidR="00875A62">
        <w:instrText xml:space="preserve"> REF _Ref382577372 \r \h </w:instrText>
      </w:r>
      <w:r w:rsidR="00875A62">
        <w:fldChar w:fldCharType="separate"/>
      </w:r>
      <w:r w:rsidR="001C5EC1">
        <w:t>7.21</w:t>
      </w:r>
      <w:r w:rsidR="00875A62">
        <w:fldChar w:fldCharType="end"/>
      </w:r>
      <w:r w:rsidR="00BF5C1D">
        <w:t xml:space="preserve"> and serves as a high temperature comparison.  A low temperature comparison is m</w:t>
      </w:r>
      <w:r w:rsidR="005F5ACA">
        <w:t xml:space="preserve">ade with Widthwise Line 2 </w:t>
      </w:r>
      <w:r w:rsidR="00BF5C1D">
        <w:t xml:space="preserve">near the intersection of Axial Line 2 and Spanwise Line 1, as shown in Fig. </w:t>
      </w:r>
      <w:r w:rsidR="00BF5C1D">
        <w:fldChar w:fldCharType="begin"/>
      </w:r>
      <w:r w:rsidR="00BF5C1D">
        <w:instrText xml:space="preserve"> REF _Ref382754080 \r \h </w:instrText>
      </w:r>
      <w:r w:rsidR="00BF5C1D">
        <w:fldChar w:fldCharType="separate"/>
      </w:r>
      <w:r w:rsidR="001C5EC1">
        <w:t>7.26</w:t>
      </w:r>
      <w:r w:rsidR="00BF5C1D">
        <w:fldChar w:fldCharType="end"/>
      </w:r>
      <w:r w:rsidR="00875A62">
        <w:t>.</w:t>
      </w:r>
      <w:r w:rsidR="00E502F1">
        <w:t xml:space="preserve">  As with the 1D axial and spanwise temperature comparisons, the higher the local temperature the greater the temperature disparity between the two models.</w:t>
      </w:r>
      <w:r w:rsidR="006D3711">
        <w:t xml:space="preserve">  In the cold widthwise comparison the coolant temperatures are nearly aligned.</w:t>
      </w:r>
    </w:p>
    <w:p w14:paraId="11EA098A" w14:textId="4D5B038F" w:rsidR="006949B3" w:rsidRDefault="00E1612E" w:rsidP="007F2431">
      <w:pPr>
        <w:pStyle w:val="PictureSytel"/>
      </w:pPr>
      <w:r>
        <w:rPr>
          <w:noProof/>
        </w:rPr>
        <w:drawing>
          <wp:inline distT="0" distB="0" distL="0" distR="0" wp14:anchorId="37A45DAA" wp14:editId="206FD3D3">
            <wp:extent cx="5005770" cy="3357528"/>
            <wp:effectExtent l="19050" t="19050" r="23495" b="146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_s-t_cut_plane_T.png"/>
                    <pic:cNvPicPr/>
                  </pic:nvPicPr>
                  <pic:blipFill>
                    <a:blip r:embed="rId459">
                      <a:extLst>
                        <a:ext uri="{28A0092B-C50C-407E-A947-70E740481C1C}">
                          <a14:useLocalDpi xmlns:a14="http://schemas.microsoft.com/office/drawing/2010/main" val="0"/>
                        </a:ext>
                      </a:extLst>
                    </a:blip>
                    <a:stretch>
                      <a:fillRect/>
                    </a:stretch>
                  </pic:blipFill>
                  <pic:spPr>
                    <a:xfrm>
                      <a:off x="0" y="0"/>
                      <a:ext cx="5005770" cy="3357528"/>
                    </a:xfrm>
                    <a:prstGeom prst="rect">
                      <a:avLst/>
                    </a:prstGeom>
                    <a:ln>
                      <a:solidFill>
                        <a:schemeClr val="tx1"/>
                      </a:solidFill>
                    </a:ln>
                  </pic:spPr>
                </pic:pic>
              </a:graphicData>
            </a:graphic>
          </wp:inline>
        </w:drawing>
      </w:r>
    </w:p>
    <w:p w14:paraId="29044AF8" w14:textId="53149643" w:rsidR="007F2431" w:rsidRPr="00FC6EF8" w:rsidRDefault="007F2431" w:rsidP="007F2431">
      <w:pPr>
        <w:pStyle w:val="FigTitleStyle"/>
        <w:rPr>
          <w:b w:val="0"/>
        </w:rPr>
      </w:pPr>
      <w:bookmarkStart w:id="316" w:name="_Toc382920309"/>
      <w:r w:rsidRPr="00DF60FB">
        <w:t xml:space="preserve">Fig. </w:t>
      </w:r>
      <w:r w:rsidRPr="00DF60FB">
        <w:fldChar w:fldCharType="begin"/>
      </w:r>
      <w:bookmarkStart w:id="317" w:name="_Ref382749229"/>
      <w:bookmarkEnd w:id="317"/>
      <w:r w:rsidRPr="00DF60FB">
        <w:instrText xml:space="preserve"> LISTNUM FIG \l 2 </w:instrText>
      </w:r>
      <w:r w:rsidRPr="00DF60FB">
        <w:fldChar w:fldCharType="end"/>
      </w:r>
      <w:r>
        <w:t>.  Cross-Sectional Cut-Out Temperature Profile Comparison.</w:t>
      </w:r>
      <w:r w:rsidR="00E1612E">
        <w:t xml:space="preserve">  </w:t>
      </w:r>
      <w:r w:rsidR="00FC6EF8">
        <w:rPr>
          <w:b w:val="0"/>
        </w:rPr>
        <w:t>The 3D model cross-section is shown with all geometry elements present including the fuel meat, fuel plate, coolant channels, and inner side plate.  Given the</w:t>
      </w:r>
      <w:r w:rsidR="00D15A45">
        <w:rPr>
          <w:b w:val="0"/>
        </w:rPr>
        <w:t xml:space="preserve"> dimensional disparity across the</w:t>
      </w:r>
      <w:r w:rsidR="00FC6EF8">
        <w:rPr>
          <w:b w:val="0"/>
        </w:rPr>
        <w:t xml:space="preserve"> coupling interface in the coupled model, only the fuel meat and fuel plate are shown.</w:t>
      </w:r>
      <w:bookmarkEnd w:id="316"/>
      <w:r w:rsidR="00FC6EF8">
        <w:rPr>
          <w:b w:val="0"/>
        </w:rPr>
        <w:t xml:space="preserve">  </w:t>
      </w:r>
    </w:p>
    <w:p w14:paraId="26348F04" w14:textId="016508E5" w:rsidR="007F2431" w:rsidRDefault="000E4277" w:rsidP="00C00A80">
      <w:pPr>
        <w:pStyle w:val="PictureSytel"/>
      </w:pPr>
      <w:r>
        <w:rPr>
          <w:noProof/>
        </w:rPr>
        <w:lastRenderedPageBreak/>
        <w:drawing>
          <wp:inline distT="0" distB="0" distL="0" distR="0" wp14:anchorId="1C12EE51" wp14:editId="1F136FB7">
            <wp:extent cx="5037807" cy="2634579"/>
            <wp:effectExtent l="19050" t="19050" r="10795" b="1397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_s-t_plane_t_line_T.png"/>
                    <pic:cNvPicPr/>
                  </pic:nvPicPr>
                  <pic:blipFill>
                    <a:blip r:embed="rId460">
                      <a:extLst>
                        <a:ext uri="{28A0092B-C50C-407E-A947-70E740481C1C}">
                          <a14:useLocalDpi xmlns:a14="http://schemas.microsoft.com/office/drawing/2010/main" val="0"/>
                        </a:ext>
                      </a:extLst>
                    </a:blip>
                    <a:stretch>
                      <a:fillRect/>
                    </a:stretch>
                  </pic:blipFill>
                  <pic:spPr>
                    <a:xfrm>
                      <a:off x="0" y="0"/>
                      <a:ext cx="5038163" cy="2634765"/>
                    </a:xfrm>
                    <a:prstGeom prst="rect">
                      <a:avLst/>
                    </a:prstGeom>
                    <a:ln>
                      <a:solidFill>
                        <a:schemeClr val="tx1"/>
                      </a:solidFill>
                    </a:ln>
                  </pic:spPr>
                </pic:pic>
              </a:graphicData>
            </a:graphic>
          </wp:inline>
        </w:drawing>
      </w:r>
    </w:p>
    <w:p w14:paraId="7482E0E0" w14:textId="3DD63822" w:rsidR="00C00A80" w:rsidRDefault="00C00A80" w:rsidP="00C00A80">
      <w:pPr>
        <w:pStyle w:val="FigTitleStyle"/>
      </w:pPr>
      <w:bookmarkStart w:id="318" w:name="_Toc382920310"/>
      <w:r w:rsidRPr="00DF60FB">
        <w:t xml:space="preserve">Fig. </w:t>
      </w:r>
      <w:r w:rsidRPr="00DF60FB">
        <w:fldChar w:fldCharType="begin"/>
      </w:r>
      <w:bookmarkStart w:id="319" w:name="_Ref382749729"/>
      <w:bookmarkEnd w:id="319"/>
      <w:r w:rsidRPr="00DF60FB">
        <w:instrText xml:space="preserve"> LISTNUM FIG \l 2 </w:instrText>
      </w:r>
      <w:r w:rsidRPr="00DF60FB">
        <w:fldChar w:fldCharType="end"/>
      </w:r>
      <w:r>
        <w:t xml:space="preserve">.  Cross-Sectional Cut-Out </w:t>
      </w:r>
      <w:r w:rsidR="00432250">
        <w:t>Widthwise</w:t>
      </w:r>
      <w:r w:rsidR="005F5ACA">
        <w:t xml:space="preserve"> Line 1</w:t>
      </w:r>
      <w:r w:rsidR="00432250">
        <w:t xml:space="preserve"> 1D</w:t>
      </w:r>
      <w:r w:rsidR="00BF5C1D">
        <w:t xml:space="preserve"> </w:t>
      </w:r>
      <w:r w:rsidR="00432250">
        <w:t>Temperature Profiles</w:t>
      </w:r>
      <w:r>
        <w:t xml:space="preserve">.  </w:t>
      </w:r>
      <w:r w:rsidR="00432250">
        <w:rPr>
          <w:b w:val="0"/>
        </w:rPr>
        <w:t>While the 3D profile is plotted as a single entity, the coupling interface in the coupled model necessitates that the fuel plate and coolant temperature profiles be plotted separately.</w:t>
      </w:r>
      <w:bookmarkEnd w:id="318"/>
    </w:p>
    <w:p w14:paraId="54B3025C" w14:textId="00BE8E36" w:rsidR="006949B3" w:rsidRDefault="00E502F1" w:rsidP="00BF5C1D">
      <w:pPr>
        <w:pStyle w:val="PictureSytel"/>
      </w:pPr>
      <w:r>
        <w:rPr>
          <w:noProof/>
        </w:rPr>
        <w:drawing>
          <wp:inline distT="0" distB="0" distL="0" distR="0" wp14:anchorId="29625568" wp14:editId="58A747EF">
            <wp:extent cx="5049079" cy="2639975"/>
            <wp:effectExtent l="19050" t="19050" r="18415" b="273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_s-t_plane_1_t_line_T.png"/>
                    <pic:cNvPicPr/>
                  </pic:nvPicPr>
                  <pic:blipFill>
                    <a:blip r:embed="rId461">
                      <a:extLst>
                        <a:ext uri="{28A0092B-C50C-407E-A947-70E740481C1C}">
                          <a14:useLocalDpi xmlns:a14="http://schemas.microsoft.com/office/drawing/2010/main" val="0"/>
                        </a:ext>
                      </a:extLst>
                    </a:blip>
                    <a:stretch>
                      <a:fillRect/>
                    </a:stretch>
                  </pic:blipFill>
                  <pic:spPr>
                    <a:xfrm>
                      <a:off x="0" y="0"/>
                      <a:ext cx="5041387" cy="2635953"/>
                    </a:xfrm>
                    <a:prstGeom prst="rect">
                      <a:avLst/>
                    </a:prstGeom>
                    <a:ln>
                      <a:solidFill>
                        <a:schemeClr val="tx1"/>
                      </a:solidFill>
                    </a:ln>
                  </pic:spPr>
                </pic:pic>
              </a:graphicData>
            </a:graphic>
          </wp:inline>
        </w:drawing>
      </w:r>
    </w:p>
    <w:p w14:paraId="58566A0F" w14:textId="5E345175" w:rsidR="00BF5C1D" w:rsidRDefault="00BF5C1D" w:rsidP="00BF5C1D">
      <w:pPr>
        <w:pStyle w:val="FigTitleStyle"/>
      </w:pPr>
      <w:bookmarkStart w:id="320" w:name="_Toc382920311"/>
      <w:r w:rsidRPr="00DF60FB">
        <w:t xml:space="preserve">Fig. </w:t>
      </w:r>
      <w:r w:rsidRPr="00DF60FB">
        <w:fldChar w:fldCharType="begin"/>
      </w:r>
      <w:bookmarkStart w:id="321" w:name="_Ref382754080"/>
      <w:bookmarkEnd w:id="321"/>
      <w:r w:rsidRPr="00DF60FB">
        <w:instrText xml:space="preserve"> LISTNUM FIG \l 2 </w:instrText>
      </w:r>
      <w:r w:rsidRPr="00DF60FB">
        <w:fldChar w:fldCharType="end"/>
      </w:r>
      <w:r>
        <w:t xml:space="preserve">.  Cross-Sectional Cut-Out Widthwise </w:t>
      </w:r>
      <w:r w:rsidR="005F5ACA">
        <w:t xml:space="preserve">Line 2 </w:t>
      </w:r>
      <w:r>
        <w:t xml:space="preserve">1D Temperature Profiles.  </w:t>
      </w:r>
      <w:r>
        <w:rPr>
          <w:b w:val="0"/>
        </w:rPr>
        <w:t>While the 3D profile is plotted as a single entity, the coupling interface in the coupled model necessitates that the fuel plate and coolant temperature profiles be plotted separately.</w:t>
      </w:r>
      <w:bookmarkEnd w:id="320"/>
    </w:p>
    <w:p w14:paraId="1EF32F3A" w14:textId="77777777" w:rsidR="00CC088B" w:rsidRDefault="00D15A45" w:rsidP="00D15A45">
      <w:r>
        <w:t xml:space="preserve">Qualitative comparisons can be made between the coolant channels using a </w:t>
      </w:r>
      <w:r>
        <w:rPr>
          <w:i/>
        </w:rPr>
        <w:t>t</w:t>
      </w:r>
      <w:r>
        <w:t>-</w:t>
      </w:r>
      <w:r>
        <w:rPr>
          <w:i/>
        </w:rPr>
        <w:t xml:space="preserve">z </w:t>
      </w:r>
      <w:r>
        <w:t xml:space="preserve">plane oriented along the same widthwise lines in Fig. </w:t>
      </w:r>
      <w:r>
        <w:fldChar w:fldCharType="begin"/>
      </w:r>
      <w:r>
        <w:instrText xml:space="preserve"> REF _Ref382749229 \r \h </w:instrText>
      </w:r>
      <w:r>
        <w:fldChar w:fldCharType="separate"/>
      </w:r>
      <w:r w:rsidR="001C5EC1">
        <w:t>7.24</w:t>
      </w:r>
      <w:r>
        <w:fldChar w:fldCharType="end"/>
      </w:r>
      <w:r>
        <w:t xml:space="preserve">.  </w:t>
      </w:r>
      <w:r w:rsidR="007C1C73">
        <w:t xml:space="preserve">Given the extremely high aspect ratio of the coolant channel in the </w:t>
      </w:r>
      <w:r w:rsidR="007C1C73">
        <w:rPr>
          <w:i/>
        </w:rPr>
        <w:t>t</w:t>
      </w:r>
      <w:r w:rsidR="007C1C73">
        <w:t>-direction</w:t>
      </w:r>
      <w:r>
        <w:t>,</w:t>
      </w:r>
      <w:r w:rsidR="007C1C73">
        <w:t xml:space="preserve"> two </w:t>
      </w:r>
      <w:r>
        <w:t xml:space="preserve">magnified </w:t>
      </w:r>
      <w:r w:rsidR="007C1C73">
        <w:t xml:space="preserve">velocity </w:t>
      </w:r>
      <w:r>
        <w:t>contours</w:t>
      </w:r>
      <w:r w:rsidR="007C1C73">
        <w:t xml:space="preserve"> are presented which focus on the leading and trailing edge in </w:t>
      </w:r>
      <w:r w:rsidR="007C1C73">
        <w:lastRenderedPageBreak/>
        <w:t xml:space="preserve">Figs. </w:t>
      </w:r>
      <w:r w:rsidR="007C1C73">
        <w:fldChar w:fldCharType="begin"/>
      </w:r>
      <w:r w:rsidR="007C1C73">
        <w:instrText xml:space="preserve"> REF _Ref382760032 \r \h </w:instrText>
      </w:r>
      <w:r w:rsidR="007C1C73">
        <w:fldChar w:fldCharType="separate"/>
      </w:r>
      <w:r w:rsidR="001C5EC1">
        <w:t>7.27</w:t>
      </w:r>
      <w:r w:rsidR="007C1C73">
        <w:fldChar w:fldCharType="end"/>
      </w:r>
      <w:r w:rsidR="007C1C73">
        <w:t xml:space="preserve"> and </w:t>
      </w:r>
      <w:r w:rsidR="007C1C73">
        <w:fldChar w:fldCharType="begin"/>
      </w:r>
      <w:r w:rsidR="007C1C73">
        <w:instrText xml:space="preserve"> REF _Ref382760037 \r \h </w:instrText>
      </w:r>
      <w:r w:rsidR="007C1C73">
        <w:fldChar w:fldCharType="separate"/>
      </w:r>
      <w:r w:rsidR="001C5EC1">
        <w:t>7.28</w:t>
      </w:r>
      <w:r w:rsidR="007C1C73">
        <w:fldChar w:fldCharType="end"/>
      </w:r>
      <w:r w:rsidR="007C1C73">
        <w:t>, respectively.</w:t>
      </w:r>
      <w:r w:rsidR="00A017F3">
        <w:t xml:space="preserve">  </w:t>
      </w:r>
      <w:r w:rsidR="00E74234">
        <w:t xml:space="preserve">Both models’ leading edge velocity profiles look very similar from the effects of the mid-plate stagnation point to the rapid of </w:t>
      </w:r>
      <w:r w:rsidR="00CC088B">
        <w:t xml:space="preserve">flow </w:t>
      </w:r>
      <w:r w:rsidR="00E74234">
        <w:t>acceleration leading from the rounded leading edge to the constant-width fuel plate.</w:t>
      </w:r>
      <w:r w:rsidR="00AA71B6">
        <w:t xml:space="preserve">  The effects of the boundary layer are more pronounc</w:t>
      </w:r>
      <w:r w:rsidR="00CC088B">
        <w:t>ed in the 3D model’s solution.</w:t>
      </w:r>
    </w:p>
    <w:p w14:paraId="6CBEF6C8" w14:textId="355B1574" w:rsidR="00B55541" w:rsidRDefault="00AA71B6" w:rsidP="00C87ACE">
      <w:r>
        <w:t>The topography at the trailing edge is dominated by “cores” of high- and low-velocity coolant that persist do</w:t>
      </w:r>
      <w:r w:rsidR="000E100F">
        <w:t>wnstream of the coolant channel and the fuel plate</w:t>
      </w:r>
      <w:r>
        <w:t>, respectively.</w:t>
      </w:r>
      <w:r w:rsidR="002B4A04">
        <w:t xml:space="preserve">  Both high- and low-velocity cores appear to persist farther downstream in the coupled model</w:t>
      </w:r>
      <w:r w:rsidR="000E100F">
        <w:t xml:space="preserve"> than in the 3D model</w:t>
      </w:r>
      <w:r w:rsidR="002B4A04">
        <w:t>.</w:t>
      </w:r>
      <w:r w:rsidR="004C34A2">
        <w:t xml:space="preserve">  </w:t>
      </w:r>
      <w:r w:rsidR="00DD5772">
        <w:t xml:space="preserve">This is to be expected as the coupled cores can only diffuse in the </w:t>
      </w:r>
      <w:r w:rsidR="00DD5772">
        <w:rPr>
          <w:i/>
        </w:rPr>
        <w:t>t</w:t>
      </w:r>
      <w:r w:rsidR="00DD5772">
        <w:t xml:space="preserve">-direction while the 3D cores experience a lesser diffusion in the </w:t>
      </w:r>
      <w:r w:rsidR="00DD5772">
        <w:rPr>
          <w:i/>
        </w:rPr>
        <w:t>s</w:t>
      </w:r>
      <w:r w:rsidR="00DD5772">
        <w:t xml:space="preserve">-direction as well.  </w:t>
      </w:r>
      <w:r w:rsidR="000E100F">
        <w:t>When considering these differences</w:t>
      </w:r>
      <w:r w:rsidR="002B4A04">
        <w:t>, however, it is important to note that the 3D model velocity profile is a local dissection of an explicit coolant channel while the coupled model profile is a homogenization o</w:t>
      </w:r>
      <w:r w:rsidR="000E100F">
        <w:t>f the entire span of the</w:t>
      </w:r>
      <w:r w:rsidR="002B4A04">
        <w:t xml:space="preserve"> channel.  The difference in exit core lengths could simply be attributable to a variation in upstream fuel plate temperatures.</w:t>
      </w:r>
    </w:p>
    <w:p w14:paraId="179FA851" w14:textId="76C1ED46" w:rsidR="00467AFA" w:rsidRDefault="00045A75" w:rsidP="00987436">
      <w:r>
        <w:t xml:space="preserve">Both models capture the slight misalignment in coolant channel exit core velocity caused by the nonsymmetric placement of the fuel meat inside the fuel plate.  This yields a hot side (the concave side) and a cold side (the convex side).  In the velocity profiles the hot side is on the right-hand side of the coolant channel.  More energy enters the coolant channel from this, creating a slight non-uniformity in pressure across the width of the channel.  At the </w:t>
      </w:r>
      <w:r w:rsidR="00240D7C">
        <w:t>trailing</w:t>
      </w:r>
      <w:r>
        <w:t xml:space="preserve"> edge</w:t>
      </w:r>
      <w:r w:rsidR="00240D7C">
        <w:t>,</w:t>
      </w:r>
      <w:r>
        <w:t xml:space="preserve"> this non-uniform pressure, higher on the right-hand side, pushes the flow slightly to the left.</w:t>
      </w:r>
      <w:r w:rsidR="00240D7C">
        <w:t xml:space="preserve">  This non-symmetric pressure profile is shown in Fig. </w:t>
      </w:r>
      <w:r w:rsidR="00240D7C">
        <w:fldChar w:fldCharType="begin"/>
      </w:r>
      <w:r w:rsidR="00240D7C">
        <w:instrText xml:space="preserve"> REF _Ref382762609 \r \h </w:instrText>
      </w:r>
      <w:r w:rsidR="00240D7C">
        <w:fldChar w:fldCharType="separate"/>
      </w:r>
      <w:r w:rsidR="001C5EC1">
        <w:t>7.29</w:t>
      </w:r>
      <w:r w:rsidR="00240D7C">
        <w:fldChar w:fldCharType="end"/>
      </w:r>
      <w:r w:rsidR="00240D7C">
        <w:t>.</w:t>
      </w:r>
      <w:r w:rsidR="0028137E">
        <w:t xml:space="preserve">  In both models, the velocity field </w:t>
      </w:r>
      <w:r w:rsidR="00467AFA">
        <w:t>reaches a uniform profile well before the out</w:t>
      </w:r>
      <w:r w:rsidR="00D62437">
        <w:t>let, located roughly another 2</w:t>
      </w:r>
      <w:r w:rsidR="00467AFA">
        <w:t xml:space="preserve"> cm below the bottom cut-off of the figures, indicating that t</w:t>
      </w:r>
      <w:r w:rsidR="001E1C87">
        <w:t xml:space="preserve">he exit region is sufficiently </w:t>
      </w:r>
      <w:r w:rsidR="00467AFA">
        <w:t>long</w:t>
      </w:r>
      <w:r w:rsidR="001E1C87">
        <w:t xml:space="preserve"> enough</w:t>
      </w:r>
      <w:r w:rsidR="00467AFA">
        <w:t xml:space="preserve"> to justify the use of a uniform pressure boundary condition.</w:t>
      </w:r>
    </w:p>
    <w:p w14:paraId="4593E3FC" w14:textId="10328CB1" w:rsidR="009335A8" w:rsidRDefault="007C1C73" w:rsidP="007C1C73">
      <w:pPr>
        <w:pStyle w:val="PictureSytel"/>
      </w:pPr>
      <w:r>
        <w:rPr>
          <w:noProof/>
        </w:rPr>
        <w:lastRenderedPageBreak/>
        <w:drawing>
          <wp:inline distT="0" distB="0" distL="0" distR="0" wp14:anchorId="7E4C158C" wp14:editId="158BE9B7">
            <wp:extent cx="5036581" cy="3080555"/>
            <wp:effectExtent l="19050" t="19050" r="12065" b="2476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_coolant_inlet_periodic_set.png"/>
                    <pic:cNvPicPr/>
                  </pic:nvPicPr>
                  <pic:blipFill>
                    <a:blip r:embed="rId462">
                      <a:extLst>
                        <a:ext uri="{28A0092B-C50C-407E-A947-70E740481C1C}">
                          <a14:useLocalDpi xmlns:a14="http://schemas.microsoft.com/office/drawing/2010/main" val="0"/>
                        </a:ext>
                      </a:extLst>
                    </a:blip>
                    <a:stretch>
                      <a:fillRect/>
                    </a:stretch>
                  </pic:blipFill>
                  <pic:spPr>
                    <a:xfrm>
                      <a:off x="0" y="0"/>
                      <a:ext cx="5036581" cy="3080555"/>
                    </a:xfrm>
                    <a:prstGeom prst="rect">
                      <a:avLst/>
                    </a:prstGeom>
                    <a:ln>
                      <a:solidFill>
                        <a:schemeClr val="tx1"/>
                      </a:solidFill>
                    </a:ln>
                  </pic:spPr>
                </pic:pic>
              </a:graphicData>
            </a:graphic>
          </wp:inline>
        </w:drawing>
      </w:r>
    </w:p>
    <w:p w14:paraId="20D25A01" w14:textId="08B884CE" w:rsidR="007C1C73" w:rsidRDefault="007C1C73" w:rsidP="007C1C73">
      <w:pPr>
        <w:pStyle w:val="FigTitleStyle"/>
      </w:pPr>
      <w:bookmarkStart w:id="322" w:name="_Toc382920312"/>
      <w:r w:rsidRPr="00DF60FB">
        <w:t xml:space="preserve">Fig. </w:t>
      </w:r>
      <w:r w:rsidRPr="00DF60FB">
        <w:fldChar w:fldCharType="begin"/>
      </w:r>
      <w:bookmarkStart w:id="323" w:name="_Ref382760032"/>
      <w:bookmarkEnd w:id="323"/>
      <w:r w:rsidRPr="00DF60FB">
        <w:instrText xml:space="preserve"> LISTNUM FIG \l 2 </w:instrText>
      </w:r>
      <w:r w:rsidRPr="00DF60FB">
        <w:fldChar w:fldCharType="end"/>
      </w:r>
      <w:r>
        <w:t xml:space="preserve">.  </w:t>
      </w:r>
      <w:r w:rsidR="00A5319A">
        <w:t>Coolant Channel Leading Edge Velocity Profile Comparison</w:t>
      </w:r>
      <w:r>
        <w:t xml:space="preserve">.  </w:t>
      </w:r>
      <w:r>
        <w:rPr>
          <w:b w:val="0"/>
        </w:rPr>
        <w:t>Note that the coolant domain in each model consists of only a single channel.  Three channels are presented side-by-side in order to better show the profile continuity across the periodic boundaries.</w:t>
      </w:r>
      <w:bookmarkEnd w:id="322"/>
    </w:p>
    <w:p w14:paraId="1CEE36F9" w14:textId="1C620389" w:rsidR="007C1C73" w:rsidRDefault="007C1C73" w:rsidP="007C1C73">
      <w:pPr>
        <w:pStyle w:val="PictureSytel"/>
      </w:pPr>
      <w:r>
        <w:rPr>
          <w:noProof/>
        </w:rPr>
        <w:lastRenderedPageBreak/>
        <w:drawing>
          <wp:inline distT="0" distB="0" distL="0" distR="0" wp14:anchorId="772E643A" wp14:editId="7967E153">
            <wp:extent cx="5017273" cy="5470497"/>
            <wp:effectExtent l="19050" t="19050" r="12065" b="1651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_coolant_outlet_periodic_set.png"/>
                    <pic:cNvPicPr/>
                  </pic:nvPicPr>
                  <pic:blipFill rotWithShape="1">
                    <a:blip r:embed="rId463">
                      <a:extLst>
                        <a:ext uri="{28A0092B-C50C-407E-A947-70E740481C1C}">
                          <a14:useLocalDpi xmlns:a14="http://schemas.microsoft.com/office/drawing/2010/main" val="0"/>
                        </a:ext>
                      </a:extLst>
                    </a:blip>
                    <a:srcRect l="-7033" r="-6737"/>
                    <a:stretch/>
                  </pic:blipFill>
                  <pic:spPr bwMode="auto">
                    <a:xfrm>
                      <a:off x="0" y="0"/>
                      <a:ext cx="5018280" cy="547159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5E88CE2" w14:textId="54509665" w:rsidR="007C1C73" w:rsidRDefault="007C1C73" w:rsidP="007C1C73">
      <w:pPr>
        <w:pStyle w:val="FigTitleStyle"/>
      </w:pPr>
      <w:bookmarkStart w:id="324" w:name="_Toc382920313"/>
      <w:r w:rsidRPr="00DF60FB">
        <w:t xml:space="preserve">Fig. </w:t>
      </w:r>
      <w:r w:rsidRPr="00DF60FB">
        <w:fldChar w:fldCharType="begin"/>
      </w:r>
      <w:bookmarkStart w:id="325" w:name="_Ref382760037"/>
      <w:bookmarkEnd w:id="325"/>
      <w:r w:rsidRPr="00DF60FB">
        <w:instrText xml:space="preserve"> LISTNUM FIG \l 2 </w:instrText>
      </w:r>
      <w:r w:rsidRPr="00DF60FB">
        <w:fldChar w:fldCharType="end"/>
      </w:r>
      <w:r>
        <w:t xml:space="preserve">.  </w:t>
      </w:r>
      <w:r w:rsidR="00A5319A">
        <w:t>Coolant Channel Trailing Edge Velocity Profile Comparison.</w:t>
      </w:r>
      <w:r>
        <w:t xml:space="preserve">  </w:t>
      </w:r>
      <w:r w:rsidR="00A5319A">
        <w:rPr>
          <w:b w:val="0"/>
        </w:rPr>
        <w:t>Note that the coolant domain in each model consists of only a single channel.  Three channels are presented side-by-side in order to better show the profile continuity across the periodic boundaries.</w:t>
      </w:r>
      <w:bookmarkEnd w:id="324"/>
    </w:p>
    <w:p w14:paraId="3D2C3221" w14:textId="758F76BA" w:rsidR="007C1C73" w:rsidRDefault="00D7403A" w:rsidP="00240D7C">
      <w:pPr>
        <w:pStyle w:val="PictureSytel"/>
      </w:pPr>
      <w:r>
        <w:rPr>
          <w:noProof/>
        </w:rPr>
        <w:lastRenderedPageBreak/>
        <w:drawing>
          <wp:inline distT="0" distB="0" distL="0" distR="0" wp14:anchorId="1BCAB47C" wp14:editId="232F000D">
            <wp:extent cx="5019293" cy="2690898"/>
            <wp:effectExtent l="19050" t="19050" r="10160" b="146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pled_Trailing_Edge_Non_Symmetric_P_Profile.png"/>
                    <pic:cNvPicPr/>
                  </pic:nvPicPr>
                  <pic:blipFill>
                    <a:blip r:embed="rId464">
                      <a:extLst>
                        <a:ext uri="{28A0092B-C50C-407E-A947-70E740481C1C}">
                          <a14:useLocalDpi xmlns:a14="http://schemas.microsoft.com/office/drawing/2010/main" val="0"/>
                        </a:ext>
                      </a:extLst>
                    </a:blip>
                    <a:stretch>
                      <a:fillRect/>
                    </a:stretch>
                  </pic:blipFill>
                  <pic:spPr>
                    <a:xfrm>
                      <a:off x="0" y="0"/>
                      <a:ext cx="5021642" cy="2692157"/>
                    </a:xfrm>
                    <a:prstGeom prst="rect">
                      <a:avLst/>
                    </a:prstGeom>
                    <a:ln>
                      <a:solidFill>
                        <a:schemeClr val="tx1"/>
                      </a:solidFill>
                    </a:ln>
                  </pic:spPr>
                </pic:pic>
              </a:graphicData>
            </a:graphic>
          </wp:inline>
        </w:drawing>
      </w:r>
    </w:p>
    <w:p w14:paraId="158A5EEC" w14:textId="51699959" w:rsidR="00240D7C" w:rsidRDefault="00240D7C" w:rsidP="00240D7C">
      <w:pPr>
        <w:pStyle w:val="FigTitleStyle"/>
      </w:pPr>
      <w:bookmarkStart w:id="326" w:name="_Toc382920314"/>
      <w:r w:rsidRPr="00DF60FB">
        <w:t xml:space="preserve">Fig. </w:t>
      </w:r>
      <w:r w:rsidRPr="00DF60FB">
        <w:fldChar w:fldCharType="begin"/>
      </w:r>
      <w:bookmarkStart w:id="327" w:name="_Ref382762609"/>
      <w:bookmarkEnd w:id="327"/>
      <w:r w:rsidRPr="00DF60FB">
        <w:instrText xml:space="preserve"> LISTNUM FIG \l 2 </w:instrText>
      </w:r>
      <w:r w:rsidRPr="00DF60FB">
        <w:fldChar w:fldCharType="end"/>
      </w:r>
      <w:r>
        <w:t xml:space="preserve">.  Coupled Model Non-symmetric Trailing Edge Pressure Profile.  </w:t>
      </w:r>
      <w:r w:rsidR="00F117B7">
        <w:rPr>
          <w:b w:val="0"/>
        </w:rPr>
        <w:t xml:space="preserve">The trailing edge pressure profile was taken from a widthwise line located at </w:t>
      </w:r>
      <w:r w:rsidR="00F117B7">
        <w:rPr>
          <w:b w:val="0"/>
          <w:i/>
        </w:rPr>
        <w:t xml:space="preserve">z </w:t>
      </w:r>
      <w:r w:rsidR="00F117B7">
        <w:rPr>
          <w:b w:val="0"/>
        </w:rPr>
        <w:t>= 55.78 cm, 0.1 cm above the trailing edge itself.</w:t>
      </w:r>
      <w:bookmarkEnd w:id="326"/>
    </w:p>
    <w:p w14:paraId="6040B4D3" w14:textId="326B837B" w:rsidR="00AB6640" w:rsidRPr="0045419F" w:rsidRDefault="001E1C87" w:rsidP="0045419F">
      <w:pPr>
        <w:pStyle w:val="NormalBeforeTable"/>
      </w:pPr>
      <w:r>
        <w:t>The smoothing effect</w:t>
      </w:r>
      <w:r w:rsidR="00E83A33">
        <w:t xml:space="preserve"> of the coolant channel slice in the coupled model decrease</w:t>
      </w:r>
      <w:r>
        <w:t>s</w:t>
      </w:r>
      <w:r w:rsidR="00E83A33">
        <w:t xml:space="preserve"> with increasing distance from the coolant-fuel plate boundary.  </w:t>
      </w:r>
      <w:r>
        <w:t xml:space="preserve">This diminishing effect with increasing distance can be illustrated by comparing maximum temperature values at varying distance from the coolant-fuel plate boundary.  </w:t>
      </w:r>
      <w:r w:rsidR="0045419F">
        <w:t>The effect’s propagation</w:t>
      </w:r>
      <w:r w:rsidR="00C67528">
        <w:t xml:space="preserve"> is shown in Table. </w:t>
      </w:r>
      <w:r w:rsidR="00C67528">
        <w:fldChar w:fldCharType="begin"/>
      </w:r>
      <w:r w:rsidR="00C67528">
        <w:instrText xml:space="preserve"> REF _Ref382763257 \r \h </w:instrText>
      </w:r>
      <w:r w:rsidR="00C67528">
        <w:fldChar w:fldCharType="separate"/>
      </w:r>
      <w:r w:rsidR="001C5EC1">
        <w:t>7.6</w:t>
      </w:r>
      <w:r w:rsidR="00C67528">
        <w:fldChar w:fldCharType="end"/>
      </w:r>
      <w:r w:rsidR="00C67528">
        <w:t>.</w:t>
      </w:r>
      <w:r w:rsidR="006A703C">
        <w:t xml:space="preserve">  The ad hoc temperature error, </w:t>
      </w:r>
      <w:r w:rsidR="006A703C">
        <w:rPr>
          <w:i/>
        </w:rPr>
        <w:t>e</w:t>
      </w:r>
      <w:r w:rsidR="006A703C">
        <w:rPr>
          <w:i/>
          <w:vertAlign w:val="subscript"/>
        </w:rPr>
        <w:t>T</w:t>
      </w:r>
      <w:r w:rsidR="006A703C">
        <w:rPr>
          <w:i/>
        </w:rPr>
        <w:t>,</w:t>
      </w:r>
      <w:r w:rsidR="006A703C">
        <w:t xml:space="preserve"> from the coupled model fuel plate mesh convergence study can be reapplied here with the 3D model’s temperature at each point serving as the reference value.  Not only does the difference in maximum temperature decrease as the points move inward but the </w:t>
      </w:r>
      <w:r w:rsidR="004A3090">
        <w:t>percent error decreases as well.  The coolant slice’s smoothing effect has very nearly worn off by the point it has propagated into the interior of the fuel meat.</w:t>
      </w:r>
    </w:p>
    <w:tbl>
      <w:tblPr>
        <w:tblW w:w="6585" w:type="dxa"/>
        <w:jc w:val="center"/>
        <w:tblLook w:val="04A0" w:firstRow="1" w:lastRow="0" w:firstColumn="1" w:lastColumn="0" w:noHBand="0" w:noVBand="1"/>
      </w:tblPr>
      <w:tblGrid>
        <w:gridCol w:w="2938"/>
        <w:gridCol w:w="985"/>
        <w:gridCol w:w="1018"/>
        <w:gridCol w:w="834"/>
        <w:gridCol w:w="810"/>
      </w:tblGrid>
      <w:tr w:rsidR="00F039AB" w:rsidRPr="00F039AB" w14:paraId="5DA1686C" w14:textId="77777777" w:rsidTr="003D416B">
        <w:trPr>
          <w:trHeight w:val="300"/>
          <w:jc w:val="center"/>
        </w:trPr>
        <w:tc>
          <w:tcPr>
            <w:tcW w:w="658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6A9EB" w14:textId="2C341660" w:rsidR="00F039AB" w:rsidRPr="00F039AB" w:rsidRDefault="00F039AB" w:rsidP="00004C4D">
            <w:pPr>
              <w:pStyle w:val="NoSpacing"/>
            </w:pPr>
            <w:bookmarkStart w:id="328" w:name="_Toc382920204"/>
            <w:r w:rsidRPr="00AD0C0C">
              <w:t xml:space="preserve">Table </w:t>
            </w:r>
            <w:r w:rsidRPr="00AD0C0C">
              <w:fldChar w:fldCharType="begin"/>
            </w:r>
            <w:bookmarkStart w:id="329" w:name="_Ref382763257"/>
            <w:bookmarkEnd w:id="329"/>
            <w:r w:rsidRPr="00AD0C0C">
              <w:instrText xml:space="preserve"> LISTNUM TAB \l 2</w:instrText>
            </w:r>
            <w:r w:rsidRPr="00AD0C0C">
              <w:fldChar w:fldCharType="end"/>
            </w:r>
            <w:r w:rsidRPr="00AD0C0C">
              <w:t>:  Propagation of Coolant Smoothing Effect into Fuel Plate</w:t>
            </w:r>
            <w:bookmarkEnd w:id="328"/>
          </w:p>
        </w:tc>
      </w:tr>
      <w:tr w:rsidR="00F039AB" w:rsidRPr="00F039AB" w14:paraId="23D9F637" w14:textId="77777777" w:rsidTr="003D416B">
        <w:trPr>
          <w:trHeight w:val="300"/>
          <w:jc w:val="center"/>
        </w:trPr>
        <w:tc>
          <w:tcPr>
            <w:tcW w:w="29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2FDF17"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Domain</w:t>
            </w:r>
          </w:p>
        </w:tc>
        <w:tc>
          <w:tcPr>
            <w:tcW w:w="20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0B8E1F65"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Model</w:t>
            </w:r>
          </w:p>
        </w:tc>
        <w:tc>
          <w:tcPr>
            <w:tcW w:w="83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571558"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ΔT</w:t>
            </w:r>
          </w:p>
        </w:tc>
        <w:tc>
          <w:tcPr>
            <w:tcW w:w="8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DABEE4" w14:textId="48129389" w:rsidR="00F039AB" w:rsidRPr="00F039AB" w:rsidRDefault="00F039AB" w:rsidP="00F039AB">
            <w:pPr>
              <w:spacing w:after="0" w:line="240" w:lineRule="auto"/>
              <w:ind w:firstLine="0"/>
              <w:jc w:val="center"/>
              <w:rPr>
                <w:rFonts w:eastAsia="Times New Roman"/>
                <w:iCs/>
                <w:color w:val="000000"/>
              </w:rPr>
            </w:pPr>
            <w:r w:rsidRPr="00F039AB">
              <w:rPr>
                <w:rFonts w:eastAsia="Times New Roman"/>
                <w:i/>
                <w:iCs/>
                <w:color w:val="000000"/>
              </w:rPr>
              <w:t>e</w:t>
            </w:r>
            <w:r w:rsidRPr="00F039AB">
              <w:rPr>
                <w:rFonts w:eastAsia="Times New Roman"/>
                <w:i/>
                <w:iCs/>
                <w:color w:val="000000"/>
                <w:vertAlign w:val="subscript"/>
              </w:rPr>
              <w:t>T</w:t>
            </w:r>
            <w:r w:rsidR="00AD0C0C">
              <w:rPr>
                <w:rFonts w:eastAsia="Times New Roman"/>
                <w:iCs/>
                <w:color w:val="000000"/>
              </w:rPr>
              <w:t xml:space="preserve"> (%)</w:t>
            </w:r>
          </w:p>
        </w:tc>
      </w:tr>
      <w:tr w:rsidR="00F039AB" w:rsidRPr="00F039AB" w14:paraId="627F18C7" w14:textId="77777777" w:rsidTr="003D416B">
        <w:trPr>
          <w:trHeight w:val="300"/>
          <w:jc w:val="center"/>
        </w:trPr>
        <w:tc>
          <w:tcPr>
            <w:tcW w:w="2938" w:type="dxa"/>
            <w:vMerge/>
            <w:tcBorders>
              <w:top w:val="nil"/>
              <w:left w:val="single" w:sz="4" w:space="0" w:color="auto"/>
              <w:bottom w:val="single" w:sz="4" w:space="0" w:color="auto"/>
              <w:right w:val="single" w:sz="4" w:space="0" w:color="auto"/>
            </w:tcBorders>
            <w:vAlign w:val="center"/>
            <w:hideMark/>
          </w:tcPr>
          <w:p w14:paraId="7BC75718" w14:textId="77777777" w:rsidR="00F039AB" w:rsidRPr="00F039AB" w:rsidRDefault="00F039AB" w:rsidP="00F039AB">
            <w:pPr>
              <w:spacing w:after="0" w:line="240" w:lineRule="auto"/>
              <w:ind w:firstLine="0"/>
              <w:jc w:val="left"/>
              <w:rPr>
                <w:rFonts w:eastAsia="Times New Roman"/>
                <w:color w:val="000000"/>
              </w:rPr>
            </w:pPr>
          </w:p>
        </w:tc>
        <w:tc>
          <w:tcPr>
            <w:tcW w:w="985" w:type="dxa"/>
            <w:tcBorders>
              <w:top w:val="nil"/>
              <w:left w:val="nil"/>
              <w:bottom w:val="single" w:sz="4" w:space="0" w:color="auto"/>
              <w:right w:val="single" w:sz="4" w:space="0" w:color="auto"/>
            </w:tcBorders>
            <w:shd w:val="clear" w:color="auto" w:fill="auto"/>
            <w:noWrap/>
            <w:vAlign w:val="center"/>
            <w:hideMark/>
          </w:tcPr>
          <w:p w14:paraId="29653FFC"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3D</w:t>
            </w:r>
          </w:p>
        </w:tc>
        <w:tc>
          <w:tcPr>
            <w:tcW w:w="1018" w:type="dxa"/>
            <w:tcBorders>
              <w:top w:val="nil"/>
              <w:left w:val="nil"/>
              <w:bottom w:val="single" w:sz="4" w:space="0" w:color="auto"/>
              <w:right w:val="single" w:sz="4" w:space="0" w:color="auto"/>
            </w:tcBorders>
            <w:shd w:val="clear" w:color="auto" w:fill="auto"/>
            <w:noWrap/>
            <w:vAlign w:val="center"/>
            <w:hideMark/>
          </w:tcPr>
          <w:p w14:paraId="2C548196"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Coupled</w:t>
            </w:r>
          </w:p>
        </w:tc>
        <w:tc>
          <w:tcPr>
            <w:tcW w:w="834" w:type="dxa"/>
            <w:vMerge/>
            <w:tcBorders>
              <w:top w:val="nil"/>
              <w:left w:val="single" w:sz="4" w:space="0" w:color="auto"/>
              <w:bottom w:val="single" w:sz="4" w:space="0" w:color="auto"/>
              <w:right w:val="single" w:sz="4" w:space="0" w:color="auto"/>
            </w:tcBorders>
            <w:vAlign w:val="center"/>
            <w:hideMark/>
          </w:tcPr>
          <w:p w14:paraId="40FC2591" w14:textId="77777777" w:rsidR="00F039AB" w:rsidRPr="00F039AB" w:rsidRDefault="00F039AB" w:rsidP="00F039AB">
            <w:pPr>
              <w:spacing w:after="0" w:line="240" w:lineRule="auto"/>
              <w:ind w:firstLine="0"/>
              <w:jc w:val="left"/>
              <w:rPr>
                <w:rFonts w:eastAsia="Times New Roman"/>
                <w:color w:val="000000"/>
              </w:rPr>
            </w:pPr>
          </w:p>
        </w:tc>
        <w:tc>
          <w:tcPr>
            <w:tcW w:w="810" w:type="dxa"/>
            <w:vMerge/>
            <w:tcBorders>
              <w:top w:val="nil"/>
              <w:left w:val="single" w:sz="4" w:space="0" w:color="auto"/>
              <w:bottom w:val="single" w:sz="4" w:space="0" w:color="auto"/>
              <w:right w:val="single" w:sz="4" w:space="0" w:color="auto"/>
            </w:tcBorders>
            <w:vAlign w:val="center"/>
            <w:hideMark/>
          </w:tcPr>
          <w:p w14:paraId="243A0FDB" w14:textId="77777777" w:rsidR="00F039AB" w:rsidRPr="00F039AB" w:rsidRDefault="00F039AB" w:rsidP="00F039AB">
            <w:pPr>
              <w:spacing w:after="0" w:line="240" w:lineRule="auto"/>
              <w:ind w:firstLine="0"/>
              <w:jc w:val="left"/>
              <w:rPr>
                <w:rFonts w:eastAsia="Times New Roman"/>
                <w:i/>
                <w:iCs/>
                <w:color w:val="000000"/>
              </w:rPr>
            </w:pPr>
          </w:p>
        </w:tc>
      </w:tr>
      <w:tr w:rsidR="00F039AB" w:rsidRPr="00F039AB" w14:paraId="16D994A0" w14:textId="77777777" w:rsidTr="003D416B">
        <w:trPr>
          <w:trHeight w:val="300"/>
          <w:jc w:val="center"/>
        </w:trPr>
        <w:tc>
          <w:tcPr>
            <w:tcW w:w="2938" w:type="dxa"/>
            <w:tcBorders>
              <w:top w:val="nil"/>
              <w:left w:val="single" w:sz="4" w:space="0" w:color="auto"/>
              <w:bottom w:val="single" w:sz="4" w:space="0" w:color="auto"/>
              <w:right w:val="single" w:sz="4" w:space="0" w:color="auto"/>
            </w:tcBorders>
            <w:shd w:val="clear" w:color="auto" w:fill="auto"/>
            <w:noWrap/>
            <w:vAlign w:val="center"/>
            <w:hideMark/>
          </w:tcPr>
          <w:p w14:paraId="40E66A6D"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Coolant</w:t>
            </w:r>
          </w:p>
        </w:tc>
        <w:tc>
          <w:tcPr>
            <w:tcW w:w="985" w:type="dxa"/>
            <w:tcBorders>
              <w:top w:val="nil"/>
              <w:left w:val="nil"/>
              <w:bottom w:val="single" w:sz="4" w:space="0" w:color="auto"/>
              <w:right w:val="single" w:sz="4" w:space="0" w:color="auto"/>
            </w:tcBorders>
            <w:shd w:val="clear" w:color="auto" w:fill="auto"/>
            <w:noWrap/>
            <w:vAlign w:val="center"/>
            <w:hideMark/>
          </w:tcPr>
          <w:p w14:paraId="628DB329"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375.3</w:t>
            </w:r>
          </w:p>
        </w:tc>
        <w:tc>
          <w:tcPr>
            <w:tcW w:w="1018" w:type="dxa"/>
            <w:tcBorders>
              <w:top w:val="nil"/>
              <w:left w:val="nil"/>
              <w:bottom w:val="single" w:sz="4" w:space="0" w:color="auto"/>
              <w:right w:val="single" w:sz="4" w:space="0" w:color="auto"/>
            </w:tcBorders>
            <w:shd w:val="clear" w:color="auto" w:fill="auto"/>
            <w:noWrap/>
            <w:vAlign w:val="center"/>
            <w:hideMark/>
          </w:tcPr>
          <w:p w14:paraId="711F0462"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364.6</w:t>
            </w:r>
          </w:p>
        </w:tc>
        <w:tc>
          <w:tcPr>
            <w:tcW w:w="834" w:type="dxa"/>
            <w:tcBorders>
              <w:top w:val="nil"/>
              <w:left w:val="nil"/>
              <w:bottom w:val="single" w:sz="4" w:space="0" w:color="auto"/>
              <w:right w:val="single" w:sz="4" w:space="0" w:color="auto"/>
            </w:tcBorders>
            <w:shd w:val="clear" w:color="auto" w:fill="auto"/>
            <w:noWrap/>
            <w:vAlign w:val="center"/>
            <w:hideMark/>
          </w:tcPr>
          <w:p w14:paraId="4DF8114C"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10.7</w:t>
            </w:r>
          </w:p>
        </w:tc>
        <w:tc>
          <w:tcPr>
            <w:tcW w:w="810" w:type="dxa"/>
            <w:tcBorders>
              <w:top w:val="nil"/>
              <w:left w:val="nil"/>
              <w:bottom w:val="single" w:sz="4" w:space="0" w:color="auto"/>
              <w:right w:val="single" w:sz="4" w:space="0" w:color="auto"/>
            </w:tcBorders>
            <w:shd w:val="clear" w:color="auto" w:fill="auto"/>
            <w:noWrap/>
            <w:vAlign w:val="center"/>
            <w:hideMark/>
          </w:tcPr>
          <w:p w14:paraId="40BC6774"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10.5</w:t>
            </w:r>
          </w:p>
        </w:tc>
      </w:tr>
      <w:tr w:rsidR="00F039AB" w:rsidRPr="00F039AB" w14:paraId="384B60EB" w14:textId="77777777" w:rsidTr="003D416B">
        <w:trPr>
          <w:trHeight w:val="300"/>
          <w:jc w:val="center"/>
        </w:trPr>
        <w:tc>
          <w:tcPr>
            <w:tcW w:w="2938" w:type="dxa"/>
            <w:tcBorders>
              <w:top w:val="nil"/>
              <w:left w:val="single" w:sz="4" w:space="0" w:color="auto"/>
              <w:bottom w:val="single" w:sz="4" w:space="0" w:color="auto"/>
              <w:right w:val="single" w:sz="4" w:space="0" w:color="auto"/>
            </w:tcBorders>
            <w:shd w:val="clear" w:color="auto" w:fill="auto"/>
            <w:noWrap/>
            <w:vAlign w:val="center"/>
            <w:hideMark/>
          </w:tcPr>
          <w:p w14:paraId="34277C8B"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Fuel Plate Surface</w:t>
            </w:r>
          </w:p>
        </w:tc>
        <w:tc>
          <w:tcPr>
            <w:tcW w:w="985" w:type="dxa"/>
            <w:tcBorders>
              <w:top w:val="nil"/>
              <w:left w:val="nil"/>
              <w:bottom w:val="single" w:sz="4" w:space="0" w:color="auto"/>
              <w:right w:val="single" w:sz="4" w:space="0" w:color="auto"/>
            </w:tcBorders>
            <w:shd w:val="clear" w:color="auto" w:fill="auto"/>
            <w:noWrap/>
            <w:vAlign w:val="center"/>
            <w:hideMark/>
          </w:tcPr>
          <w:p w14:paraId="69E19FBC"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403.0</w:t>
            </w:r>
          </w:p>
        </w:tc>
        <w:tc>
          <w:tcPr>
            <w:tcW w:w="1018" w:type="dxa"/>
            <w:tcBorders>
              <w:top w:val="nil"/>
              <w:left w:val="nil"/>
              <w:bottom w:val="single" w:sz="4" w:space="0" w:color="auto"/>
              <w:right w:val="single" w:sz="4" w:space="0" w:color="auto"/>
            </w:tcBorders>
            <w:shd w:val="clear" w:color="auto" w:fill="auto"/>
            <w:noWrap/>
            <w:vAlign w:val="center"/>
            <w:hideMark/>
          </w:tcPr>
          <w:p w14:paraId="0FB9D4D4"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393.7</w:t>
            </w:r>
          </w:p>
        </w:tc>
        <w:tc>
          <w:tcPr>
            <w:tcW w:w="834" w:type="dxa"/>
            <w:tcBorders>
              <w:top w:val="nil"/>
              <w:left w:val="nil"/>
              <w:bottom w:val="single" w:sz="4" w:space="0" w:color="auto"/>
              <w:right w:val="single" w:sz="4" w:space="0" w:color="auto"/>
            </w:tcBorders>
            <w:shd w:val="clear" w:color="auto" w:fill="auto"/>
            <w:noWrap/>
            <w:vAlign w:val="center"/>
            <w:hideMark/>
          </w:tcPr>
          <w:p w14:paraId="67268136"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9.3</w:t>
            </w:r>
          </w:p>
        </w:tc>
        <w:tc>
          <w:tcPr>
            <w:tcW w:w="810" w:type="dxa"/>
            <w:tcBorders>
              <w:top w:val="nil"/>
              <w:left w:val="nil"/>
              <w:bottom w:val="single" w:sz="4" w:space="0" w:color="auto"/>
              <w:right w:val="single" w:sz="4" w:space="0" w:color="auto"/>
            </w:tcBorders>
            <w:shd w:val="clear" w:color="auto" w:fill="auto"/>
            <w:noWrap/>
            <w:vAlign w:val="center"/>
            <w:hideMark/>
          </w:tcPr>
          <w:p w14:paraId="4B37D74C"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7.2</w:t>
            </w:r>
          </w:p>
        </w:tc>
      </w:tr>
      <w:tr w:rsidR="00F039AB" w:rsidRPr="00F039AB" w14:paraId="4EF3ECEE" w14:textId="77777777" w:rsidTr="003D416B">
        <w:trPr>
          <w:trHeight w:val="300"/>
          <w:jc w:val="center"/>
        </w:trPr>
        <w:tc>
          <w:tcPr>
            <w:tcW w:w="2938" w:type="dxa"/>
            <w:tcBorders>
              <w:top w:val="nil"/>
              <w:left w:val="single" w:sz="4" w:space="0" w:color="auto"/>
              <w:bottom w:val="single" w:sz="4" w:space="0" w:color="auto"/>
              <w:right w:val="single" w:sz="4" w:space="0" w:color="auto"/>
            </w:tcBorders>
            <w:shd w:val="clear" w:color="auto" w:fill="auto"/>
            <w:noWrap/>
            <w:vAlign w:val="center"/>
            <w:hideMark/>
          </w:tcPr>
          <w:p w14:paraId="3ED1D6D6"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Fuel Meat Surface</w:t>
            </w:r>
          </w:p>
        </w:tc>
        <w:tc>
          <w:tcPr>
            <w:tcW w:w="985" w:type="dxa"/>
            <w:tcBorders>
              <w:top w:val="nil"/>
              <w:left w:val="nil"/>
              <w:bottom w:val="single" w:sz="4" w:space="0" w:color="auto"/>
              <w:right w:val="single" w:sz="4" w:space="0" w:color="auto"/>
            </w:tcBorders>
            <w:shd w:val="clear" w:color="auto" w:fill="auto"/>
            <w:noWrap/>
            <w:vAlign w:val="center"/>
            <w:hideMark/>
          </w:tcPr>
          <w:p w14:paraId="132BA3D1"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409.1</w:t>
            </w:r>
          </w:p>
        </w:tc>
        <w:tc>
          <w:tcPr>
            <w:tcW w:w="1018" w:type="dxa"/>
            <w:tcBorders>
              <w:top w:val="nil"/>
              <w:left w:val="nil"/>
              <w:bottom w:val="single" w:sz="4" w:space="0" w:color="auto"/>
              <w:right w:val="single" w:sz="4" w:space="0" w:color="auto"/>
            </w:tcBorders>
            <w:shd w:val="clear" w:color="auto" w:fill="auto"/>
            <w:noWrap/>
            <w:vAlign w:val="center"/>
            <w:hideMark/>
          </w:tcPr>
          <w:p w14:paraId="0C3834C3"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400.7</w:t>
            </w:r>
          </w:p>
        </w:tc>
        <w:tc>
          <w:tcPr>
            <w:tcW w:w="834" w:type="dxa"/>
            <w:tcBorders>
              <w:top w:val="nil"/>
              <w:left w:val="nil"/>
              <w:bottom w:val="single" w:sz="4" w:space="0" w:color="auto"/>
              <w:right w:val="single" w:sz="4" w:space="0" w:color="auto"/>
            </w:tcBorders>
            <w:shd w:val="clear" w:color="auto" w:fill="auto"/>
            <w:noWrap/>
            <w:vAlign w:val="center"/>
            <w:hideMark/>
          </w:tcPr>
          <w:p w14:paraId="634CDA47"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8.4</w:t>
            </w:r>
          </w:p>
        </w:tc>
        <w:tc>
          <w:tcPr>
            <w:tcW w:w="810" w:type="dxa"/>
            <w:tcBorders>
              <w:top w:val="nil"/>
              <w:left w:val="nil"/>
              <w:bottom w:val="single" w:sz="4" w:space="0" w:color="auto"/>
              <w:right w:val="single" w:sz="4" w:space="0" w:color="auto"/>
            </w:tcBorders>
            <w:shd w:val="clear" w:color="auto" w:fill="auto"/>
            <w:noWrap/>
            <w:vAlign w:val="center"/>
            <w:hideMark/>
          </w:tcPr>
          <w:p w14:paraId="165ED3E6"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6.2</w:t>
            </w:r>
          </w:p>
        </w:tc>
      </w:tr>
      <w:tr w:rsidR="00F039AB" w:rsidRPr="00F039AB" w14:paraId="1490424C" w14:textId="77777777" w:rsidTr="003D416B">
        <w:trPr>
          <w:trHeight w:val="300"/>
          <w:jc w:val="center"/>
        </w:trPr>
        <w:tc>
          <w:tcPr>
            <w:tcW w:w="2938" w:type="dxa"/>
            <w:tcBorders>
              <w:top w:val="nil"/>
              <w:left w:val="single" w:sz="4" w:space="0" w:color="auto"/>
              <w:bottom w:val="single" w:sz="4" w:space="0" w:color="auto"/>
              <w:right w:val="single" w:sz="4" w:space="0" w:color="auto"/>
            </w:tcBorders>
            <w:shd w:val="clear" w:color="auto" w:fill="auto"/>
            <w:noWrap/>
            <w:vAlign w:val="center"/>
            <w:hideMark/>
          </w:tcPr>
          <w:p w14:paraId="7ED54026"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Fuel Meat Internal</w:t>
            </w:r>
          </w:p>
        </w:tc>
        <w:tc>
          <w:tcPr>
            <w:tcW w:w="985" w:type="dxa"/>
            <w:tcBorders>
              <w:top w:val="nil"/>
              <w:left w:val="nil"/>
              <w:bottom w:val="single" w:sz="4" w:space="0" w:color="auto"/>
              <w:right w:val="single" w:sz="4" w:space="0" w:color="auto"/>
            </w:tcBorders>
            <w:shd w:val="clear" w:color="auto" w:fill="auto"/>
            <w:noWrap/>
            <w:vAlign w:val="center"/>
            <w:hideMark/>
          </w:tcPr>
          <w:p w14:paraId="560ADBE7"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431.8</w:t>
            </w:r>
          </w:p>
        </w:tc>
        <w:tc>
          <w:tcPr>
            <w:tcW w:w="1018" w:type="dxa"/>
            <w:tcBorders>
              <w:top w:val="nil"/>
              <w:left w:val="nil"/>
              <w:bottom w:val="single" w:sz="4" w:space="0" w:color="auto"/>
              <w:right w:val="single" w:sz="4" w:space="0" w:color="auto"/>
            </w:tcBorders>
            <w:shd w:val="clear" w:color="auto" w:fill="auto"/>
            <w:noWrap/>
            <w:vAlign w:val="center"/>
            <w:hideMark/>
          </w:tcPr>
          <w:p w14:paraId="79A30E8C"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429.6</w:t>
            </w:r>
          </w:p>
        </w:tc>
        <w:tc>
          <w:tcPr>
            <w:tcW w:w="834" w:type="dxa"/>
            <w:tcBorders>
              <w:top w:val="nil"/>
              <w:left w:val="nil"/>
              <w:bottom w:val="single" w:sz="4" w:space="0" w:color="auto"/>
              <w:right w:val="single" w:sz="4" w:space="0" w:color="auto"/>
            </w:tcBorders>
            <w:shd w:val="clear" w:color="auto" w:fill="auto"/>
            <w:noWrap/>
            <w:vAlign w:val="center"/>
            <w:hideMark/>
          </w:tcPr>
          <w:p w14:paraId="7F7204B2"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2.2</w:t>
            </w:r>
          </w:p>
        </w:tc>
        <w:tc>
          <w:tcPr>
            <w:tcW w:w="810" w:type="dxa"/>
            <w:tcBorders>
              <w:top w:val="nil"/>
              <w:left w:val="nil"/>
              <w:bottom w:val="single" w:sz="4" w:space="0" w:color="auto"/>
              <w:right w:val="single" w:sz="4" w:space="0" w:color="auto"/>
            </w:tcBorders>
            <w:shd w:val="clear" w:color="auto" w:fill="auto"/>
            <w:noWrap/>
            <w:vAlign w:val="center"/>
            <w:hideMark/>
          </w:tcPr>
          <w:p w14:paraId="542B19F9" w14:textId="77777777" w:rsidR="00F039AB" w:rsidRPr="00F039AB" w:rsidRDefault="00F039AB" w:rsidP="00F039AB">
            <w:pPr>
              <w:spacing w:after="0" w:line="240" w:lineRule="auto"/>
              <w:ind w:firstLine="0"/>
              <w:jc w:val="center"/>
              <w:rPr>
                <w:rFonts w:eastAsia="Times New Roman"/>
                <w:color w:val="000000"/>
              </w:rPr>
            </w:pPr>
            <w:r w:rsidRPr="00F039AB">
              <w:rPr>
                <w:rFonts w:eastAsia="Times New Roman"/>
                <w:color w:val="000000"/>
              </w:rPr>
              <w:t>1.4</w:t>
            </w:r>
          </w:p>
        </w:tc>
      </w:tr>
    </w:tbl>
    <w:p w14:paraId="1D77AB7F" w14:textId="77777777" w:rsidR="00F039AB" w:rsidRDefault="00F039AB" w:rsidP="00E83A33">
      <w:pPr>
        <w:pStyle w:val="NoSpacing"/>
      </w:pPr>
    </w:p>
    <w:p w14:paraId="055BA40E" w14:textId="0A24394E" w:rsidR="00E65974" w:rsidRDefault="00AB6640" w:rsidP="00D30F56">
      <w:pPr>
        <w:pStyle w:val="NormalAfterTable"/>
        <w:spacing w:after="720"/>
      </w:pPr>
      <w:r>
        <w:t>It is indisputable that the coupled model trades a small measure of accuracy for the ability to replicate core cond</w:t>
      </w:r>
      <w:r w:rsidR="00004C4D">
        <w:t>itions much faster and with</w:t>
      </w:r>
      <w:r>
        <w:t xml:space="preserve"> fewer computational resources.</w:t>
      </w:r>
      <w:r w:rsidR="00EB49F4">
        <w:t xml:space="preserve">  While the former sacrifice is small, the latter gain is considerable.  The solution times for both models are given in </w:t>
      </w:r>
      <w:r w:rsidR="00E65974">
        <w:t xml:space="preserve">Table </w:t>
      </w:r>
      <w:r w:rsidR="00E65974">
        <w:fldChar w:fldCharType="begin"/>
      </w:r>
      <w:r w:rsidR="00E65974">
        <w:instrText xml:space="preserve"> REF _Ref382900923 \r \h </w:instrText>
      </w:r>
      <w:r w:rsidR="00E65974">
        <w:fldChar w:fldCharType="separate"/>
      </w:r>
      <w:r w:rsidR="001C5EC1">
        <w:t>7.7</w:t>
      </w:r>
      <w:r w:rsidR="00E65974">
        <w:fldChar w:fldCharType="end"/>
      </w:r>
      <w:r w:rsidR="007D6B4E">
        <w:t xml:space="preserve"> along with t</w:t>
      </w:r>
      <w:r w:rsidR="00E65974">
        <w:t>he computational resources required</w:t>
      </w:r>
      <w:r w:rsidR="007D6B4E">
        <w:t xml:space="preserve"> to attain the solution.</w:t>
      </w:r>
      <w:r w:rsidR="00E65974">
        <w:t xml:space="preserve">  All runs were made on the computer cluster Betty at ORNL.  Eight of the nodes on Betty are reserved for LEU conversion work.  Each node possesses </w:t>
      </w:r>
      <w:r w:rsidR="008C114F">
        <w:t>two</w:t>
      </w:r>
      <w:r w:rsidR="00462092">
        <w:t xml:space="preserve"> AMD Opteron 6128</w:t>
      </w:r>
      <w:r w:rsidR="00E65974">
        <w:t xml:space="preserve"> processors, 16 cores, and 128 GB of RAM.</w:t>
      </w:r>
      <w:r w:rsidR="007D6B4E">
        <w:t xml:space="preserve">  </w:t>
      </w:r>
      <w:r w:rsidR="004D5496">
        <w:t>For a small trade in accuracy, the coupled mode</w:t>
      </w:r>
      <w:r w:rsidR="008C114F">
        <w:t>l is able to run in ~1/23</w:t>
      </w:r>
      <w:r w:rsidR="008C114F">
        <w:rPr>
          <w:vertAlign w:val="superscript"/>
        </w:rPr>
        <w:t>rd</w:t>
      </w:r>
      <w:r w:rsidR="004D5496">
        <w:t xml:space="preserve"> the time of</w:t>
      </w:r>
      <w:r w:rsidR="00E65974">
        <w:t xml:space="preserve"> the 3D model using 1/3</w:t>
      </w:r>
      <w:r w:rsidR="00E65974" w:rsidRPr="00E65974">
        <w:rPr>
          <w:vertAlign w:val="superscript"/>
        </w:rPr>
        <w:t>rd</w:t>
      </w:r>
      <w:r w:rsidR="00E65974">
        <w:t xml:space="preserve"> of</w:t>
      </w:r>
      <w:r w:rsidR="004D5496">
        <w:t xml:space="preserve"> the computational resources.</w:t>
      </w:r>
      <w:r w:rsidR="00392020">
        <w:t xml:space="preserve">  </w:t>
      </w:r>
      <w:r w:rsidR="00E65974">
        <w:t xml:space="preserve">The true decrease in required computational resources is even greater.  A single run of the coupled model requires less than half of the available resources on a single Betty node.  </w:t>
      </w:r>
    </w:p>
    <w:tbl>
      <w:tblPr>
        <w:tblW w:w="7160" w:type="dxa"/>
        <w:jc w:val="center"/>
        <w:tblLook w:val="04A0" w:firstRow="1" w:lastRow="0" w:firstColumn="1" w:lastColumn="0" w:noHBand="0" w:noVBand="1"/>
      </w:tblPr>
      <w:tblGrid>
        <w:gridCol w:w="966"/>
        <w:gridCol w:w="1487"/>
        <w:gridCol w:w="1737"/>
        <w:gridCol w:w="2070"/>
        <w:gridCol w:w="900"/>
      </w:tblGrid>
      <w:tr w:rsidR="00E65974" w:rsidRPr="00E65974" w14:paraId="68123D97" w14:textId="77777777" w:rsidTr="00E65974">
        <w:trPr>
          <w:trHeight w:val="300"/>
          <w:jc w:val="center"/>
        </w:trPr>
        <w:tc>
          <w:tcPr>
            <w:tcW w:w="716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96F5E" w14:textId="1C45E3B9" w:rsidR="00E65974" w:rsidRPr="00E65974" w:rsidRDefault="00E65974" w:rsidP="006B4E71">
            <w:pPr>
              <w:pStyle w:val="NoSpacing"/>
            </w:pPr>
            <w:bookmarkStart w:id="330" w:name="_Toc382920205"/>
            <w:r w:rsidRPr="00AD0C0C">
              <w:t xml:space="preserve">Table </w:t>
            </w:r>
            <w:r w:rsidRPr="00AD0C0C">
              <w:fldChar w:fldCharType="begin"/>
            </w:r>
            <w:bookmarkStart w:id="331" w:name="_Ref382900923"/>
            <w:bookmarkEnd w:id="331"/>
            <w:r w:rsidRPr="00AD0C0C">
              <w:instrText xml:space="preserve"> LISTNUM TAB \l 2</w:instrText>
            </w:r>
            <w:r w:rsidRPr="00AD0C0C">
              <w:fldChar w:fldCharType="end"/>
            </w:r>
            <w:r w:rsidRPr="00AD0C0C">
              <w:t xml:space="preserve">:  </w:t>
            </w:r>
            <w:r>
              <w:t>Coupled vs. 3D Speed-Up</w:t>
            </w:r>
            <w:bookmarkEnd w:id="330"/>
          </w:p>
        </w:tc>
      </w:tr>
      <w:tr w:rsidR="00E65974" w:rsidRPr="00E65974" w14:paraId="77A417D4" w14:textId="77777777" w:rsidTr="00E65974">
        <w:trPr>
          <w:trHeight w:val="600"/>
          <w:jc w:val="center"/>
        </w:trPr>
        <w:tc>
          <w:tcPr>
            <w:tcW w:w="966" w:type="dxa"/>
            <w:tcBorders>
              <w:top w:val="nil"/>
              <w:left w:val="single" w:sz="4" w:space="0" w:color="auto"/>
              <w:bottom w:val="single" w:sz="4" w:space="0" w:color="auto"/>
              <w:right w:val="single" w:sz="4" w:space="0" w:color="auto"/>
            </w:tcBorders>
            <w:shd w:val="clear" w:color="auto" w:fill="auto"/>
            <w:noWrap/>
            <w:vAlign w:val="center"/>
            <w:hideMark/>
          </w:tcPr>
          <w:p w14:paraId="1ED1BEE5" w14:textId="77777777" w:rsidR="00E65974" w:rsidRPr="00E65974" w:rsidRDefault="00E65974" w:rsidP="00E65974">
            <w:pPr>
              <w:spacing w:after="0" w:line="240" w:lineRule="auto"/>
              <w:ind w:firstLine="0"/>
              <w:jc w:val="center"/>
              <w:rPr>
                <w:rFonts w:eastAsia="Times New Roman"/>
                <w:color w:val="000000"/>
              </w:rPr>
            </w:pPr>
            <w:r w:rsidRPr="00E65974">
              <w:rPr>
                <w:rFonts w:eastAsia="Times New Roman"/>
                <w:color w:val="000000"/>
              </w:rPr>
              <w:t xml:space="preserve">Model </w:t>
            </w:r>
          </w:p>
        </w:tc>
        <w:tc>
          <w:tcPr>
            <w:tcW w:w="1487" w:type="dxa"/>
            <w:tcBorders>
              <w:top w:val="nil"/>
              <w:left w:val="nil"/>
              <w:bottom w:val="single" w:sz="4" w:space="0" w:color="auto"/>
              <w:right w:val="single" w:sz="4" w:space="0" w:color="auto"/>
            </w:tcBorders>
            <w:shd w:val="clear" w:color="auto" w:fill="auto"/>
            <w:vAlign w:val="center"/>
            <w:hideMark/>
          </w:tcPr>
          <w:p w14:paraId="6F952663" w14:textId="77777777" w:rsidR="00E65974" w:rsidRPr="00E65974" w:rsidRDefault="00E65974" w:rsidP="00E65974">
            <w:pPr>
              <w:spacing w:after="0" w:line="240" w:lineRule="auto"/>
              <w:ind w:firstLine="0"/>
              <w:jc w:val="center"/>
              <w:rPr>
                <w:rFonts w:eastAsia="Times New Roman"/>
                <w:color w:val="000000"/>
              </w:rPr>
            </w:pPr>
            <w:r w:rsidRPr="00E65974">
              <w:rPr>
                <w:rFonts w:eastAsia="Times New Roman"/>
                <w:color w:val="000000"/>
              </w:rPr>
              <w:t>Computation</w:t>
            </w:r>
            <w:r w:rsidRPr="00E65974">
              <w:rPr>
                <w:rFonts w:eastAsia="Times New Roman"/>
                <w:color w:val="000000"/>
              </w:rPr>
              <w:br/>
              <w:t>Time (hrs)</w:t>
            </w:r>
          </w:p>
        </w:tc>
        <w:tc>
          <w:tcPr>
            <w:tcW w:w="1737" w:type="dxa"/>
            <w:tcBorders>
              <w:top w:val="nil"/>
              <w:left w:val="nil"/>
              <w:bottom w:val="single" w:sz="4" w:space="0" w:color="auto"/>
              <w:right w:val="single" w:sz="4" w:space="0" w:color="auto"/>
            </w:tcBorders>
            <w:shd w:val="clear" w:color="auto" w:fill="auto"/>
            <w:vAlign w:val="center"/>
            <w:hideMark/>
          </w:tcPr>
          <w:p w14:paraId="47EEA3F1" w14:textId="77777777" w:rsidR="00E65974" w:rsidRPr="00E65974" w:rsidRDefault="00E65974" w:rsidP="00E65974">
            <w:pPr>
              <w:spacing w:after="0" w:line="240" w:lineRule="auto"/>
              <w:ind w:firstLine="0"/>
              <w:jc w:val="center"/>
              <w:rPr>
                <w:rFonts w:eastAsia="Times New Roman"/>
                <w:color w:val="000000"/>
              </w:rPr>
            </w:pPr>
            <w:r w:rsidRPr="00E65974">
              <w:rPr>
                <w:rFonts w:eastAsia="Times New Roman"/>
                <w:color w:val="000000"/>
              </w:rPr>
              <w:t>Mesh Elements</w:t>
            </w:r>
            <w:r w:rsidRPr="00E65974">
              <w:rPr>
                <w:rFonts w:eastAsia="Times New Roman"/>
                <w:color w:val="000000"/>
              </w:rPr>
              <w:br/>
              <w:t>(in thousands)</w:t>
            </w:r>
          </w:p>
        </w:tc>
        <w:tc>
          <w:tcPr>
            <w:tcW w:w="2070" w:type="dxa"/>
            <w:tcBorders>
              <w:top w:val="nil"/>
              <w:left w:val="nil"/>
              <w:bottom w:val="single" w:sz="4" w:space="0" w:color="auto"/>
              <w:right w:val="single" w:sz="4" w:space="0" w:color="auto"/>
            </w:tcBorders>
            <w:shd w:val="clear" w:color="auto" w:fill="auto"/>
            <w:vAlign w:val="center"/>
            <w:hideMark/>
          </w:tcPr>
          <w:p w14:paraId="291437AF" w14:textId="77777777" w:rsidR="00E65974" w:rsidRPr="00E65974" w:rsidRDefault="00E65974" w:rsidP="00E65974">
            <w:pPr>
              <w:spacing w:after="0" w:line="240" w:lineRule="auto"/>
              <w:ind w:firstLine="0"/>
              <w:jc w:val="center"/>
              <w:rPr>
                <w:rFonts w:eastAsia="Times New Roman"/>
                <w:color w:val="000000"/>
              </w:rPr>
            </w:pPr>
            <w:r w:rsidRPr="00E65974">
              <w:rPr>
                <w:rFonts w:eastAsia="Times New Roman"/>
                <w:color w:val="000000"/>
              </w:rPr>
              <w:t>Degrees of Freedom</w:t>
            </w:r>
            <w:r w:rsidRPr="00E65974">
              <w:rPr>
                <w:rFonts w:eastAsia="Times New Roman"/>
                <w:color w:val="000000"/>
              </w:rPr>
              <w:br/>
              <w:t>(in thousands)</w:t>
            </w:r>
          </w:p>
        </w:tc>
        <w:tc>
          <w:tcPr>
            <w:tcW w:w="900" w:type="dxa"/>
            <w:tcBorders>
              <w:top w:val="nil"/>
              <w:left w:val="nil"/>
              <w:bottom w:val="single" w:sz="4" w:space="0" w:color="auto"/>
              <w:right w:val="single" w:sz="4" w:space="0" w:color="auto"/>
            </w:tcBorders>
            <w:shd w:val="clear" w:color="auto" w:fill="auto"/>
            <w:vAlign w:val="center"/>
            <w:hideMark/>
          </w:tcPr>
          <w:p w14:paraId="07A8F3F8" w14:textId="77777777" w:rsidR="00E65974" w:rsidRPr="00E65974" w:rsidRDefault="00E65974" w:rsidP="00E65974">
            <w:pPr>
              <w:spacing w:after="0" w:line="240" w:lineRule="auto"/>
              <w:ind w:firstLine="0"/>
              <w:jc w:val="center"/>
              <w:rPr>
                <w:rFonts w:eastAsia="Times New Roman"/>
                <w:color w:val="000000"/>
              </w:rPr>
            </w:pPr>
            <w:r w:rsidRPr="00E65974">
              <w:rPr>
                <w:rFonts w:eastAsia="Times New Roman"/>
                <w:color w:val="000000"/>
              </w:rPr>
              <w:t>Betty Nodes</w:t>
            </w:r>
          </w:p>
        </w:tc>
      </w:tr>
      <w:tr w:rsidR="00E65974" w:rsidRPr="00E65974" w14:paraId="57EFF086" w14:textId="77777777" w:rsidTr="00E65974">
        <w:trPr>
          <w:trHeight w:val="300"/>
          <w:jc w:val="center"/>
        </w:trPr>
        <w:tc>
          <w:tcPr>
            <w:tcW w:w="966" w:type="dxa"/>
            <w:tcBorders>
              <w:top w:val="nil"/>
              <w:left w:val="single" w:sz="4" w:space="0" w:color="auto"/>
              <w:bottom w:val="single" w:sz="4" w:space="0" w:color="auto"/>
              <w:right w:val="single" w:sz="4" w:space="0" w:color="auto"/>
            </w:tcBorders>
            <w:shd w:val="clear" w:color="auto" w:fill="auto"/>
            <w:noWrap/>
            <w:vAlign w:val="center"/>
            <w:hideMark/>
          </w:tcPr>
          <w:p w14:paraId="6D331CB2" w14:textId="77777777" w:rsidR="00E65974" w:rsidRPr="00E65974" w:rsidRDefault="00E65974" w:rsidP="00E65974">
            <w:pPr>
              <w:spacing w:after="0" w:line="240" w:lineRule="auto"/>
              <w:ind w:firstLine="0"/>
              <w:jc w:val="center"/>
              <w:rPr>
                <w:rFonts w:eastAsia="Times New Roman"/>
                <w:color w:val="000000"/>
              </w:rPr>
            </w:pPr>
            <w:r w:rsidRPr="00E65974">
              <w:rPr>
                <w:rFonts w:eastAsia="Times New Roman"/>
                <w:color w:val="000000"/>
              </w:rPr>
              <w:t>3D</w:t>
            </w:r>
          </w:p>
        </w:tc>
        <w:tc>
          <w:tcPr>
            <w:tcW w:w="1487" w:type="dxa"/>
            <w:tcBorders>
              <w:top w:val="nil"/>
              <w:left w:val="nil"/>
              <w:bottom w:val="single" w:sz="4" w:space="0" w:color="auto"/>
              <w:right w:val="single" w:sz="4" w:space="0" w:color="auto"/>
            </w:tcBorders>
            <w:shd w:val="clear" w:color="auto" w:fill="auto"/>
            <w:noWrap/>
            <w:vAlign w:val="center"/>
            <w:hideMark/>
          </w:tcPr>
          <w:p w14:paraId="5CE0BC18" w14:textId="77777777" w:rsidR="00E65974" w:rsidRPr="00E65974" w:rsidRDefault="00E65974" w:rsidP="00E65974">
            <w:pPr>
              <w:spacing w:after="0" w:line="240" w:lineRule="auto"/>
              <w:ind w:firstLine="0"/>
              <w:jc w:val="center"/>
              <w:rPr>
                <w:rFonts w:eastAsia="Times New Roman"/>
                <w:color w:val="000000"/>
              </w:rPr>
            </w:pPr>
            <w:r w:rsidRPr="00E65974">
              <w:rPr>
                <w:rFonts w:eastAsia="Times New Roman"/>
                <w:color w:val="000000"/>
              </w:rPr>
              <w:t>69</w:t>
            </w:r>
          </w:p>
        </w:tc>
        <w:tc>
          <w:tcPr>
            <w:tcW w:w="1737" w:type="dxa"/>
            <w:tcBorders>
              <w:top w:val="nil"/>
              <w:left w:val="nil"/>
              <w:bottom w:val="single" w:sz="4" w:space="0" w:color="auto"/>
              <w:right w:val="single" w:sz="4" w:space="0" w:color="auto"/>
            </w:tcBorders>
            <w:shd w:val="clear" w:color="auto" w:fill="auto"/>
            <w:noWrap/>
            <w:vAlign w:val="center"/>
            <w:hideMark/>
          </w:tcPr>
          <w:p w14:paraId="349CC00F" w14:textId="77777777" w:rsidR="00E65974" w:rsidRPr="00E65974" w:rsidRDefault="00E65974" w:rsidP="00E65974">
            <w:pPr>
              <w:spacing w:after="0" w:line="240" w:lineRule="auto"/>
              <w:ind w:firstLine="0"/>
              <w:jc w:val="center"/>
              <w:rPr>
                <w:rFonts w:eastAsia="Times New Roman"/>
                <w:color w:val="000000"/>
              </w:rPr>
            </w:pPr>
            <w:r w:rsidRPr="00E65974">
              <w:rPr>
                <w:rFonts w:eastAsia="Times New Roman"/>
                <w:color w:val="000000"/>
              </w:rPr>
              <w:t>2311</w:t>
            </w:r>
          </w:p>
        </w:tc>
        <w:tc>
          <w:tcPr>
            <w:tcW w:w="2070" w:type="dxa"/>
            <w:tcBorders>
              <w:top w:val="nil"/>
              <w:left w:val="nil"/>
              <w:bottom w:val="single" w:sz="4" w:space="0" w:color="auto"/>
              <w:right w:val="single" w:sz="4" w:space="0" w:color="auto"/>
            </w:tcBorders>
            <w:shd w:val="clear" w:color="auto" w:fill="auto"/>
            <w:noWrap/>
            <w:vAlign w:val="center"/>
            <w:hideMark/>
          </w:tcPr>
          <w:p w14:paraId="7C80C308" w14:textId="77777777" w:rsidR="00E65974" w:rsidRPr="00E65974" w:rsidRDefault="00E65974" w:rsidP="00E65974">
            <w:pPr>
              <w:spacing w:after="0" w:line="240" w:lineRule="auto"/>
              <w:ind w:firstLine="0"/>
              <w:jc w:val="center"/>
              <w:rPr>
                <w:rFonts w:eastAsia="Times New Roman"/>
                <w:color w:val="000000"/>
              </w:rPr>
            </w:pPr>
            <w:r w:rsidRPr="00E65974">
              <w:rPr>
                <w:rFonts w:eastAsia="Times New Roman"/>
                <w:color w:val="000000"/>
              </w:rPr>
              <w:t>6465</w:t>
            </w:r>
          </w:p>
        </w:tc>
        <w:tc>
          <w:tcPr>
            <w:tcW w:w="900" w:type="dxa"/>
            <w:tcBorders>
              <w:top w:val="nil"/>
              <w:left w:val="nil"/>
              <w:bottom w:val="single" w:sz="4" w:space="0" w:color="auto"/>
              <w:right w:val="single" w:sz="4" w:space="0" w:color="auto"/>
            </w:tcBorders>
            <w:shd w:val="clear" w:color="auto" w:fill="auto"/>
            <w:noWrap/>
            <w:vAlign w:val="center"/>
            <w:hideMark/>
          </w:tcPr>
          <w:p w14:paraId="72C703F6" w14:textId="77777777" w:rsidR="00E65974" w:rsidRPr="00E65974" w:rsidRDefault="00E65974" w:rsidP="00E65974">
            <w:pPr>
              <w:spacing w:after="0" w:line="240" w:lineRule="auto"/>
              <w:ind w:firstLine="0"/>
              <w:jc w:val="center"/>
              <w:rPr>
                <w:rFonts w:eastAsia="Times New Roman"/>
                <w:color w:val="000000"/>
              </w:rPr>
            </w:pPr>
            <w:r w:rsidRPr="00E65974">
              <w:rPr>
                <w:rFonts w:eastAsia="Times New Roman"/>
                <w:color w:val="000000"/>
              </w:rPr>
              <w:t>3</w:t>
            </w:r>
          </w:p>
        </w:tc>
      </w:tr>
      <w:tr w:rsidR="00E65974" w:rsidRPr="00E65974" w14:paraId="72D84511" w14:textId="77777777" w:rsidTr="00E65974">
        <w:trPr>
          <w:trHeight w:val="300"/>
          <w:jc w:val="center"/>
        </w:trPr>
        <w:tc>
          <w:tcPr>
            <w:tcW w:w="966" w:type="dxa"/>
            <w:tcBorders>
              <w:top w:val="nil"/>
              <w:left w:val="single" w:sz="4" w:space="0" w:color="auto"/>
              <w:bottom w:val="single" w:sz="4" w:space="0" w:color="auto"/>
              <w:right w:val="single" w:sz="4" w:space="0" w:color="auto"/>
            </w:tcBorders>
            <w:shd w:val="clear" w:color="auto" w:fill="auto"/>
            <w:noWrap/>
            <w:vAlign w:val="center"/>
            <w:hideMark/>
          </w:tcPr>
          <w:p w14:paraId="2AEB1DC5" w14:textId="77777777" w:rsidR="00E65974" w:rsidRPr="00E65974" w:rsidRDefault="00E65974" w:rsidP="00E65974">
            <w:pPr>
              <w:spacing w:after="0" w:line="240" w:lineRule="auto"/>
              <w:ind w:firstLine="0"/>
              <w:jc w:val="center"/>
              <w:rPr>
                <w:rFonts w:eastAsia="Times New Roman"/>
                <w:color w:val="000000"/>
              </w:rPr>
            </w:pPr>
            <w:r w:rsidRPr="00E65974">
              <w:rPr>
                <w:rFonts w:eastAsia="Times New Roman"/>
                <w:color w:val="000000"/>
              </w:rPr>
              <w:t>Coupled</w:t>
            </w:r>
          </w:p>
        </w:tc>
        <w:tc>
          <w:tcPr>
            <w:tcW w:w="1487" w:type="dxa"/>
            <w:tcBorders>
              <w:top w:val="nil"/>
              <w:left w:val="nil"/>
              <w:bottom w:val="single" w:sz="4" w:space="0" w:color="auto"/>
              <w:right w:val="single" w:sz="4" w:space="0" w:color="auto"/>
            </w:tcBorders>
            <w:shd w:val="clear" w:color="auto" w:fill="auto"/>
            <w:noWrap/>
            <w:vAlign w:val="center"/>
            <w:hideMark/>
          </w:tcPr>
          <w:p w14:paraId="18E1E749" w14:textId="66623EE9" w:rsidR="00E65974" w:rsidRPr="00E65974" w:rsidRDefault="008C114F" w:rsidP="00E65974">
            <w:pPr>
              <w:spacing w:after="0" w:line="240" w:lineRule="auto"/>
              <w:ind w:firstLine="0"/>
              <w:jc w:val="center"/>
              <w:rPr>
                <w:rFonts w:eastAsia="Times New Roman"/>
                <w:color w:val="000000"/>
              </w:rPr>
            </w:pPr>
            <w:r>
              <w:rPr>
                <w:rFonts w:eastAsia="Times New Roman"/>
                <w:color w:val="000000"/>
              </w:rPr>
              <w:t>3</w:t>
            </w:r>
          </w:p>
        </w:tc>
        <w:tc>
          <w:tcPr>
            <w:tcW w:w="1737" w:type="dxa"/>
            <w:tcBorders>
              <w:top w:val="nil"/>
              <w:left w:val="nil"/>
              <w:bottom w:val="single" w:sz="4" w:space="0" w:color="auto"/>
              <w:right w:val="single" w:sz="4" w:space="0" w:color="auto"/>
            </w:tcBorders>
            <w:shd w:val="clear" w:color="auto" w:fill="auto"/>
            <w:noWrap/>
            <w:vAlign w:val="center"/>
            <w:hideMark/>
          </w:tcPr>
          <w:p w14:paraId="2D729165" w14:textId="77777777" w:rsidR="00E65974" w:rsidRPr="00E65974" w:rsidRDefault="00E65974" w:rsidP="00E65974">
            <w:pPr>
              <w:spacing w:after="0" w:line="240" w:lineRule="auto"/>
              <w:ind w:firstLine="0"/>
              <w:jc w:val="center"/>
              <w:rPr>
                <w:rFonts w:eastAsia="Times New Roman"/>
                <w:color w:val="000000"/>
              </w:rPr>
            </w:pPr>
            <w:r w:rsidRPr="00E65974">
              <w:rPr>
                <w:rFonts w:eastAsia="Times New Roman"/>
                <w:color w:val="000000"/>
              </w:rPr>
              <w:t>21</w:t>
            </w:r>
          </w:p>
        </w:tc>
        <w:tc>
          <w:tcPr>
            <w:tcW w:w="2070" w:type="dxa"/>
            <w:tcBorders>
              <w:top w:val="nil"/>
              <w:left w:val="nil"/>
              <w:bottom w:val="single" w:sz="4" w:space="0" w:color="auto"/>
              <w:right w:val="single" w:sz="4" w:space="0" w:color="auto"/>
            </w:tcBorders>
            <w:shd w:val="clear" w:color="auto" w:fill="auto"/>
            <w:noWrap/>
            <w:vAlign w:val="center"/>
            <w:hideMark/>
          </w:tcPr>
          <w:p w14:paraId="1F409A2C" w14:textId="77777777" w:rsidR="00E65974" w:rsidRPr="00E65974" w:rsidRDefault="00E65974" w:rsidP="00E65974">
            <w:pPr>
              <w:spacing w:after="0" w:line="240" w:lineRule="auto"/>
              <w:ind w:firstLine="0"/>
              <w:jc w:val="center"/>
              <w:rPr>
                <w:rFonts w:eastAsia="Times New Roman"/>
                <w:color w:val="000000"/>
              </w:rPr>
            </w:pPr>
            <w:r w:rsidRPr="00E65974">
              <w:rPr>
                <w:rFonts w:eastAsia="Times New Roman"/>
                <w:color w:val="000000"/>
              </w:rPr>
              <w:t>288</w:t>
            </w:r>
          </w:p>
        </w:tc>
        <w:tc>
          <w:tcPr>
            <w:tcW w:w="900" w:type="dxa"/>
            <w:tcBorders>
              <w:top w:val="nil"/>
              <w:left w:val="nil"/>
              <w:bottom w:val="single" w:sz="4" w:space="0" w:color="auto"/>
              <w:right w:val="single" w:sz="4" w:space="0" w:color="auto"/>
            </w:tcBorders>
            <w:shd w:val="clear" w:color="auto" w:fill="auto"/>
            <w:noWrap/>
            <w:vAlign w:val="center"/>
            <w:hideMark/>
          </w:tcPr>
          <w:p w14:paraId="0C675298" w14:textId="77777777" w:rsidR="00E65974" w:rsidRPr="00E65974" w:rsidRDefault="00E65974" w:rsidP="00E65974">
            <w:pPr>
              <w:spacing w:after="0" w:line="240" w:lineRule="auto"/>
              <w:ind w:firstLine="0"/>
              <w:jc w:val="center"/>
              <w:rPr>
                <w:rFonts w:eastAsia="Times New Roman"/>
                <w:color w:val="000000"/>
              </w:rPr>
            </w:pPr>
            <w:r w:rsidRPr="00E65974">
              <w:rPr>
                <w:rFonts w:eastAsia="Times New Roman"/>
                <w:color w:val="000000"/>
              </w:rPr>
              <w:t>1</w:t>
            </w:r>
          </w:p>
        </w:tc>
      </w:tr>
    </w:tbl>
    <w:p w14:paraId="26F43EE2" w14:textId="0FB9404B" w:rsidR="00D30F56" w:rsidRDefault="00D30F56" w:rsidP="00D30F56">
      <w:pPr>
        <w:pStyle w:val="Heading2"/>
      </w:pPr>
      <w:r>
        <w:fldChar w:fldCharType="begin"/>
      </w:r>
      <w:r>
        <w:instrText xml:space="preserve"> LISTNUM CHAP \l 2 </w:instrText>
      </w:r>
      <w:bookmarkStart w:id="332" w:name="_Toc382921560"/>
      <w:r>
        <w:fldChar w:fldCharType="end"/>
      </w:r>
      <w:r>
        <w:t xml:space="preserve">    </w:t>
      </w:r>
      <w:r w:rsidR="00022C5F">
        <w:t>Justification of Selected Residual Tolerance</w:t>
      </w:r>
      <w:bookmarkEnd w:id="332"/>
    </w:p>
    <w:p w14:paraId="4A1186EB" w14:textId="47041D2C" w:rsidR="00D30F56" w:rsidRDefault="00AB234D" w:rsidP="00420442">
      <w:pPr>
        <w:pStyle w:val="NormalBeforeTable"/>
      </w:pPr>
      <w:r>
        <w:t xml:space="preserve">All </w:t>
      </w:r>
      <w:r w:rsidR="007F50C5">
        <w:t>solutions</w:t>
      </w:r>
      <w:r>
        <w:t xml:space="preserve"> presented in this section were performed using a relative residual of 1.00X10</w:t>
      </w:r>
      <w:r>
        <w:rPr>
          <w:vertAlign w:val="superscript"/>
        </w:rPr>
        <w:t>-2</w:t>
      </w:r>
      <w:r>
        <w:t>.</w:t>
      </w:r>
      <w:r w:rsidR="007F50C5">
        <w:t xml:space="preserve">  </w:t>
      </w:r>
      <w:r w:rsidR="00D30F56">
        <w:t>To demonstrate this point, the final coupled model was run using a relative residual of 1.00X10</w:t>
      </w:r>
      <w:r w:rsidR="00D30F56">
        <w:rPr>
          <w:vertAlign w:val="superscript"/>
        </w:rPr>
        <w:t>-5</w:t>
      </w:r>
      <w:r w:rsidR="00D30F56">
        <w:t>.  A comparison the two solutions is shown in Table</w:t>
      </w:r>
      <w:r w:rsidR="00420442">
        <w:t xml:space="preserve"> </w:t>
      </w:r>
      <w:r w:rsidR="000965FA">
        <w:fldChar w:fldCharType="begin"/>
      </w:r>
      <w:r w:rsidR="000965FA">
        <w:instrText xml:space="preserve"> REF _Ref382907572 \r \h </w:instrText>
      </w:r>
      <w:r w:rsidR="000965FA">
        <w:fldChar w:fldCharType="separate"/>
      </w:r>
      <w:r w:rsidR="001C5EC1">
        <w:t>7.8</w:t>
      </w:r>
      <w:r w:rsidR="000965FA">
        <w:fldChar w:fldCharType="end"/>
      </w:r>
      <w:r w:rsidR="00D30F56">
        <w:t>.</w:t>
      </w:r>
      <w:r w:rsidR="0011536F">
        <w:t xml:space="preserve">  Any change in solution in the fuel plate fails to register with five significant digits.  A slight drop in the change in coolant enthalpy is measured by the higher tolerance case but its effect is so minimal that it doesn’t register a change in the maximum temperature to four significant digits.</w:t>
      </w:r>
      <w:r w:rsidR="00ED49FD">
        <w:t xml:space="preserve">  </w:t>
      </w:r>
      <w:r w:rsidR="009413B6">
        <w:t>The only truly non-trivial effect that increasing the tolerance had was to increase the solution time substantially.</w:t>
      </w:r>
    </w:p>
    <w:tbl>
      <w:tblPr>
        <w:tblW w:w="75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236"/>
        <w:gridCol w:w="987"/>
        <w:gridCol w:w="990"/>
        <w:gridCol w:w="990"/>
        <w:gridCol w:w="990"/>
        <w:gridCol w:w="1260"/>
      </w:tblGrid>
      <w:tr w:rsidR="00ED49FD" w:rsidRPr="00420442" w14:paraId="1FD4A239" w14:textId="77777777" w:rsidTr="00783559">
        <w:trPr>
          <w:trHeight w:val="300"/>
          <w:jc w:val="center"/>
        </w:trPr>
        <w:tc>
          <w:tcPr>
            <w:tcW w:w="7549" w:type="dxa"/>
            <w:gridSpan w:val="7"/>
            <w:vAlign w:val="center"/>
          </w:tcPr>
          <w:p w14:paraId="26477EB5" w14:textId="06C66E54" w:rsidR="00ED49FD" w:rsidRPr="00420442" w:rsidRDefault="00ED49FD" w:rsidP="006B4E71">
            <w:pPr>
              <w:pStyle w:val="NoSpacing"/>
            </w:pPr>
            <w:bookmarkStart w:id="333" w:name="_Toc382920206"/>
            <w:r w:rsidRPr="00AD0C0C">
              <w:t xml:space="preserve">Table </w:t>
            </w:r>
            <w:r w:rsidRPr="00AD0C0C">
              <w:fldChar w:fldCharType="begin"/>
            </w:r>
            <w:bookmarkStart w:id="334" w:name="_Ref382907572"/>
            <w:bookmarkEnd w:id="334"/>
            <w:r w:rsidRPr="00AD0C0C">
              <w:instrText xml:space="preserve"> LISTNUM TAB \l 2</w:instrText>
            </w:r>
            <w:r w:rsidRPr="00AD0C0C">
              <w:fldChar w:fldCharType="end"/>
            </w:r>
            <w:r w:rsidRPr="00AD0C0C">
              <w:t xml:space="preserve">:  </w:t>
            </w:r>
            <w:r>
              <w:t>Relative Tolerance</w:t>
            </w:r>
            <w:bookmarkEnd w:id="333"/>
          </w:p>
        </w:tc>
      </w:tr>
      <w:tr w:rsidR="00ED49FD" w:rsidRPr="00420442" w14:paraId="51830304" w14:textId="77777777" w:rsidTr="00783559">
        <w:trPr>
          <w:trHeight w:val="656"/>
          <w:jc w:val="center"/>
        </w:trPr>
        <w:tc>
          <w:tcPr>
            <w:tcW w:w="1075" w:type="dxa"/>
            <w:shd w:val="clear" w:color="auto" w:fill="auto"/>
            <w:noWrap/>
            <w:vAlign w:val="center"/>
            <w:hideMark/>
          </w:tcPr>
          <w:p w14:paraId="3B602E96" w14:textId="77777777" w:rsidR="00ED49FD" w:rsidRPr="00420442" w:rsidRDefault="00ED49FD" w:rsidP="002B129F">
            <w:pPr>
              <w:keepNext/>
              <w:spacing w:after="0" w:line="240" w:lineRule="auto"/>
              <w:ind w:firstLine="0"/>
              <w:jc w:val="center"/>
              <w:rPr>
                <w:rFonts w:eastAsia="Times New Roman"/>
                <w:color w:val="000000"/>
              </w:rPr>
            </w:pPr>
            <w:r w:rsidRPr="00420442">
              <w:rPr>
                <w:rFonts w:eastAsia="Times New Roman"/>
                <w:color w:val="000000"/>
              </w:rPr>
              <w:t>Tolerance</w:t>
            </w:r>
          </w:p>
        </w:tc>
        <w:tc>
          <w:tcPr>
            <w:tcW w:w="1257" w:type="dxa"/>
            <w:vAlign w:val="center"/>
          </w:tcPr>
          <w:p w14:paraId="632EC274" w14:textId="74E15C6C" w:rsidR="00ED49FD" w:rsidRDefault="00ED49FD" w:rsidP="002B129F">
            <w:pPr>
              <w:keepNext/>
              <w:spacing w:after="0" w:line="240" w:lineRule="auto"/>
              <w:ind w:firstLine="0"/>
              <w:jc w:val="center"/>
              <w:rPr>
                <w:rFonts w:eastAsia="Times New Roman"/>
                <w:i/>
                <w:color w:val="000000"/>
              </w:rPr>
            </w:pPr>
            <w:r>
              <w:rPr>
                <w:rFonts w:eastAsia="Times New Roman"/>
                <w:color w:val="000000"/>
              </w:rPr>
              <w:t>Solution Time (hrs)</w:t>
            </w:r>
          </w:p>
        </w:tc>
        <w:tc>
          <w:tcPr>
            <w:tcW w:w="987" w:type="dxa"/>
            <w:shd w:val="clear" w:color="auto" w:fill="auto"/>
            <w:noWrap/>
            <w:vAlign w:val="center"/>
            <w:hideMark/>
          </w:tcPr>
          <w:p w14:paraId="73E80E13" w14:textId="7728616E" w:rsidR="00ED49FD" w:rsidRPr="00420442" w:rsidRDefault="00ED49FD" w:rsidP="002B129F">
            <w:pPr>
              <w:keepNext/>
              <w:spacing w:after="0" w:line="240" w:lineRule="auto"/>
              <w:ind w:firstLine="0"/>
              <w:jc w:val="center"/>
              <w:rPr>
                <w:rFonts w:eastAsia="Times New Roman"/>
                <w:i/>
                <w:color w:val="000000"/>
                <w:vertAlign w:val="subscript"/>
              </w:rPr>
            </w:pPr>
            <w:r>
              <w:rPr>
                <w:rFonts w:eastAsia="Times New Roman"/>
                <w:i/>
                <w:color w:val="000000"/>
              </w:rPr>
              <w:t>E’</w:t>
            </w:r>
            <w:r>
              <w:rPr>
                <w:rFonts w:eastAsia="Times New Roman"/>
                <w:i/>
                <w:color w:val="000000"/>
                <w:vertAlign w:val="subscript"/>
              </w:rPr>
              <w:t>p,out</w:t>
            </w:r>
          </w:p>
        </w:tc>
        <w:tc>
          <w:tcPr>
            <w:tcW w:w="990" w:type="dxa"/>
            <w:shd w:val="clear" w:color="auto" w:fill="auto"/>
            <w:noWrap/>
            <w:vAlign w:val="center"/>
            <w:hideMark/>
          </w:tcPr>
          <w:p w14:paraId="2870EA16" w14:textId="673A416E" w:rsidR="00ED49FD" w:rsidRPr="00420442" w:rsidRDefault="00ED49FD" w:rsidP="002B129F">
            <w:pPr>
              <w:keepNext/>
              <w:spacing w:after="0" w:line="240" w:lineRule="auto"/>
              <w:ind w:firstLine="0"/>
              <w:jc w:val="center"/>
              <w:rPr>
                <w:rFonts w:eastAsia="Times New Roman"/>
                <w:i/>
                <w:color w:val="000000"/>
                <w:vertAlign w:val="subscript"/>
              </w:rPr>
            </w:pPr>
            <w:r>
              <w:rPr>
                <w:rFonts w:eastAsia="Times New Roman"/>
                <w:color w:val="000000"/>
              </w:rPr>
              <w:t>Δ</w:t>
            </w:r>
            <w:r>
              <w:rPr>
                <w:rFonts w:eastAsia="Times New Roman"/>
                <w:i/>
                <w:color w:val="000000"/>
              </w:rPr>
              <w:t>H’</w:t>
            </w:r>
            <w:r>
              <w:rPr>
                <w:rFonts w:eastAsia="Times New Roman"/>
                <w:i/>
                <w:color w:val="000000"/>
                <w:vertAlign w:val="subscript"/>
              </w:rPr>
              <w:t>c</w:t>
            </w:r>
          </w:p>
        </w:tc>
        <w:tc>
          <w:tcPr>
            <w:tcW w:w="990" w:type="dxa"/>
            <w:shd w:val="clear" w:color="auto" w:fill="auto"/>
            <w:noWrap/>
            <w:vAlign w:val="center"/>
            <w:hideMark/>
          </w:tcPr>
          <w:p w14:paraId="0ED11926" w14:textId="364E20A4" w:rsidR="00ED49FD" w:rsidRPr="00420442" w:rsidRDefault="00ED49FD" w:rsidP="002B129F">
            <w:pPr>
              <w:keepNext/>
              <w:spacing w:after="0" w:line="240" w:lineRule="auto"/>
              <w:ind w:firstLine="0"/>
              <w:jc w:val="center"/>
              <w:rPr>
                <w:rFonts w:eastAsia="Times New Roman"/>
                <w:color w:val="000000"/>
              </w:rPr>
            </w:pPr>
            <w:r>
              <w:rPr>
                <w:rFonts w:eastAsia="Times New Roman"/>
                <w:i/>
                <w:color w:val="000000"/>
              </w:rPr>
              <w:t>e</w:t>
            </w:r>
            <w:r>
              <w:rPr>
                <w:rFonts w:eastAsia="Times New Roman"/>
                <w:i/>
                <w:color w:val="000000"/>
                <w:vertAlign w:val="subscript"/>
              </w:rPr>
              <w:t>c</w:t>
            </w:r>
            <w:r>
              <w:rPr>
                <w:rFonts w:eastAsia="Times New Roman"/>
                <w:color w:val="000000"/>
              </w:rPr>
              <w:t xml:space="preserve"> (%)</w:t>
            </w:r>
          </w:p>
        </w:tc>
        <w:tc>
          <w:tcPr>
            <w:tcW w:w="990" w:type="dxa"/>
            <w:shd w:val="clear" w:color="auto" w:fill="auto"/>
            <w:noWrap/>
            <w:vAlign w:val="center"/>
            <w:hideMark/>
          </w:tcPr>
          <w:p w14:paraId="06BE8167" w14:textId="10B5FC2D" w:rsidR="00ED49FD" w:rsidRPr="00420442" w:rsidRDefault="00ED49FD" w:rsidP="002B129F">
            <w:pPr>
              <w:keepNext/>
              <w:spacing w:after="0" w:line="240" w:lineRule="auto"/>
              <w:ind w:firstLine="0"/>
              <w:jc w:val="center"/>
              <w:rPr>
                <w:rFonts w:eastAsia="Times New Roman"/>
                <w:color w:val="000000"/>
              </w:rPr>
            </w:pPr>
            <w:r>
              <w:rPr>
                <w:rFonts w:eastAsia="Times New Roman"/>
                <w:i/>
                <w:color w:val="000000"/>
              </w:rPr>
              <w:t>e</w:t>
            </w:r>
            <w:r>
              <w:rPr>
                <w:rFonts w:eastAsia="Times New Roman"/>
                <w:i/>
                <w:color w:val="000000"/>
                <w:vertAlign w:val="subscript"/>
              </w:rPr>
              <w:t>g</w:t>
            </w:r>
            <w:r>
              <w:rPr>
                <w:rFonts w:eastAsia="Times New Roman"/>
                <w:color w:val="000000"/>
              </w:rPr>
              <w:t xml:space="preserve"> (%)</w:t>
            </w:r>
          </w:p>
        </w:tc>
        <w:tc>
          <w:tcPr>
            <w:tcW w:w="1260" w:type="dxa"/>
            <w:shd w:val="clear" w:color="auto" w:fill="auto"/>
            <w:vAlign w:val="center"/>
            <w:hideMark/>
          </w:tcPr>
          <w:p w14:paraId="5577018B" w14:textId="77777777" w:rsidR="00ED49FD" w:rsidRPr="00420442" w:rsidRDefault="00ED49FD" w:rsidP="002B129F">
            <w:pPr>
              <w:keepNext/>
              <w:spacing w:after="0" w:line="240" w:lineRule="auto"/>
              <w:ind w:firstLine="0"/>
              <w:jc w:val="center"/>
              <w:rPr>
                <w:rFonts w:eastAsia="Times New Roman"/>
                <w:color w:val="000000"/>
              </w:rPr>
            </w:pPr>
            <w:r w:rsidRPr="00420442">
              <w:rPr>
                <w:rFonts w:eastAsia="Times New Roman"/>
                <w:color w:val="000000"/>
              </w:rPr>
              <w:t xml:space="preserve">Max Fuel </w:t>
            </w:r>
            <w:r w:rsidRPr="00420442">
              <w:rPr>
                <w:rFonts w:eastAsia="Times New Roman"/>
                <w:color w:val="000000"/>
              </w:rPr>
              <w:br/>
              <w:t>Meat T [K]</w:t>
            </w:r>
          </w:p>
        </w:tc>
      </w:tr>
      <w:tr w:rsidR="00ED49FD" w:rsidRPr="00420442" w14:paraId="5F63AAFF" w14:textId="77777777" w:rsidTr="00783559">
        <w:trPr>
          <w:trHeight w:val="300"/>
          <w:jc w:val="center"/>
        </w:trPr>
        <w:tc>
          <w:tcPr>
            <w:tcW w:w="1075" w:type="dxa"/>
            <w:shd w:val="clear" w:color="auto" w:fill="auto"/>
            <w:noWrap/>
            <w:vAlign w:val="center"/>
            <w:hideMark/>
          </w:tcPr>
          <w:p w14:paraId="2A17A245" w14:textId="77777777" w:rsidR="00ED49FD" w:rsidRPr="00420442" w:rsidRDefault="00ED49FD" w:rsidP="002B129F">
            <w:pPr>
              <w:keepNext/>
              <w:spacing w:after="0" w:line="240" w:lineRule="auto"/>
              <w:ind w:firstLine="0"/>
              <w:jc w:val="center"/>
              <w:rPr>
                <w:rFonts w:eastAsia="Times New Roman"/>
                <w:color w:val="000000"/>
              </w:rPr>
            </w:pPr>
            <w:r w:rsidRPr="00420442">
              <w:rPr>
                <w:rFonts w:eastAsia="Times New Roman"/>
                <w:color w:val="000000"/>
              </w:rPr>
              <w:t>1.00E-02</w:t>
            </w:r>
          </w:p>
        </w:tc>
        <w:tc>
          <w:tcPr>
            <w:tcW w:w="1257" w:type="dxa"/>
            <w:vAlign w:val="center"/>
          </w:tcPr>
          <w:p w14:paraId="496E01F2" w14:textId="46871156" w:rsidR="00ED49FD" w:rsidRPr="00420442" w:rsidRDefault="008C114F" w:rsidP="002B129F">
            <w:pPr>
              <w:keepNext/>
              <w:spacing w:after="0" w:line="240" w:lineRule="auto"/>
              <w:ind w:firstLine="0"/>
              <w:jc w:val="center"/>
              <w:rPr>
                <w:rFonts w:eastAsia="Times New Roman"/>
                <w:color w:val="000000"/>
              </w:rPr>
            </w:pPr>
            <w:r>
              <w:rPr>
                <w:rFonts w:eastAsia="Times New Roman"/>
                <w:color w:val="000000"/>
              </w:rPr>
              <w:t>3</w:t>
            </w:r>
          </w:p>
        </w:tc>
        <w:tc>
          <w:tcPr>
            <w:tcW w:w="987" w:type="dxa"/>
            <w:shd w:val="clear" w:color="auto" w:fill="auto"/>
            <w:noWrap/>
            <w:vAlign w:val="center"/>
            <w:hideMark/>
          </w:tcPr>
          <w:p w14:paraId="67B90788" w14:textId="639AEC74" w:rsidR="00ED49FD" w:rsidRPr="00420442" w:rsidRDefault="00ED49FD" w:rsidP="002B129F">
            <w:pPr>
              <w:keepNext/>
              <w:spacing w:after="0" w:line="240" w:lineRule="auto"/>
              <w:ind w:firstLine="0"/>
              <w:jc w:val="center"/>
              <w:rPr>
                <w:rFonts w:eastAsia="Times New Roman"/>
                <w:color w:val="000000"/>
              </w:rPr>
            </w:pPr>
            <w:r w:rsidRPr="00420442">
              <w:rPr>
                <w:rFonts w:eastAsia="Times New Roman"/>
                <w:color w:val="000000"/>
              </w:rPr>
              <w:t>1.0002</w:t>
            </w:r>
          </w:p>
        </w:tc>
        <w:tc>
          <w:tcPr>
            <w:tcW w:w="990" w:type="dxa"/>
            <w:shd w:val="clear" w:color="auto" w:fill="auto"/>
            <w:noWrap/>
            <w:vAlign w:val="center"/>
            <w:hideMark/>
          </w:tcPr>
          <w:p w14:paraId="4062DDC6" w14:textId="77777777" w:rsidR="00ED49FD" w:rsidRPr="00420442" w:rsidRDefault="00ED49FD" w:rsidP="002B129F">
            <w:pPr>
              <w:keepNext/>
              <w:spacing w:after="0" w:line="240" w:lineRule="auto"/>
              <w:ind w:firstLine="0"/>
              <w:jc w:val="center"/>
              <w:rPr>
                <w:rFonts w:eastAsia="Times New Roman"/>
                <w:color w:val="000000"/>
              </w:rPr>
            </w:pPr>
            <w:r w:rsidRPr="00420442">
              <w:rPr>
                <w:rFonts w:eastAsia="Times New Roman"/>
                <w:color w:val="000000"/>
              </w:rPr>
              <w:t>1.0358</w:t>
            </w:r>
          </w:p>
        </w:tc>
        <w:tc>
          <w:tcPr>
            <w:tcW w:w="990" w:type="dxa"/>
            <w:shd w:val="clear" w:color="auto" w:fill="auto"/>
            <w:noWrap/>
            <w:vAlign w:val="center"/>
            <w:hideMark/>
          </w:tcPr>
          <w:p w14:paraId="2BE2C7F4" w14:textId="77777777" w:rsidR="00ED49FD" w:rsidRPr="00420442" w:rsidRDefault="00ED49FD" w:rsidP="002B129F">
            <w:pPr>
              <w:keepNext/>
              <w:spacing w:after="0" w:line="240" w:lineRule="auto"/>
              <w:ind w:firstLine="0"/>
              <w:jc w:val="center"/>
              <w:rPr>
                <w:rFonts w:eastAsia="Times New Roman"/>
                <w:color w:val="000000"/>
              </w:rPr>
            </w:pPr>
            <w:r w:rsidRPr="00420442">
              <w:rPr>
                <w:rFonts w:eastAsia="Times New Roman"/>
                <w:color w:val="000000"/>
              </w:rPr>
              <w:t>3.557</w:t>
            </w:r>
          </w:p>
        </w:tc>
        <w:tc>
          <w:tcPr>
            <w:tcW w:w="990" w:type="dxa"/>
            <w:shd w:val="clear" w:color="auto" w:fill="auto"/>
            <w:vAlign w:val="center"/>
            <w:hideMark/>
          </w:tcPr>
          <w:p w14:paraId="361D9902" w14:textId="77777777" w:rsidR="00ED49FD" w:rsidRPr="00420442" w:rsidRDefault="00ED49FD" w:rsidP="002B129F">
            <w:pPr>
              <w:keepNext/>
              <w:spacing w:after="0" w:line="240" w:lineRule="auto"/>
              <w:ind w:firstLine="0"/>
              <w:jc w:val="center"/>
              <w:rPr>
                <w:rFonts w:eastAsia="Times New Roman"/>
                <w:color w:val="000000"/>
              </w:rPr>
            </w:pPr>
            <w:r w:rsidRPr="00420442">
              <w:rPr>
                <w:rFonts w:eastAsia="Times New Roman"/>
                <w:color w:val="000000"/>
              </w:rPr>
              <w:t>3.577</w:t>
            </w:r>
          </w:p>
        </w:tc>
        <w:tc>
          <w:tcPr>
            <w:tcW w:w="1260" w:type="dxa"/>
            <w:shd w:val="clear" w:color="auto" w:fill="auto"/>
            <w:noWrap/>
            <w:vAlign w:val="center"/>
            <w:hideMark/>
          </w:tcPr>
          <w:p w14:paraId="2883B280" w14:textId="77777777" w:rsidR="00ED49FD" w:rsidRPr="00420442" w:rsidRDefault="00ED49FD" w:rsidP="002B129F">
            <w:pPr>
              <w:keepNext/>
              <w:spacing w:after="0" w:line="240" w:lineRule="auto"/>
              <w:ind w:firstLine="0"/>
              <w:jc w:val="center"/>
              <w:rPr>
                <w:rFonts w:eastAsia="Times New Roman"/>
                <w:color w:val="000000"/>
              </w:rPr>
            </w:pPr>
            <w:r w:rsidRPr="00420442">
              <w:rPr>
                <w:rFonts w:eastAsia="Times New Roman"/>
                <w:color w:val="000000"/>
              </w:rPr>
              <w:t>429.6</w:t>
            </w:r>
          </w:p>
        </w:tc>
      </w:tr>
      <w:tr w:rsidR="00ED49FD" w:rsidRPr="00420442" w14:paraId="4FA67527" w14:textId="77777777" w:rsidTr="00783559">
        <w:trPr>
          <w:trHeight w:val="300"/>
          <w:jc w:val="center"/>
        </w:trPr>
        <w:tc>
          <w:tcPr>
            <w:tcW w:w="1075" w:type="dxa"/>
            <w:shd w:val="clear" w:color="auto" w:fill="auto"/>
            <w:noWrap/>
            <w:vAlign w:val="center"/>
            <w:hideMark/>
          </w:tcPr>
          <w:p w14:paraId="0DA3D1F4" w14:textId="77777777" w:rsidR="00ED49FD" w:rsidRPr="00420442" w:rsidRDefault="00ED49FD" w:rsidP="00783559">
            <w:pPr>
              <w:spacing w:after="0" w:line="240" w:lineRule="auto"/>
              <w:ind w:firstLine="0"/>
              <w:jc w:val="center"/>
              <w:rPr>
                <w:rFonts w:eastAsia="Times New Roman"/>
                <w:color w:val="000000"/>
              </w:rPr>
            </w:pPr>
            <w:r w:rsidRPr="00420442">
              <w:rPr>
                <w:rFonts w:eastAsia="Times New Roman"/>
                <w:color w:val="000000"/>
              </w:rPr>
              <w:t>1.00E-05</w:t>
            </w:r>
          </w:p>
        </w:tc>
        <w:tc>
          <w:tcPr>
            <w:tcW w:w="1257" w:type="dxa"/>
            <w:vAlign w:val="center"/>
          </w:tcPr>
          <w:p w14:paraId="4851A3B1" w14:textId="470A2014" w:rsidR="00ED49FD" w:rsidRPr="00420442" w:rsidRDefault="008C114F" w:rsidP="00783559">
            <w:pPr>
              <w:spacing w:after="0" w:line="240" w:lineRule="auto"/>
              <w:ind w:firstLine="0"/>
              <w:jc w:val="center"/>
              <w:rPr>
                <w:rFonts w:eastAsia="Times New Roman"/>
                <w:color w:val="000000"/>
              </w:rPr>
            </w:pPr>
            <w:r>
              <w:rPr>
                <w:rFonts w:eastAsia="Times New Roman"/>
                <w:color w:val="000000"/>
              </w:rPr>
              <w:t>27</w:t>
            </w:r>
          </w:p>
        </w:tc>
        <w:tc>
          <w:tcPr>
            <w:tcW w:w="987" w:type="dxa"/>
            <w:shd w:val="clear" w:color="auto" w:fill="auto"/>
            <w:noWrap/>
            <w:vAlign w:val="center"/>
            <w:hideMark/>
          </w:tcPr>
          <w:p w14:paraId="60BA44E5" w14:textId="0D95D679" w:rsidR="00ED49FD" w:rsidRPr="00420442" w:rsidRDefault="00ED49FD" w:rsidP="00783559">
            <w:pPr>
              <w:spacing w:after="0" w:line="240" w:lineRule="auto"/>
              <w:ind w:firstLine="0"/>
              <w:jc w:val="center"/>
              <w:rPr>
                <w:rFonts w:eastAsia="Times New Roman"/>
                <w:color w:val="000000"/>
              </w:rPr>
            </w:pPr>
            <w:r w:rsidRPr="00420442">
              <w:rPr>
                <w:rFonts w:eastAsia="Times New Roman"/>
                <w:color w:val="000000"/>
              </w:rPr>
              <w:t>1.0002</w:t>
            </w:r>
          </w:p>
        </w:tc>
        <w:tc>
          <w:tcPr>
            <w:tcW w:w="990" w:type="dxa"/>
            <w:shd w:val="clear" w:color="auto" w:fill="auto"/>
            <w:noWrap/>
            <w:vAlign w:val="center"/>
            <w:hideMark/>
          </w:tcPr>
          <w:p w14:paraId="64F1FB6D" w14:textId="77777777" w:rsidR="00ED49FD" w:rsidRPr="00420442" w:rsidRDefault="00ED49FD" w:rsidP="00783559">
            <w:pPr>
              <w:spacing w:after="0" w:line="240" w:lineRule="auto"/>
              <w:ind w:firstLine="0"/>
              <w:jc w:val="center"/>
              <w:rPr>
                <w:rFonts w:eastAsia="Times New Roman"/>
                <w:color w:val="000000"/>
              </w:rPr>
            </w:pPr>
            <w:r w:rsidRPr="00420442">
              <w:rPr>
                <w:rFonts w:eastAsia="Times New Roman"/>
                <w:color w:val="000000"/>
              </w:rPr>
              <w:t>1.0304</w:t>
            </w:r>
          </w:p>
        </w:tc>
        <w:tc>
          <w:tcPr>
            <w:tcW w:w="990" w:type="dxa"/>
            <w:shd w:val="clear" w:color="auto" w:fill="auto"/>
            <w:noWrap/>
            <w:vAlign w:val="center"/>
            <w:hideMark/>
          </w:tcPr>
          <w:p w14:paraId="32477691" w14:textId="77777777" w:rsidR="00ED49FD" w:rsidRPr="00420442" w:rsidRDefault="00ED49FD" w:rsidP="00783559">
            <w:pPr>
              <w:spacing w:after="0" w:line="240" w:lineRule="auto"/>
              <w:ind w:firstLine="0"/>
              <w:jc w:val="center"/>
              <w:rPr>
                <w:rFonts w:eastAsia="Times New Roman"/>
                <w:color w:val="000000"/>
              </w:rPr>
            </w:pPr>
            <w:r w:rsidRPr="00420442">
              <w:rPr>
                <w:rFonts w:eastAsia="Times New Roman"/>
                <w:color w:val="000000"/>
              </w:rPr>
              <w:t>3.011</w:t>
            </w:r>
          </w:p>
        </w:tc>
        <w:tc>
          <w:tcPr>
            <w:tcW w:w="990" w:type="dxa"/>
            <w:shd w:val="clear" w:color="auto" w:fill="auto"/>
            <w:vAlign w:val="center"/>
            <w:hideMark/>
          </w:tcPr>
          <w:p w14:paraId="7A9C56B7" w14:textId="77777777" w:rsidR="00ED49FD" w:rsidRPr="00420442" w:rsidRDefault="00ED49FD" w:rsidP="00783559">
            <w:pPr>
              <w:spacing w:after="0" w:line="240" w:lineRule="auto"/>
              <w:ind w:firstLine="0"/>
              <w:jc w:val="center"/>
              <w:rPr>
                <w:rFonts w:eastAsia="Times New Roman"/>
                <w:color w:val="000000"/>
              </w:rPr>
            </w:pPr>
            <w:r w:rsidRPr="00420442">
              <w:rPr>
                <w:rFonts w:eastAsia="Times New Roman"/>
                <w:color w:val="000000"/>
              </w:rPr>
              <w:t>3.035</w:t>
            </w:r>
          </w:p>
        </w:tc>
        <w:tc>
          <w:tcPr>
            <w:tcW w:w="1260" w:type="dxa"/>
            <w:shd w:val="clear" w:color="auto" w:fill="auto"/>
            <w:noWrap/>
            <w:vAlign w:val="center"/>
            <w:hideMark/>
          </w:tcPr>
          <w:p w14:paraId="5AB7939B" w14:textId="77777777" w:rsidR="00ED49FD" w:rsidRPr="00420442" w:rsidRDefault="00ED49FD" w:rsidP="00783559">
            <w:pPr>
              <w:spacing w:after="0" w:line="240" w:lineRule="auto"/>
              <w:ind w:firstLine="0"/>
              <w:jc w:val="center"/>
              <w:rPr>
                <w:rFonts w:eastAsia="Times New Roman"/>
                <w:color w:val="000000"/>
              </w:rPr>
            </w:pPr>
            <w:r w:rsidRPr="00420442">
              <w:rPr>
                <w:rFonts w:eastAsia="Times New Roman"/>
                <w:color w:val="000000"/>
              </w:rPr>
              <w:t>429.6</w:t>
            </w:r>
          </w:p>
        </w:tc>
      </w:tr>
    </w:tbl>
    <w:p w14:paraId="7B37191D" w14:textId="77777777" w:rsidR="00F359EF" w:rsidRDefault="00F41A69" w:rsidP="0038463A">
      <w:pPr>
        <w:pStyle w:val="Heading1"/>
        <w:ind w:firstLine="0"/>
        <w:rPr>
          <w:rStyle w:val="SubtitleChar"/>
        </w:rPr>
      </w:pPr>
      <w:r>
        <w:lastRenderedPageBreak/>
        <w:fldChar w:fldCharType="begin"/>
      </w:r>
      <w:r>
        <w:instrText xml:space="preserve"> LISTNUM CHAP \l 1</w:instrText>
      </w:r>
      <w:bookmarkStart w:id="335" w:name="_Toc382921561"/>
      <w:r>
        <w:fldChar w:fldCharType="end"/>
      </w:r>
      <w:r>
        <w:t xml:space="preserve">    Conclusion</w:t>
      </w:r>
      <w:bookmarkEnd w:id="335"/>
      <w:r w:rsidRPr="00FF3A17">
        <w:rPr>
          <w:rStyle w:val="SubtitleChar"/>
        </w:rPr>
        <w:t xml:space="preserve"> </w:t>
      </w:r>
    </w:p>
    <w:p w14:paraId="0C657638" w14:textId="77777777" w:rsidR="0086002D" w:rsidRDefault="00F41A69" w:rsidP="00517A4D">
      <w:pPr>
        <w:pStyle w:val="Subtitle"/>
        <w:spacing w:line="240" w:lineRule="auto"/>
        <w:rPr>
          <w:rStyle w:val="SubtitleChar"/>
        </w:rPr>
      </w:pPr>
      <w:r w:rsidRPr="00FF3A17">
        <w:rPr>
          <w:rStyle w:val="SubtitleChar"/>
        </w:rPr>
        <w:fldChar w:fldCharType="begin"/>
      </w:r>
      <w:r w:rsidRPr="00FF3A17">
        <w:rPr>
          <w:rStyle w:val="SubtitleChar"/>
        </w:rPr>
        <w:instrText xml:space="preserve"> LISTNUM EQN </w:instrText>
      </w:r>
      <w:r w:rsidRPr="00FF3A17">
        <w:rPr>
          <w:rStyle w:val="SubtitleChar"/>
        </w:rPr>
        <w:fldChar w:fldCharType="end"/>
      </w:r>
      <w:r w:rsidRPr="00FF3A17">
        <w:rPr>
          <w:rStyle w:val="SubtitleChar"/>
        </w:rPr>
        <w:fldChar w:fldCharType="begin"/>
      </w:r>
      <w:r w:rsidRPr="00FF3A17">
        <w:rPr>
          <w:rStyle w:val="SubtitleChar"/>
        </w:rPr>
        <w:instrText xml:space="preserve"> LISTNUM FIG </w:instrText>
      </w:r>
      <w:r w:rsidRPr="00FF3A17">
        <w:rPr>
          <w:rStyle w:val="SubtitleChar"/>
        </w:rPr>
        <w:fldChar w:fldCharType="end"/>
      </w:r>
      <w:r w:rsidRPr="00FF3A17">
        <w:rPr>
          <w:rStyle w:val="SubtitleChar"/>
        </w:rPr>
        <w:fldChar w:fldCharType="begin"/>
      </w:r>
      <w:r w:rsidRPr="00FF3A17">
        <w:rPr>
          <w:rStyle w:val="SubtitleChar"/>
        </w:rPr>
        <w:instrText xml:space="preserve">LISTNUM TAB </w:instrText>
      </w:r>
      <w:r w:rsidRPr="00FF3A17">
        <w:rPr>
          <w:rStyle w:val="SubtitleChar"/>
        </w:rPr>
        <w:fldChar w:fldCharType="end"/>
      </w:r>
    </w:p>
    <w:p w14:paraId="22CEB8CC" w14:textId="18A46CEF" w:rsidR="00877666" w:rsidRDefault="00036D67" w:rsidP="0086002D">
      <w:r>
        <w:t xml:space="preserve">Without experimentally </w:t>
      </w:r>
      <w:r w:rsidR="004144B1">
        <w:t xml:space="preserve">verified data against which to compare the coupled model, it is impossible to say definitively that it is a sufficiently accurate tool with which to model HFIR core thermal-hydraulics.  The close agreement between the coupled model and the more complete 3D model, however, is a strong indicator that both provide good approximations of core conditions.  In this regard, the coupled model has proven itself </w:t>
      </w:r>
      <w:r w:rsidR="00B767C6">
        <w:t xml:space="preserve">to be </w:t>
      </w:r>
      <w:r w:rsidR="004144B1">
        <w:t>a</w:t>
      </w:r>
      <w:r w:rsidR="00CE6DFF">
        <w:t>n exceedingly</w:t>
      </w:r>
      <w:r w:rsidR="004144B1">
        <w:t xml:space="preserve"> more efficient and less</w:t>
      </w:r>
      <w:r w:rsidR="006D6D8D">
        <w:t xml:space="preserve"> time-</w:t>
      </w:r>
      <w:r w:rsidR="004144B1">
        <w:t>consuming alternative to the 3D model</w:t>
      </w:r>
      <w:r w:rsidR="00CE6DFF">
        <w:t xml:space="preserve"> capable of </w:t>
      </w:r>
      <w:r w:rsidR="00B767C6">
        <w:t>producing</w:t>
      </w:r>
      <w:r w:rsidR="00CE6DFF">
        <w:t xml:space="preserve"> results of a comparable quality</w:t>
      </w:r>
      <w:r w:rsidR="00082074">
        <w:t>.</w:t>
      </w:r>
      <w:r w:rsidR="009501BC">
        <w:t xml:space="preserve">  </w:t>
      </w:r>
    </w:p>
    <w:p w14:paraId="21648440" w14:textId="7186CDF3" w:rsidR="009142A6" w:rsidRDefault="009501BC" w:rsidP="0086002D">
      <w:r>
        <w:t xml:space="preserve">This thesis was begun with the intent to create a simplified model that </w:t>
      </w:r>
      <w:r w:rsidR="00AA62B2">
        <w:t xml:space="preserve">could </w:t>
      </w:r>
      <w:r>
        <w:t>eventually be expanded to model the entire core.  It is doubtful that the coupled model is such a model.  It do</w:t>
      </w:r>
      <w:r w:rsidR="00AA62B2">
        <w:t xml:space="preserve">es, however, greatly expand the </w:t>
      </w:r>
      <w:r w:rsidR="00603047">
        <w:t xml:space="preserve">computational range </w:t>
      </w:r>
      <w:r w:rsidR="00AA62B2">
        <w:t xml:space="preserve">possible </w:t>
      </w:r>
      <w:r w:rsidR="00603047">
        <w:t>for a single model.  The 3D model, with its gratuitous DOF, would be hard-pressed to encapsulate even two adjacent fuel plates and their surrounding coolant channels in a single model.  It is most likely possible with the available resources on Betty, but only just.  The coupled mode, by contrast, could be expanded to encapsulate 22 fuel plates and coolant channels for the same DOF as the 3D model, assuming a linear expansion of DOF with added domains.  If the doubling of the 3D model is assumed plausible then so would be the creation of</w:t>
      </w:r>
      <w:r w:rsidR="00E24E1C">
        <w:t xml:space="preserve"> a 44 plate coupled expansion.</w:t>
      </w:r>
      <w:r w:rsidR="00AA62B2">
        <w:t xml:space="preserve">  Additional improvements need to be made to the model before</w:t>
      </w:r>
      <w:r w:rsidR="009142A6">
        <w:t xml:space="preserve"> all 540</w:t>
      </w:r>
      <w:r w:rsidR="00A27135">
        <w:t xml:space="preserve"> fuel plates in the reactor core, both inner fuel elements and outer fuel elements, can be modeled together.  Forty-four plates </w:t>
      </w:r>
      <w:r w:rsidR="00AA62B2">
        <w:t>constitutes</w:t>
      </w:r>
      <w:r w:rsidR="00A27135">
        <w:t xml:space="preserve"> over a quarter of the 171 inner fuel elements, however, and would thus be sufficient to provide quarter-turn axial symmetry to a </w:t>
      </w:r>
      <w:r w:rsidR="00F10ED8">
        <w:t xml:space="preserve">simulation of </w:t>
      </w:r>
      <w:r w:rsidR="00A27135">
        <w:t>non-uniform</w:t>
      </w:r>
      <w:r w:rsidR="00F10ED8">
        <w:t xml:space="preserve"> core operation</w:t>
      </w:r>
      <w:r w:rsidR="00351D68">
        <w:t>.</w:t>
      </w:r>
    </w:p>
    <w:p w14:paraId="15C63C7A" w14:textId="75026051" w:rsidR="006C5B2D" w:rsidRPr="00DC6A4C" w:rsidRDefault="004524B4" w:rsidP="0086002D">
      <w:r w:rsidRPr="00DC6A4C">
        <w:t xml:space="preserve">There are additional improvements that could be made to the coupled model </w:t>
      </w:r>
      <w:r w:rsidR="0035133C">
        <w:t>to further increase its efficiency</w:t>
      </w:r>
      <w:r w:rsidRPr="00DC6A4C">
        <w:t xml:space="preserve">.  Chiefly, more advanced meshing techniques, some of them unavailable at the onset of thesis-related work, would permit an even greater decrease in the DOF for the coupled model.  </w:t>
      </w:r>
      <w:r w:rsidR="0006238B" w:rsidRPr="00DC6A4C">
        <w:t xml:space="preserve">Mapped meshes could be inserted into the entrance and exit coolant channel regions above and below the fuel plate region, respectively, to replace the computationally inefficient free-triangular mesh that exists there now.  </w:t>
      </w:r>
      <w:r w:rsidR="00630431" w:rsidRPr="00DC6A4C">
        <w:t>V</w:t>
      </w:r>
      <w:r w:rsidR="007C744B" w:rsidRPr="00DC6A4C">
        <w:t>irtual mesh elements could</w:t>
      </w:r>
      <w:r w:rsidR="00630431" w:rsidRPr="00DC6A4C">
        <w:t xml:space="preserve"> be used to replace the free-triangular </w:t>
      </w:r>
      <w:r w:rsidR="00630431" w:rsidRPr="00DC6A4C">
        <w:rPr>
          <w:i/>
        </w:rPr>
        <w:t>s</w:t>
      </w:r>
      <w:r w:rsidR="00630431" w:rsidRPr="00DC6A4C">
        <w:t>-</w:t>
      </w:r>
      <w:r w:rsidR="00630431" w:rsidRPr="00DC6A4C">
        <w:rPr>
          <w:i/>
        </w:rPr>
        <w:t>t</w:t>
      </w:r>
      <w:r w:rsidR="00630431" w:rsidRPr="00DC6A4C">
        <w:t xml:space="preserve"> face mesh extruded down the length of the fueled section of the fuel plate</w:t>
      </w:r>
      <w:r w:rsidR="0006238B" w:rsidRPr="00DC6A4C">
        <w:t xml:space="preserve"> </w:t>
      </w:r>
      <w:r w:rsidR="00630431" w:rsidRPr="00DC6A4C">
        <w:t>with a neater, m</w:t>
      </w:r>
      <w:r w:rsidR="007C744B" w:rsidRPr="00DC6A4C">
        <w:t xml:space="preserve">ore evenly-spaced mapped mesh.  CAD repairing features could be used to remove the free-tetrahedral mesh in the </w:t>
      </w:r>
      <w:r w:rsidR="00D515E3" w:rsidRPr="00DC6A4C">
        <w:t>rounded leading edge of the fuel plate wi</w:t>
      </w:r>
      <w:r w:rsidR="005B77A1">
        <w:t>th a similarly neat mapped mesh</w:t>
      </w:r>
      <w:r w:rsidR="00D515E3" w:rsidRPr="00DC6A4C">
        <w:t xml:space="preserve"> extruded down the span of the leading edge</w:t>
      </w:r>
      <w:r w:rsidR="002B6C12" w:rsidRPr="00DC6A4C">
        <w:t>.</w:t>
      </w:r>
    </w:p>
    <w:p w14:paraId="414A0161" w14:textId="3AD598BE" w:rsidR="002B6C12" w:rsidRDefault="0008034D" w:rsidP="0086002D">
      <w:r>
        <w:t xml:space="preserve">The greatest advancement to be made in the coupled model, however, is </w:t>
      </w:r>
      <w:r w:rsidR="005B77A1">
        <w:t>finding</w:t>
      </w:r>
      <w:r w:rsidR="00153923">
        <w:t xml:space="preserve"> </w:t>
      </w:r>
      <w:r>
        <w:t>th</w:t>
      </w:r>
      <w:r w:rsidR="00153923">
        <w:t xml:space="preserve">e means to further </w:t>
      </w:r>
      <w:r>
        <w:t xml:space="preserve">separate the current </w:t>
      </w:r>
      <w:r w:rsidR="00086A83">
        <w:t>segregated solution variable</w:t>
      </w:r>
      <w:r w:rsidR="00153923">
        <w:t xml:space="preserve"> groups</w:t>
      </w:r>
      <w:r>
        <w:t>.</w:t>
      </w:r>
      <w:r w:rsidR="00427EC8">
        <w:t xml:space="preserve">  As was mentioned in Section </w:t>
      </w:r>
      <w:r w:rsidR="00427EC8">
        <w:fldChar w:fldCharType="begin"/>
      </w:r>
      <w:r w:rsidR="00427EC8">
        <w:instrText xml:space="preserve"> REF _Ref382911145 \r \h </w:instrText>
      </w:r>
      <w:r w:rsidR="00427EC8">
        <w:fldChar w:fldCharType="separate"/>
      </w:r>
      <w:r w:rsidR="001C5EC1">
        <w:t>IV</w:t>
      </w:r>
      <w:r w:rsidR="00427EC8">
        <w:fldChar w:fldCharType="end"/>
      </w:r>
      <w:r w:rsidR="00427EC8">
        <w:t>, the coupled model currently requires that temperature in both the fuel plate domain and the coolant domain be solved in the same segregated step.</w:t>
      </w:r>
      <w:r w:rsidR="00086A83">
        <w:t xml:space="preserve">  Otherwise the model fails.</w:t>
      </w:r>
      <w:r w:rsidR="00427EC8">
        <w:t xml:space="preserve">  This would indicate that an expansion of the </w:t>
      </w:r>
      <w:r w:rsidR="00427EC8">
        <w:lastRenderedPageBreak/>
        <w:t xml:space="preserve">model to include additional fuel plates and coolant channels would also require that the flow variables for every channel, </w:t>
      </w:r>
      <w:r w:rsidR="00427EC8">
        <w:rPr>
          <w:i/>
        </w:rPr>
        <w:t>u</w:t>
      </w:r>
      <w:r w:rsidR="00427EC8">
        <w:t xml:space="preserve"> and </w:t>
      </w:r>
      <w:r w:rsidR="00427EC8">
        <w:rPr>
          <w:i/>
        </w:rPr>
        <w:t>p</w:t>
      </w:r>
      <w:r w:rsidR="00427EC8">
        <w:t xml:space="preserve">, be solved in a single step.  The same would be true for </w:t>
      </w:r>
      <w:r w:rsidR="00427EC8">
        <w:rPr>
          <w:i/>
        </w:rPr>
        <w:t xml:space="preserve">k </w:t>
      </w:r>
      <w:r w:rsidR="00427EC8">
        <w:t xml:space="preserve">and </w:t>
      </w:r>
      <w:r w:rsidR="00427EC8">
        <w:rPr>
          <w:i/>
        </w:rPr>
        <w:t>ε</w:t>
      </w:r>
      <w:r w:rsidR="00427EC8">
        <w:t xml:space="preserve">.  </w:t>
      </w:r>
      <w:r w:rsidR="00B15672">
        <w:t>The means to break this limitation and create segregated steps capable of solving manageable chunks of the solution domain would permit the model to encapsulate the entire core without fear of memory limitations.  The only remaining concern would be computation time</w:t>
      </w:r>
      <w:r w:rsidR="00086A83">
        <w:t>,</w:t>
      </w:r>
      <w:r w:rsidR="00B15672">
        <w:t xml:space="preserve"> which could become significant.  Still, this is more of an inconvenience than a true l</w:t>
      </w:r>
      <w:r w:rsidR="00411A4A">
        <w:t>imitation</w:t>
      </w:r>
      <w:r w:rsidR="00B15672">
        <w:t>.</w:t>
      </w:r>
    </w:p>
    <w:p w14:paraId="1850D814" w14:textId="310F16D4" w:rsidR="00867B2F" w:rsidRDefault="00867B2F" w:rsidP="0086002D">
      <w:r>
        <w:t>The coupled model might not be the definitive answer to the question first posed in this thesis but it is a confident step in the right direction.</w:t>
      </w:r>
    </w:p>
    <w:p w14:paraId="7C6DF880" w14:textId="77777777" w:rsidR="00E24E1C" w:rsidRDefault="00E24E1C" w:rsidP="0086002D"/>
    <w:p w14:paraId="7C61A532" w14:textId="77777777" w:rsidR="006C5B2D" w:rsidRDefault="006C5B2D" w:rsidP="0086002D"/>
    <w:p w14:paraId="6A57BAD4" w14:textId="3BCB316D" w:rsidR="001B7AF9" w:rsidRPr="00517A4D" w:rsidRDefault="001B7AF9" w:rsidP="0086002D">
      <w:r>
        <w:br w:type="page"/>
      </w:r>
    </w:p>
    <w:p w14:paraId="16E2CE24" w14:textId="2100AB7A" w:rsidR="000749DE" w:rsidRDefault="00517A4D" w:rsidP="0038463A">
      <w:pPr>
        <w:pStyle w:val="Heading1"/>
        <w:ind w:firstLine="0"/>
      </w:pPr>
      <w:bookmarkStart w:id="336" w:name="_Toc382921562"/>
      <w:r>
        <w:lastRenderedPageBreak/>
        <w:t>List of References</w:t>
      </w:r>
      <w:bookmarkEnd w:id="336"/>
    </w:p>
    <w:p w14:paraId="31BF2DAE" w14:textId="27E48B69" w:rsidR="000749DE" w:rsidRDefault="000749DE">
      <w:pPr>
        <w:spacing w:line="276" w:lineRule="auto"/>
        <w:ind w:firstLine="0"/>
        <w:jc w:val="left"/>
        <w:rPr>
          <w:b/>
          <w:sz w:val="24"/>
        </w:rPr>
      </w:pPr>
    </w:p>
    <w:p w14:paraId="2B319316" w14:textId="77777777" w:rsidR="003B48AF" w:rsidRDefault="003B48AF">
      <w:pPr>
        <w:spacing w:line="276" w:lineRule="auto"/>
        <w:ind w:firstLine="0"/>
        <w:jc w:val="left"/>
        <w:rPr>
          <w:b/>
          <w:sz w:val="24"/>
        </w:rPr>
      </w:pPr>
    </w:p>
    <w:p w14:paraId="502225A9" w14:textId="1190AAEC" w:rsidR="00517A4D" w:rsidRDefault="00517A4D" w:rsidP="00517A4D">
      <w:pPr>
        <w:spacing w:line="276" w:lineRule="auto"/>
        <w:ind w:firstLine="0"/>
        <w:jc w:val="left"/>
        <w:rPr>
          <w:b/>
          <w:sz w:val="24"/>
        </w:rPr>
      </w:pPr>
    </w:p>
    <w:p w14:paraId="25C4FFA9" w14:textId="77777777" w:rsidR="003B48AF" w:rsidRDefault="003B48AF" w:rsidP="00517A4D">
      <w:pPr>
        <w:spacing w:line="276" w:lineRule="auto"/>
        <w:ind w:firstLine="0"/>
        <w:jc w:val="left"/>
        <w:rPr>
          <w:b/>
          <w:sz w:val="24"/>
        </w:rPr>
      </w:pPr>
    </w:p>
    <w:p w14:paraId="55790F09" w14:textId="77777777" w:rsidR="003B48AF" w:rsidRDefault="003B48AF" w:rsidP="00517A4D">
      <w:pPr>
        <w:spacing w:line="276" w:lineRule="auto"/>
        <w:ind w:firstLine="0"/>
        <w:jc w:val="left"/>
        <w:rPr>
          <w:b/>
          <w:sz w:val="24"/>
        </w:rPr>
      </w:pPr>
    </w:p>
    <w:p w14:paraId="21CEE38D" w14:textId="77777777" w:rsidR="003B48AF" w:rsidRDefault="003B48AF" w:rsidP="00517A4D">
      <w:pPr>
        <w:spacing w:line="276" w:lineRule="auto"/>
        <w:ind w:firstLine="0"/>
        <w:jc w:val="left"/>
        <w:rPr>
          <w:b/>
          <w:sz w:val="24"/>
        </w:rPr>
      </w:pPr>
    </w:p>
    <w:p w14:paraId="4C0151F0" w14:textId="77777777" w:rsidR="003B48AF" w:rsidRDefault="003B48AF" w:rsidP="00517A4D">
      <w:pPr>
        <w:spacing w:line="276" w:lineRule="auto"/>
        <w:ind w:firstLine="0"/>
        <w:jc w:val="left"/>
        <w:rPr>
          <w:b/>
          <w:sz w:val="24"/>
        </w:rPr>
      </w:pPr>
    </w:p>
    <w:p w14:paraId="4E527284" w14:textId="77777777" w:rsidR="003B48AF" w:rsidRDefault="003B48AF" w:rsidP="00517A4D">
      <w:pPr>
        <w:spacing w:line="276" w:lineRule="auto"/>
        <w:ind w:firstLine="0"/>
        <w:jc w:val="left"/>
        <w:rPr>
          <w:b/>
          <w:sz w:val="24"/>
        </w:rPr>
      </w:pPr>
    </w:p>
    <w:p w14:paraId="3FB6BC85" w14:textId="77777777" w:rsidR="003B48AF" w:rsidRDefault="003B48AF" w:rsidP="00517A4D">
      <w:pPr>
        <w:spacing w:line="276" w:lineRule="auto"/>
        <w:ind w:firstLine="0"/>
        <w:jc w:val="left"/>
        <w:rPr>
          <w:b/>
          <w:sz w:val="24"/>
        </w:rPr>
      </w:pPr>
    </w:p>
    <w:p w14:paraId="60108688" w14:textId="77777777" w:rsidR="003B48AF" w:rsidRDefault="003B48AF" w:rsidP="00517A4D">
      <w:pPr>
        <w:spacing w:line="276" w:lineRule="auto"/>
        <w:ind w:firstLine="0"/>
        <w:jc w:val="left"/>
        <w:rPr>
          <w:b/>
          <w:sz w:val="24"/>
        </w:rPr>
      </w:pPr>
    </w:p>
    <w:p w14:paraId="6C684C2A" w14:textId="77777777" w:rsidR="003B48AF" w:rsidRDefault="003B48AF" w:rsidP="00517A4D">
      <w:pPr>
        <w:spacing w:line="276" w:lineRule="auto"/>
        <w:ind w:firstLine="0"/>
        <w:jc w:val="left"/>
        <w:rPr>
          <w:b/>
          <w:sz w:val="24"/>
        </w:rPr>
      </w:pPr>
    </w:p>
    <w:p w14:paraId="3F9DC0FC" w14:textId="77777777" w:rsidR="003B48AF" w:rsidRDefault="003B48AF" w:rsidP="00517A4D">
      <w:pPr>
        <w:spacing w:line="276" w:lineRule="auto"/>
        <w:ind w:firstLine="0"/>
        <w:jc w:val="left"/>
        <w:rPr>
          <w:b/>
          <w:sz w:val="24"/>
        </w:rPr>
      </w:pPr>
    </w:p>
    <w:p w14:paraId="7FE12E9A" w14:textId="77777777" w:rsidR="003B48AF" w:rsidRDefault="003B48AF" w:rsidP="00517A4D">
      <w:pPr>
        <w:spacing w:line="276" w:lineRule="auto"/>
        <w:ind w:firstLine="0"/>
        <w:jc w:val="left"/>
        <w:rPr>
          <w:b/>
          <w:sz w:val="24"/>
        </w:rPr>
      </w:pPr>
    </w:p>
    <w:p w14:paraId="4806B21F" w14:textId="77777777" w:rsidR="003B48AF" w:rsidRDefault="003B48AF" w:rsidP="00517A4D">
      <w:pPr>
        <w:spacing w:line="276" w:lineRule="auto"/>
        <w:ind w:firstLine="0"/>
        <w:jc w:val="left"/>
        <w:rPr>
          <w:b/>
          <w:sz w:val="24"/>
        </w:rPr>
      </w:pPr>
    </w:p>
    <w:p w14:paraId="59FF10B3" w14:textId="77777777" w:rsidR="003B48AF" w:rsidRDefault="003B48AF" w:rsidP="00517A4D">
      <w:pPr>
        <w:spacing w:line="276" w:lineRule="auto"/>
        <w:ind w:firstLine="0"/>
        <w:jc w:val="left"/>
        <w:rPr>
          <w:b/>
          <w:sz w:val="24"/>
        </w:rPr>
      </w:pPr>
    </w:p>
    <w:p w14:paraId="6AC1B8F3" w14:textId="77777777" w:rsidR="003B48AF" w:rsidRDefault="003B48AF" w:rsidP="00517A4D">
      <w:pPr>
        <w:spacing w:line="276" w:lineRule="auto"/>
        <w:ind w:firstLine="0"/>
        <w:jc w:val="left"/>
        <w:rPr>
          <w:b/>
          <w:sz w:val="24"/>
        </w:rPr>
      </w:pPr>
    </w:p>
    <w:p w14:paraId="4B4DEF18" w14:textId="77777777" w:rsidR="003B48AF" w:rsidRDefault="003B48AF" w:rsidP="00517A4D">
      <w:pPr>
        <w:spacing w:line="276" w:lineRule="auto"/>
        <w:ind w:firstLine="0"/>
        <w:jc w:val="left"/>
        <w:rPr>
          <w:b/>
          <w:sz w:val="24"/>
        </w:rPr>
      </w:pPr>
    </w:p>
    <w:p w14:paraId="3F611636" w14:textId="77777777" w:rsidR="003B48AF" w:rsidRDefault="003B48AF" w:rsidP="00517A4D">
      <w:pPr>
        <w:spacing w:line="276" w:lineRule="auto"/>
        <w:ind w:firstLine="0"/>
        <w:jc w:val="left"/>
        <w:rPr>
          <w:b/>
          <w:sz w:val="24"/>
        </w:rPr>
      </w:pPr>
    </w:p>
    <w:p w14:paraId="5E4F0500" w14:textId="77777777" w:rsidR="003B48AF" w:rsidRDefault="003B48AF" w:rsidP="00517A4D">
      <w:pPr>
        <w:spacing w:line="276" w:lineRule="auto"/>
        <w:ind w:firstLine="0"/>
        <w:jc w:val="left"/>
        <w:rPr>
          <w:b/>
          <w:sz w:val="24"/>
        </w:rPr>
      </w:pPr>
    </w:p>
    <w:p w14:paraId="1B0CB18A" w14:textId="77777777" w:rsidR="003B48AF" w:rsidRDefault="003B48AF" w:rsidP="00517A4D">
      <w:pPr>
        <w:spacing w:line="276" w:lineRule="auto"/>
        <w:ind w:firstLine="0"/>
        <w:jc w:val="left"/>
        <w:rPr>
          <w:b/>
          <w:sz w:val="24"/>
        </w:rPr>
      </w:pPr>
    </w:p>
    <w:p w14:paraId="03CC2B98" w14:textId="77777777" w:rsidR="003B48AF" w:rsidRDefault="003B48AF" w:rsidP="00517A4D">
      <w:pPr>
        <w:spacing w:line="276" w:lineRule="auto"/>
        <w:ind w:firstLine="0"/>
        <w:jc w:val="left"/>
        <w:rPr>
          <w:b/>
          <w:sz w:val="24"/>
        </w:rPr>
      </w:pPr>
    </w:p>
    <w:p w14:paraId="20CD748B" w14:textId="77777777" w:rsidR="003B48AF" w:rsidRDefault="003B48AF" w:rsidP="00517A4D">
      <w:pPr>
        <w:spacing w:line="276" w:lineRule="auto"/>
        <w:ind w:firstLine="0"/>
        <w:jc w:val="left"/>
        <w:rPr>
          <w:b/>
          <w:sz w:val="24"/>
        </w:rPr>
      </w:pPr>
    </w:p>
    <w:p w14:paraId="0007AFD5" w14:textId="77777777" w:rsidR="003B48AF" w:rsidRDefault="003B48AF" w:rsidP="00517A4D">
      <w:pPr>
        <w:spacing w:line="276" w:lineRule="auto"/>
        <w:ind w:firstLine="0"/>
        <w:jc w:val="left"/>
        <w:rPr>
          <w:b/>
          <w:sz w:val="24"/>
        </w:rPr>
      </w:pPr>
    </w:p>
    <w:p w14:paraId="755F1743" w14:textId="77777777" w:rsidR="003B48AF" w:rsidRPr="00517A4D" w:rsidRDefault="003B48AF" w:rsidP="00517A4D">
      <w:pPr>
        <w:spacing w:line="276" w:lineRule="auto"/>
        <w:ind w:firstLine="0"/>
        <w:jc w:val="left"/>
        <w:rPr>
          <w:b/>
          <w:sz w:val="24"/>
        </w:rPr>
        <w:sectPr w:rsidR="003B48AF" w:rsidRPr="00517A4D" w:rsidSect="00C978FD">
          <w:footerReference w:type="default" r:id="rId465"/>
          <w:endnotePr>
            <w:numFmt w:val="decimal"/>
          </w:endnotePr>
          <w:pgSz w:w="12240" w:h="15840"/>
          <w:pgMar w:top="1440" w:right="1440" w:bottom="1440" w:left="1440" w:header="720" w:footer="720" w:gutter="0"/>
          <w:pgNumType w:start="1"/>
          <w:cols w:space="720"/>
          <w:docGrid w:linePitch="360"/>
        </w:sectPr>
      </w:pPr>
    </w:p>
    <w:p w14:paraId="715878AC" w14:textId="602679EC" w:rsidR="00517A4D" w:rsidRDefault="00517A4D">
      <w:pPr>
        <w:spacing w:line="276" w:lineRule="auto"/>
        <w:ind w:firstLine="0"/>
        <w:jc w:val="left"/>
        <w:rPr>
          <w:b/>
          <w:sz w:val="24"/>
        </w:rPr>
      </w:pPr>
      <w:r>
        <w:lastRenderedPageBreak/>
        <w:br w:type="page"/>
      </w:r>
    </w:p>
    <w:p w14:paraId="7249C073" w14:textId="39CB0923" w:rsidR="000749DE" w:rsidRDefault="003F5A66" w:rsidP="0038463A">
      <w:pPr>
        <w:pStyle w:val="Heading1"/>
        <w:ind w:firstLine="0"/>
      </w:pPr>
      <w:bookmarkStart w:id="337" w:name="_Toc382921563"/>
      <w:r>
        <w:lastRenderedPageBreak/>
        <w:t>Vita</w:t>
      </w:r>
      <w:bookmarkEnd w:id="337"/>
    </w:p>
    <w:p w14:paraId="77E2F868" w14:textId="395BEC28" w:rsidR="006C433E" w:rsidRPr="00F8575E" w:rsidRDefault="00F8575E" w:rsidP="005C72DA">
      <w:r>
        <w:t>Adam Travis was born in Charlotte, NC</w:t>
      </w:r>
      <w:r w:rsidR="00097659">
        <w:t>,</w:t>
      </w:r>
      <w:r>
        <w:t xml:space="preserve"> to Mike and Leigh Travis.  He is the first of three children, followed by Chloe and Henry.  After </w:t>
      </w:r>
      <w:r w:rsidR="00062E71">
        <w:t xml:space="preserve">weathering the wrath of hurricane Hugo in Charlotte and </w:t>
      </w:r>
      <w:r>
        <w:t>spending a few years running from fire ants in Waco, T</w:t>
      </w:r>
      <w:r w:rsidR="00097659">
        <w:t>X</w:t>
      </w:r>
      <w:r>
        <w:t>, he moved to Morristown, TN</w:t>
      </w:r>
      <w:r w:rsidR="00097659">
        <w:t>,</w:t>
      </w:r>
      <w:r>
        <w:t xml:space="preserve"> where he </w:t>
      </w:r>
      <w:r w:rsidR="00062E71">
        <w:t>spent the bulk of his formative years</w:t>
      </w:r>
      <w:r>
        <w:t>.  Upon graduation he enrolled as a civil engineer at the University of Tennessee</w:t>
      </w:r>
      <w:r w:rsidR="00062E71">
        <w:t xml:space="preserve"> because he’d been told he was “good with numbers” and that seemed like the kind of thing someone who was good with numbers would do.</w:t>
      </w:r>
      <w:r w:rsidR="005E3723">
        <w:t xml:space="preserve"> </w:t>
      </w:r>
      <w:r w:rsidR="00062E71">
        <w:t xml:space="preserve"> He</w:t>
      </w:r>
      <w:r>
        <w:t xml:space="preserve"> switched to aerospace within three months, having discovered a budding fascination with flight and orbital mechanics.  He was able to return to his hometown of Charlotte momentarily for a co-operative engineering assignment with US Airways </w:t>
      </w:r>
      <w:r w:rsidR="005E3723">
        <w:t>throughout</w:t>
      </w:r>
      <w:r>
        <w:t xml:space="preserve"> 2009-10</w:t>
      </w:r>
      <w:r w:rsidR="00F81C32">
        <w:t xml:space="preserve">.  </w:t>
      </w:r>
      <w:r>
        <w:t xml:space="preserve">Adam took an undergraduate numerical analysis course in the spring of 2010 and </w:t>
      </w:r>
      <w:r w:rsidR="00F81C32">
        <w:t xml:space="preserve">in it he </w:t>
      </w:r>
      <w:r>
        <w:t>found his calling.  He began workin</w:t>
      </w:r>
      <w:r w:rsidR="00F81C32">
        <w:t>g as an undergraduate research assistant</w:t>
      </w:r>
      <w:r>
        <w:t xml:space="preserve"> with </w:t>
      </w:r>
      <w:r w:rsidR="001E24AE">
        <w:t xml:space="preserve">Dr. </w:t>
      </w:r>
      <w:r>
        <w:t xml:space="preserve">Kivanc Ekici in the subject matter the next semester.  Adam attained a Bachelors of Science degree in aerospace engineering in May 2012.  </w:t>
      </w:r>
      <w:r w:rsidR="007D0821">
        <w:t>He</w:t>
      </w:r>
      <w:r w:rsidR="00F81C32">
        <w:t xml:space="preserve"> spent the following summer at Oak Ridge National Laboratory </w:t>
      </w:r>
      <w:r w:rsidR="007D0821">
        <w:t xml:space="preserve">(ORNL) </w:t>
      </w:r>
      <w:r w:rsidR="00F81C32">
        <w:t xml:space="preserve">as a graduate research intern with the Nuclear Engineering Science Laboratory Synthesis </w:t>
      </w:r>
      <w:r w:rsidR="007D0821">
        <w:t xml:space="preserve">(NESLS) </w:t>
      </w:r>
      <w:r w:rsidR="00F81C32">
        <w:t>program.  He continued the work begun in that internship in the pursuit of a Masters of Science degree in mechanical engineering which he attained in May 2014.</w:t>
      </w:r>
    </w:p>
    <w:sectPr w:rsidR="006C433E" w:rsidRPr="00F8575E" w:rsidSect="0038463A">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90B25D" w14:textId="77777777" w:rsidR="002D111A" w:rsidRDefault="002D111A" w:rsidP="00DF0C87">
      <w:r>
        <w:separator/>
      </w:r>
    </w:p>
  </w:endnote>
  <w:endnote w:type="continuationSeparator" w:id="0">
    <w:p w14:paraId="4FAAD61A" w14:textId="77777777" w:rsidR="002D111A" w:rsidRDefault="002D111A" w:rsidP="00DF0C87">
      <w:r>
        <w:continuationSeparator/>
      </w:r>
    </w:p>
  </w:endnote>
  <w:endnote w:id="1">
    <w:p w14:paraId="1F635DA3" w14:textId="05DBD484" w:rsidR="002D111A" w:rsidRPr="00B2539E" w:rsidRDefault="002D111A" w:rsidP="00DF0C87">
      <w:pPr>
        <w:pStyle w:val="EndnoteText"/>
      </w:pPr>
      <w:r w:rsidRPr="00B2539E">
        <w:rPr>
          <w:rStyle w:val="EndnoteReference"/>
        </w:rPr>
        <w:endnoteRef/>
      </w:r>
      <w:r w:rsidRPr="00B2539E">
        <w:t xml:space="preserve"> </w:t>
      </w:r>
      <w:r>
        <w:t xml:space="preserve">“History of HFIR,” URL:  </w:t>
      </w:r>
      <w:r w:rsidRPr="00783CD4">
        <w:rPr>
          <w:u w:val="single"/>
        </w:rPr>
        <w:t>http://neutrons.ornl.gov/facilities/HFIR/history/</w:t>
      </w:r>
      <w:r>
        <w:t xml:space="preserve"> [cited </w:t>
      </w:r>
      <w:r w:rsidRPr="00783CD4">
        <w:t>July 24</w:t>
      </w:r>
      <w:r w:rsidRPr="00783CD4">
        <w:rPr>
          <w:vertAlign w:val="superscript"/>
        </w:rPr>
        <w:t>th</w:t>
      </w:r>
      <w:r>
        <w:t>, 2013]</w:t>
      </w:r>
      <w:r w:rsidRPr="00783CD4">
        <w:t>.</w:t>
      </w:r>
    </w:p>
    <w:p w14:paraId="420C0929" w14:textId="77777777" w:rsidR="002D111A" w:rsidRPr="00B2539E" w:rsidRDefault="002D111A" w:rsidP="00DF0C87">
      <w:pPr>
        <w:pStyle w:val="EndnoteText"/>
      </w:pPr>
    </w:p>
  </w:endnote>
  <w:endnote w:id="2">
    <w:p w14:paraId="62C846A7" w14:textId="24E47103" w:rsidR="002D111A" w:rsidRPr="00B2539E" w:rsidRDefault="002D111A" w:rsidP="00DF0C87">
      <w:pPr>
        <w:pStyle w:val="EndnoteText"/>
      </w:pPr>
      <w:r w:rsidRPr="00B2539E">
        <w:rPr>
          <w:rStyle w:val="EndnoteReference"/>
        </w:rPr>
        <w:endnoteRef/>
      </w:r>
      <w:r w:rsidRPr="00B2539E">
        <w:t xml:space="preserve"> Knight, R. W., and Morin, R. A.  </w:t>
      </w:r>
      <w:r w:rsidRPr="00B2539E">
        <w:rPr>
          <w:i/>
        </w:rPr>
        <w:t>Fabrication Procedures for Manufacturing High Flux Isotope Reactor Fuel Elements-2</w:t>
      </w:r>
      <w:r w:rsidRPr="00B2539E">
        <w:t xml:space="preserve">.  ORNL/6852.  Oak Ridge National Lab, Oak Ridge, TN.  1999.  </w:t>
      </w:r>
    </w:p>
    <w:p w14:paraId="384B6FED" w14:textId="77777777" w:rsidR="002D111A" w:rsidRPr="00B2539E" w:rsidRDefault="002D111A" w:rsidP="00DF0C87">
      <w:pPr>
        <w:pStyle w:val="EndnoteText"/>
      </w:pPr>
    </w:p>
  </w:endnote>
  <w:endnote w:id="3">
    <w:p w14:paraId="4111A938" w14:textId="117B9EB1" w:rsidR="002D111A" w:rsidRPr="00B2539E" w:rsidRDefault="002D111A" w:rsidP="00DF0C87">
      <w:pPr>
        <w:pStyle w:val="EndnoteText"/>
      </w:pPr>
      <w:r w:rsidRPr="00B2539E">
        <w:rPr>
          <w:rStyle w:val="EndnoteReference"/>
        </w:rPr>
        <w:endnoteRef/>
      </w:r>
      <w:r w:rsidRPr="00B2539E">
        <w:t xml:space="preserve"> Martin, R. C., Knauer, J. B., and Balo, P. A. “Production, Distribution and Applications of Californium-252 Neutron Sources.”  </w:t>
      </w:r>
      <w:r w:rsidRPr="00B2539E">
        <w:rPr>
          <w:i/>
        </w:rPr>
        <w:t>Applied Radiation and Isotopes</w:t>
      </w:r>
      <w:r w:rsidRPr="00B2539E">
        <w:t xml:space="preserve">, Vol. 53, No. 4, 2000.  Pp. 785-792.  </w:t>
      </w:r>
    </w:p>
    <w:p w14:paraId="5D95A62E" w14:textId="77777777" w:rsidR="002D111A" w:rsidRPr="00B2539E" w:rsidRDefault="002D111A" w:rsidP="00DF0C87">
      <w:pPr>
        <w:pStyle w:val="EndnoteText"/>
      </w:pPr>
    </w:p>
  </w:endnote>
  <w:endnote w:id="4">
    <w:p w14:paraId="51150E93" w14:textId="53ADFFF9" w:rsidR="002D111A" w:rsidRPr="00B2539E" w:rsidRDefault="002D111A" w:rsidP="00DF0C87">
      <w:pPr>
        <w:pStyle w:val="EndnoteText"/>
      </w:pPr>
      <w:r w:rsidRPr="00B2539E">
        <w:rPr>
          <w:rStyle w:val="EndnoteReference"/>
        </w:rPr>
        <w:endnoteRef/>
      </w:r>
      <w:r w:rsidRPr="00B2539E">
        <w:t xml:space="preserve"> </w:t>
      </w:r>
      <w:r>
        <w:t xml:space="preserve">“The High Flux Isotope Reactor at ORNL,” URL:  </w:t>
      </w:r>
      <w:r w:rsidRPr="00783CD4">
        <w:rPr>
          <w:u w:val="single"/>
        </w:rPr>
        <w:t>http://neutrons.ornl.gov/facilities/HFIR/</w:t>
      </w:r>
      <w:r>
        <w:t xml:space="preserve"> [cited </w:t>
      </w:r>
      <w:r w:rsidRPr="00783CD4">
        <w:t>July 24</w:t>
      </w:r>
      <w:r w:rsidRPr="00783CD4">
        <w:rPr>
          <w:vertAlign w:val="superscript"/>
        </w:rPr>
        <w:t>th</w:t>
      </w:r>
      <w:r>
        <w:t>, 2013]</w:t>
      </w:r>
      <w:r w:rsidRPr="00783CD4">
        <w:t>.</w:t>
      </w:r>
    </w:p>
    <w:p w14:paraId="2FDCEB67" w14:textId="77777777" w:rsidR="002D111A" w:rsidRPr="00B2539E" w:rsidRDefault="002D111A" w:rsidP="00DF0C87">
      <w:pPr>
        <w:pStyle w:val="EndnoteText"/>
      </w:pPr>
    </w:p>
  </w:endnote>
  <w:endnote w:id="5">
    <w:p w14:paraId="2AA817D5" w14:textId="125049C6" w:rsidR="002D111A" w:rsidRDefault="002D111A" w:rsidP="002A6094">
      <w:pPr>
        <w:pStyle w:val="EndnoteText"/>
      </w:pPr>
      <w:r w:rsidRPr="00B2539E">
        <w:rPr>
          <w:rStyle w:val="EndnoteReference"/>
        </w:rPr>
        <w:endnoteRef/>
      </w:r>
      <w:r w:rsidRPr="00B2539E">
        <w:t xml:space="preserve"> </w:t>
      </w:r>
      <w:r>
        <w:t xml:space="preserve">Munger, F.  “Weird and Wonderful:  ORNL’s High Flux Isotope Reactor Sometimes Attracts the Unusual,” URL:  </w:t>
      </w:r>
      <w:r w:rsidRPr="00783CD4">
        <w:rPr>
          <w:u w:val="single"/>
        </w:rPr>
        <w:t>http://blogs.knoxnews.com/munger/2012/06/weird-wonderful-ornls-high-flu.html</w:t>
      </w:r>
      <w:r>
        <w:t xml:space="preserve"> [cited July 24th, 2013]</w:t>
      </w:r>
      <w:r w:rsidRPr="00783CD4">
        <w:t>.</w:t>
      </w:r>
    </w:p>
    <w:p w14:paraId="4B5981D3" w14:textId="77777777" w:rsidR="002D111A" w:rsidRPr="00B2539E" w:rsidRDefault="002D111A" w:rsidP="002A6094">
      <w:pPr>
        <w:pStyle w:val="EndnoteText"/>
      </w:pPr>
    </w:p>
  </w:endnote>
  <w:endnote w:id="6">
    <w:p w14:paraId="0DA6FFC7" w14:textId="57EB1050" w:rsidR="002D111A" w:rsidRPr="00B2539E" w:rsidRDefault="002D111A" w:rsidP="00DF0C87">
      <w:pPr>
        <w:pStyle w:val="EndnoteText"/>
      </w:pPr>
      <w:r w:rsidRPr="00B2539E">
        <w:rPr>
          <w:rStyle w:val="EndnoteReference"/>
        </w:rPr>
        <w:endnoteRef/>
      </w:r>
      <w:r w:rsidRPr="00B2539E">
        <w:t xml:space="preserve"> Cheverton, R. D., </w:t>
      </w:r>
      <w:r w:rsidRPr="00B2539E">
        <w:rPr>
          <w:i/>
        </w:rPr>
        <w:t>et al</w:t>
      </w:r>
      <w:r w:rsidRPr="00B2539E">
        <w:t xml:space="preserve">.  “An Embrittlement Rate Effect Deduced from HFIR That May Impact LWR Vessel Support Life Expectancy.”  </w:t>
      </w:r>
      <w:r w:rsidRPr="00B2539E">
        <w:rPr>
          <w:i/>
        </w:rPr>
        <w:t>Nuclear Engineering and Design</w:t>
      </w:r>
      <w:r w:rsidRPr="00B2539E">
        <w:t>, Vol. 117, No. 3, 1989.  Pp. 349-355.</w:t>
      </w:r>
    </w:p>
    <w:p w14:paraId="5AAF2E03" w14:textId="77777777" w:rsidR="002D111A" w:rsidRPr="00B2539E" w:rsidRDefault="002D111A" w:rsidP="00DF0C87">
      <w:pPr>
        <w:pStyle w:val="EndnoteText"/>
      </w:pPr>
    </w:p>
  </w:endnote>
  <w:endnote w:id="7">
    <w:p w14:paraId="30AFDDA5" w14:textId="6AA021F5" w:rsidR="002D111A" w:rsidRPr="00B2539E" w:rsidRDefault="002D111A" w:rsidP="00DF0C87">
      <w:pPr>
        <w:pStyle w:val="EndnoteText"/>
      </w:pPr>
      <w:r w:rsidRPr="00F57086">
        <w:rPr>
          <w:rStyle w:val="EndnoteReference"/>
        </w:rPr>
        <w:endnoteRef/>
      </w:r>
      <w:r w:rsidRPr="00F57086">
        <w:t xml:space="preserve"> Ilas</w:t>
      </w:r>
      <w:r>
        <w:t xml:space="preserve">, G., and Primm III, R.  </w:t>
      </w:r>
      <w:r>
        <w:rPr>
          <w:i/>
        </w:rPr>
        <w:t>Low Enriched Uranium Fuel Design with Two-Dimensional Grading for the High Flux Isotope Reactor</w:t>
      </w:r>
      <w:r>
        <w:t>.  ORNL/TM-2010/318.  Oak Ridge National Laboratory, Oak Ridge, TN.  2011.</w:t>
      </w:r>
    </w:p>
    <w:p w14:paraId="65D6BE5C" w14:textId="77777777" w:rsidR="002D111A" w:rsidRPr="00B2539E" w:rsidRDefault="002D111A" w:rsidP="00DF0C87">
      <w:pPr>
        <w:pStyle w:val="EndnoteText"/>
      </w:pPr>
    </w:p>
  </w:endnote>
  <w:endnote w:id="8">
    <w:p w14:paraId="69CEF70B" w14:textId="583286B4" w:rsidR="002D111A" w:rsidRDefault="002D111A" w:rsidP="00783CD4">
      <w:pPr>
        <w:pStyle w:val="EndnoteText"/>
      </w:pPr>
      <w:r>
        <w:rPr>
          <w:rStyle w:val="EndnoteReference"/>
        </w:rPr>
        <w:endnoteRef/>
      </w:r>
      <w:r>
        <w:t xml:space="preserve"> “Reactor Core Assembly,” URL:  </w:t>
      </w:r>
      <w:r w:rsidRPr="002A6094">
        <w:rPr>
          <w:u w:val="single"/>
        </w:rPr>
        <w:t>http://neutrons.ornl.gov/facilities/HFIR/reactorassembly.shtml</w:t>
      </w:r>
      <w:r>
        <w:t xml:space="preserve"> [cited July 24</w:t>
      </w:r>
      <w:r w:rsidRPr="00783CD4">
        <w:rPr>
          <w:vertAlign w:val="superscript"/>
        </w:rPr>
        <w:t>th</w:t>
      </w:r>
      <w:r>
        <w:t>, 2013].</w:t>
      </w:r>
    </w:p>
    <w:p w14:paraId="5A387767" w14:textId="77777777" w:rsidR="002D111A" w:rsidRDefault="002D111A">
      <w:pPr>
        <w:pStyle w:val="EndnoteText"/>
      </w:pPr>
    </w:p>
  </w:endnote>
  <w:endnote w:id="9">
    <w:p w14:paraId="7537E1FE" w14:textId="4B46A571" w:rsidR="002D111A" w:rsidRPr="00A609F5" w:rsidRDefault="002D111A" w:rsidP="00DF0C87">
      <w:pPr>
        <w:pStyle w:val="EndnoteText"/>
      </w:pPr>
      <w:r w:rsidRPr="00A609F5">
        <w:rPr>
          <w:rStyle w:val="EndnoteReference"/>
        </w:rPr>
        <w:endnoteRef/>
      </w:r>
      <w:r w:rsidRPr="00A609F5">
        <w:t xml:space="preserve"> </w:t>
      </w:r>
      <w:r>
        <w:t>Mo, S. C., and Matos, J. E.  “</w:t>
      </w:r>
      <w:r w:rsidRPr="00A609F5">
        <w:t>A Neutronic Feasibility Study for LEU Conversion of the High Flux Isotope Reactor (HFIR).</w:t>
      </w:r>
      <w:r>
        <w:t xml:space="preserve">”  </w:t>
      </w:r>
      <w:r>
        <w:rPr>
          <w:i/>
        </w:rPr>
        <w:t>1997 International Meeting on Reduced Enrichment for Research &amp; Test Reactors</w:t>
      </w:r>
      <w:r>
        <w:t>, Argonne National Laboratory, Argonne, Il, 1997.</w:t>
      </w:r>
    </w:p>
    <w:p w14:paraId="1EB8DE17" w14:textId="77777777" w:rsidR="002D111A" w:rsidRPr="00B2539E" w:rsidRDefault="002D111A" w:rsidP="00DF0C87">
      <w:pPr>
        <w:pStyle w:val="EndnoteText"/>
      </w:pPr>
    </w:p>
  </w:endnote>
  <w:endnote w:id="10">
    <w:p w14:paraId="7BE5D08B" w14:textId="277BD3A5" w:rsidR="002D111A" w:rsidRPr="0064799B" w:rsidRDefault="002D111A" w:rsidP="00DF0C87">
      <w:pPr>
        <w:pStyle w:val="EndnoteText"/>
      </w:pPr>
      <w:r w:rsidRPr="0064799B">
        <w:rPr>
          <w:rStyle w:val="EndnoteReference"/>
        </w:rPr>
        <w:endnoteRef/>
      </w:r>
      <w:r w:rsidRPr="0064799B">
        <w:t xml:space="preserve"> </w:t>
      </w:r>
      <w:r>
        <w:t xml:space="preserve">“RERTR,” URL:  </w:t>
      </w:r>
      <w:r w:rsidRPr="0064799B">
        <w:rPr>
          <w:u w:val="single"/>
        </w:rPr>
        <w:t>http://www.rertr.anl.gov/index.html</w:t>
      </w:r>
      <w:r>
        <w:t xml:space="preserve"> [cited July 25th, 2013].</w:t>
      </w:r>
    </w:p>
    <w:p w14:paraId="352CCA7C" w14:textId="77777777" w:rsidR="002D111A" w:rsidRPr="00B2539E" w:rsidRDefault="002D111A" w:rsidP="00DF0C87">
      <w:pPr>
        <w:pStyle w:val="EndnoteText"/>
      </w:pPr>
    </w:p>
  </w:endnote>
  <w:endnote w:id="11">
    <w:p w14:paraId="3A7E6DB1" w14:textId="0ED40570" w:rsidR="002D111A" w:rsidRDefault="002D111A" w:rsidP="00DF0C87">
      <w:pPr>
        <w:pStyle w:val="EndnoteText"/>
      </w:pPr>
      <w:r w:rsidRPr="00B2539E">
        <w:rPr>
          <w:rStyle w:val="EndnoteReference"/>
        </w:rPr>
        <w:endnoteRef/>
      </w:r>
      <w:r>
        <w:t xml:space="preserve"> Primm III, R. T., et al.  </w:t>
      </w:r>
      <w:r w:rsidRPr="0086378C">
        <w:rPr>
          <w:i/>
        </w:rPr>
        <w:t>Assumptions and Criteria for Performing a Feasibility Study of the Conversion of the High Flux Isotope Reactor Core to Use Low-Enriched Uranium Fuel</w:t>
      </w:r>
      <w:r>
        <w:t>.  ORNL/TM-2005/269.</w:t>
      </w:r>
      <w:r w:rsidRPr="00212079">
        <w:t xml:space="preserve">  Oak Ridge National Laboratory, </w:t>
      </w:r>
      <w:r>
        <w:t xml:space="preserve">Oak Ridge, TN.  </w:t>
      </w:r>
      <w:r w:rsidRPr="00212079">
        <w:t>2006.</w:t>
      </w:r>
    </w:p>
    <w:p w14:paraId="1260BE62" w14:textId="77777777" w:rsidR="002D111A" w:rsidRPr="00B2539E" w:rsidRDefault="002D111A" w:rsidP="00DF0C87">
      <w:pPr>
        <w:pStyle w:val="EndnoteText"/>
      </w:pPr>
    </w:p>
  </w:endnote>
  <w:endnote w:id="12">
    <w:p w14:paraId="1F42E942" w14:textId="02692012" w:rsidR="002D111A" w:rsidRPr="00376B49" w:rsidRDefault="002D111A" w:rsidP="00DF0C87">
      <w:pPr>
        <w:pStyle w:val="EndnoteText"/>
      </w:pPr>
      <w:r w:rsidRPr="00376B49">
        <w:rPr>
          <w:rStyle w:val="EndnoteReference"/>
        </w:rPr>
        <w:endnoteRef/>
      </w:r>
      <w:r w:rsidRPr="00376B49">
        <w:t xml:space="preserve"> </w:t>
      </w:r>
      <w:r>
        <w:t xml:space="preserve">“Fact Sheet,” URL:  </w:t>
      </w:r>
      <w:r w:rsidRPr="00376B49">
        <w:rPr>
          <w:u w:val="single"/>
        </w:rPr>
        <w:t>http://nnsa.energy.gov/mediaroom/factsheets/reducingthreats</w:t>
      </w:r>
      <w:r>
        <w:t xml:space="preserve"> [cited July 25</w:t>
      </w:r>
      <w:r w:rsidRPr="00376B49">
        <w:rPr>
          <w:vertAlign w:val="superscript"/>
        </w:rPr>
        <w:t>th</w:t>
      </w:r>
      <w:r>
        <w:t>, 2013].</w:t>
      </w:r>
    </w:p>
    <w:p w14:paraId="24746615" w14:textId="77777777" w:rsidR="002D111A" w:rsidRPr="00B2539E" w:rsidRDefault="002D111A" w:rsidP="00DF0C87">
      <w:pPr>
        <w:pStyle w:val="EndnoteText"/>
      </w:pPr>
    </w:p>
  </w:endnote>
  <w:endnote w:id="13">
    <w:p w14:paraId="401ED359" w14:textId="7EE669CB" w:rsidR="002D111A" w:rsidRDefault="002D111A">
      <w:pPr>
        <w:pStyle w:val="EndnoteText"/>
      </w:pPr>
      <w:r>
        <w:rPr>
          <w:rStyle w:val="EndnoteReference"/>
        </w:rPr>
        <w:endnoteRef/>
      </w:r>
      <w:r>
        <w:t xml:space="preserve"> </w:t>
      </w:r>
      <w:r w:rsidRPr="006F17D4">
        <w:t xml:space="preserve">Davis, E. J., and Anderson, G. H.  “The Incipience of Nucleate Boiling in Forced Convection Flow.”  </w:t>
      </w:r>
      <w:r w:rsidRPr="0086378C">
        <w:rPr>
          <w:i/>
        </w:rPr>
        <w:t>AIChe Journal</w:t>
      </w:r>
      <w:r w:rsidRPr="006F17D4">
        <w:t>, Vol. 12, No. 4, 1966.  Pp:  774-780.</w:t>
      </w:r>
    </w:p>
    <w:p w14:paraId="68758E66" w14:textId="77777777" w:rsidR="002D111A" w:rsidRDefault="002D111A">
      <w:pPr>
        <w:pStyle w:val="EndnoteText"/>
      </w:pPr>
    </w:p>
  </w:endnote>
  <w:endnote w:id="14">
    <w:p w14:paraId="2D3DF21E" w14:textId="3E2B857F" w:rsidR="002D111A" w:rsidRDefault="002D111A" w:rsidP="00DF0C87">
      <w:pPr>
        <w:pStyle w:val="EndnoteText"/>
      </w:pPr>
      <w:r>
        <w:rPr>
          <w:rStyle w:val="EndnoteReference"/>
        </w:rPr>
        <w:endnoteRef/>
      </w:r>
      <w:r>
        <w:t xml:space="preserve"> </w:t>
      </w:r>
      <w:r w:rsidRPr="00CF288F">
        <w:t xml:space="preserve">Blanco, P. J., Feijoo, R. A., and Urquiza, S. A.  “A Unified Variational Approach for Coupling 3D-1D Models and its Blood Flow Applications.”  </w:t>
      </w:r>
      <w:r w:rsidRPr="00CF288F">
        <w:rPr>
          <w:i/>
        </w:rPr>
        <w:t>Computer Methods in Applied Mechanics and Engineering</w:t>
      </w:r>
      <w:r w:rsidRPr="00CF288F">
        <w:t>, Vol. 196, No. 41-44, 2007.  Pp. 4391-4410.</w:t>
      </w:r>
    </w:p>
    <w:p w14:paraId="26AD1E4C" w14:textId="77777777" w:rsidR="002D111A" w:rsidRDefault="002D111A" w:rsidP="00DF0C87">
      <w:pPr>
        <w:pStyle w:val="EndnoteText"/>
      </w:pPr>
    </w:p>
  </w:endnote>
  <w:endnote w:id="15">
    <w:p w14:paraId="5B70DBE2" w14:textId="5B8ABE47" w:rsidR="002D111A" w:rsidRDefault="002D111A" w:rsidP="00DF0C87">
      <w:pPr>
        <w:pStyle w:val="EndnoteText"/>
      </w:pPr>
      <w:r>
        <w:rPr>
          <w:rStyle w:val="EndnoteReference"/>
        </w:rPr>
        <w:endnoteRef/>
      </w:r>
      <w:r>
        <w:t xml:space="preserve"> </w:t>
      </w:r>
      <w:r w:rsidRPr="00CB72B3">
        <w:t xml:space="preserve">Gayer, M., Kortelainen, J., and Karhela T.  “CFD </w:t>
      </w:r>
      <w:r>
        <w:t>Modeling</w:t>
      </w:r>
      <w:r w:rsidRPr="00CB72B3">
        <w:t xml:space="preserve"> as an Integrated Part of Multi-Level Simulation of Process Plants—Semantic </w:t>
      </w:r>
      <w:r>
        <w:t>Modeling</w:t>
      </w:r>
      <w:r w:rsidRPr="00CB72B3">
        <w:t xml:space="preserve"> Approach.”  </w:t>
      </w:r>
      <w:r w:rsidRPr="00E86204">
        <w:rPr>
          <w:i/>
        </w:rPr>
        <w:t xml:space="preserve">2010 Summer Computer Simulation Conference, Society for </w:t>
      </w:r>
      <w:r>
        <w:rPr>
          <w:i/>
        </w:rPr>
        <w:t>Modeling</w:t>
      </w:r>
      <w:r w:rsidRPr="00E86204">
        <w:rPr>
          <w:i/>
        </w:rPr>
        <w:t xml:space="preserve"> and Simulation International</w:t>
      </w:r>
      <w:r w:rsidRPr="00CB72B3">
        <w:t>, Vista, CA, 2010.</w:t>
      </w:r>
    </w:p>
    <w:p w14:paraId="49E630BB" w14:textId="77777777" w:rsidR="002D111A" w:rsidRDefault="002D111A" w:rsidP="00DF0C87">
      <w:pPr>
        <w:pStyle w:val="EndnoteText"/>
      </w:pPr>
    </w:p>
  </w:endnote>
  <w:endnote w:id="16">
    <w:p w14:paraId="6CC8CAF6" w14:textId="5D6A126A" w:rsidR="002D111A" w:rsidRDefault="002D111A" w:rsidP="00DF0C87">
      <w:pPr>
        <w:pStyle w:val="EndnoteText"/>
      </w:pPr>
      <w:r>
        <w:rPr>
          <w:rStyle w:val="EndnoteReference"/>
        </w:rPr>
        <w:endnoteRef/>
      </w:r>
      <w:r>
        <w:t xml:space="preserve"> </w:t>
      </w:r>
      <w:r w:rsidRPr="006632A4">
        <w:t xml:space="preserve">Formaggia, L., </w:t>
      </w:r>
      <w:r w:rsidRPr="006632A4">
        <w:rPr>
          <w:i/>
        </w:rPr>
        <w:t>et al</w:t>
      </w:r>
      <w:r w:rsidRPr="006632A4">
        <w:t xml:space="preserve">.  “On the Coupling of 3D and 1D Navier-Stokes Equations for Flow Problems in Compliant Vessels.”  </w:t>
      </w:r>
      <w:r w:rsidRPr="006632A4">
        <w:rPr>
          <w:i/>
        </w:rPr>
        <w:t>Computer Methods in Applied Mechanics and Engineering</w:t>
      </w:r>
      <w:r w:rsidRPr="006632A4">
        <w:t>, Vol. 191, No. 6-7, 2001.  Pp. 561-582.</w:t>
      </w:r>
    </w:p>
    <w:p w14:paraId="49515AF4" w14:textId="77777777" w:rsidR="002D111A" w:rsidRDefault="002D111A" w:rsidP="00DF0C87">
      <w:pPr>
        <w:pStyle w:val="EndnoteText"/>
      </w:pPr>
    </w:p>
  </w:endnote>
  <w:endnote w:id="17">
    <w:p w14:paraId="24CCA11D" w14:textId="5C305DBE" w:rsidR="002D111A" w:rsidRDefault="002D111A" w:rsidP="00DF0C87">
      <w:pPr>
        <w:pStyle w:val="EndnoteText"/>
      </w:pPr>
      <w:r>
        <w:rPr>
          <w:rStyle w:val="EndnoteReference"/>
        </w:rPr>
        <w:endnoteRef/>
      </w:r>
      <w:r>
        <w:t xml:space="preserve"> </w:t>
      </w:r>
      <w:r w:rsidRPr="00E86204">
        <w:t xml:space="preserve">Viel, A. “Strong Coupling of Modelica System-Level Models with Detailed CFD Models for Transient Simulation of Hydraulic Components in their Surrounding Environment.”  </w:t>
      </w:r>
      <w:r w:rsidRPr="00E86204">
        <w:rPr>
          <w:i/>
        </w:rPr>
        <w:t>Proceedings 8th Modelica Conference</w:t>
      </w:r>
      <w:r w:rsidRPr="00E86204">
        <w:t>, Modelica Associat</w:t>
      </w:r>
      <w:r>
        <w:t>ion, Oberpfaffenhofen, Germany</w:t>
      </w:r>
      <w:r w:rsidRPr="00E86204">
        <w:t>, 2011.</w:t>
      </w:r>
    </w:p>
    <w:p w14:paraId="5736E94C" w14:textId="77777777" w:rsidR="002D111A" w:rsidRDefault="002D111A" w:rsidP="00DF0C87">
      <w:pPr>
        <w:pStyle w:val="EndnoteText"/>
      </w:pPr>
    </w:p>
  </w:endnote>
  <w:endnote w:id="18">
    <w:p w14:paraId="34964A89" w14:textId="4D3A43A5" w:rsidR="002D111A" w:rsidRDefault="002D111A" w:rsidP="00DF0C87">
      <w:pPr>
        <w:pStyle w:val="EndnoteText"/>
      </w:pPr>
      <w:r>
        <w:rPr>
          <w:rStyle w:val="EndnoteReference"/>
        </w:rPr>
        <w:endnoteRef/>
      </w:r>
      <w:r>
        <w:t xml:space="preserve"> </w:t>
      </w:r>
      <w:r w:rsidRPr="00E637AF">
        <w:t xml:space="preserve">Yang, F.-l., Zhang, X.-f., and Tan, G.-m.  “One- and Two-Dimensional Coupled Hydrodynamics Model for Dam Break Flow.”  </w:t>
      </w:r>
      <w:r w:rsidRPr="00E637AF">
        <w:rPr>
          <w:i/>
        </w:rPr>
        <w:t>Journal of Hydrodynamics</w:t>
      </w:r>
      <w:r w:rsidRPr="00E637AF">
        <w:t>, Vol. 19, No. 6, 2007.  Pp. 769-775.</w:t>
      </w:r>
    </w:p>
    <w:p w14:paraId="4F41F75E" w14:textId="77777777" w:rsidR="002D111A" w:rsidRDefault="002D111A" w:rsidP="00DF0C87">
      <w:pPr>
        <w:pStyle w:val="EndnoteText"/>
      </w:pPr>
    </w:p>
  </w:endnote>
  <w:endnote w:id="19">
    <w:p w14:paraId="107146A6" w14:textId="1C5FB4D1" w:rsidR="002D111A" w:rsidRDefault="002D111A" w:rsidP="00DF0C87">
      <w:pPr>
        <w:pStyle w:val="EndnoteText"/>
      </w:pPr>
      <w:r>
        <w:rPr>
          <w:rStyle w:val="EndnoteReference"/>
        </w:rPr>
        <w:endnoteRef/>
      </w:r>
      <w:r>
        <w:t xml:space="preserve"> </w:t>
      </w:r>
      <w:r w:rsidRPr="00C709E2">
        <w:t xml:space="preserve">Marcer, R., </w:t>
      </w:r>
      <w:r w:rsidRPr="00FA3D9A">
        <w:rPr>
          <w:i/>
        </w:rPr>
        <w:t>et al</w:t>
      </w:r>
      <w:r w:rsidRPr="00C709E2">
        <w:t xml:space="preserve">.  “Coupling 1D System AMESim and 3D CFD EOLE models for Diesel Injection Simulation.”  </w:t>
      </w:r>
      <w:r w:rsidRPr="00C709E2">
        <w:rPr>
          <w:i/>
        </w:rPr>
        <w:t>23rd Annual Conference on Liquid Atomization and Spray Systems, Institute for Liquid Atomization and Spray Systems</w:t>
      </w:r>
      <w:r>
        <w:t>, Edwards AFB, CA</w:t>
      </w:r>
      <w:r w:rsidRPr="00C709E2">
        <w:t>, 2010.</w:t>
      </w:r>
    </w:p>
    <w:p w14:paraId="1A9C1D19" w14:textId="77777777" w:rsidR="002D111A" w:rsidRDefault="002D111A" w:rsidP="00DF0C87">
      <w:pPr>
        <w:pStyle w:val="EndnoteText"/>
      </w:pPr>
    </w:p>
  </w:endnote>
  <w:endnote w:id="20">
    <w:p w14:paraId="4AE012F7" w14:textId="77777777" w:rsidR="002D111A" w:rsidRDefault="002D111A" w:rsidP="00DF0C87">
      <w:pPr>
        <w:pStyle w:val="BodyText1"/>
      </w:pPr>
      <w:r>
        <w:rPr>
          <w:rStyle w:val="EndnoteReference"/>
        </w:rPr>
        <w:endnoteRef/>
      </w:r>
      <w:r>
        <w:t xml:space="preserve"> Morita, M., and Yen, B. “Numerical methods for conjunctive two-dimensional surface and three-dimensional sub-surface flows.”  </w:t>
      </w:r>
      <w:r w:rsidRPr="001264F1">
        <w:rPr>
          <w:i/>
        </w:rPr>
        <w:t>International Journal for Numerical Methods in Fluids</w:t>
      </w:r>
      <w:r>
        <w:t>, Vol. 32, No. 8, 2000.  Pp. 921-957.</w:t>
      </w:r>
    </w:p>
    <w:p w14:paraId="7D767164" w14:textId="5C760B4B" w:rsidR="002D111A" w:rsidRDefault="002D111A" w:rsidP="00DF0C87">
      <w:pPr>
        <w:pStyle w:val="EndnoteText"/>
      </w:pPr>
    </w:p>
  </w:endnote>
  <w:endnote w:id="21">
    <w:p w14:paraId="7A6CB722" w14:textId="02F746EB" w:rsidR="002D111A" w:rsidRDefault="002D111A" w:rsidP="00DF0C87">
      <w:pPr>
        <w:pStyle w:val="EndnoteText"/>
      </w:pPr>
      <w:r>
        <w:rPr>
          <w:rStyle w:val="EndnoteReference"/>
        </w:rPr>
        <w:endnoteRef/>
      </w:r>
      <w:r>
        <w:t xml:space="preserve"> Amara, M, Capatina-Papaghiuc, D., and Trujillo D.  “Hydrodynamical Modeling and Multidimensional Approximation of Estuarian River Flows.”  </w:t>
      </w:r>
      <w:r>
        <w:rPr>
          <w:i/>
        </w:rPr>
        <w:t>Computing and Visualization in Science</w:t>
      </w:r>
      <w:r>
        <w:t>, Vol. 6, No. 2-3, 2004.  Pp. 39-46.</w:t>
      </w:r>
    </w:p>
    <w:p w14:paraId="5F565E02" w14:textId="77777777" w:rsidR="002D111A" w:rsidRDefault="002D111A" w:rsidP="00DF0C87">
      <w:pPr>
        <w:pStyle w:val="EndnoteText"/>
      </w:pPr>
    </w:p>
  </w:endnote>
  <w:endnote w:id="22">
    <w:p w14:paraId="7803B518" w14:textId="33542630" w:rsidR="002D111A" w:rsidRDefault="002D111A" w:rsidP="00DF0C87">
      <w:pPr>
        <w:pStyle w:val="EndnoteText"/>
      </w:pPr>
      <w:r>
        <w:rPr>
          <w:rStyle w:val="EndnoteReference"/>
        </w:rPr>
        <w:endnoteRef/>
      </w:r>
      <w:r>
        <w:t xml:space="preserve"> </w:t>
      </w:r>
      <w:r w:rsidRPr="00A9760D">
        <w:t xml:space="preserve">Steinebach, G, </w:t>
      </w:r>
      <w:r w:rsidRPr="00A9760D">
        <w:rPr>
          <w:i/>
        </w:rPr>
        <w:t>et al</w:t>
      </w:r>
      <w:r w:rsidRPr="00A9760D">
        <w:t xml:space="preserve">.  “Mechanisms of Coupling in River Flow Simulation Systems.”  </w:t>
      </w:r>
      <w:r w:rsidRPr="00A9760D">
        <w:rPr>
          <w:i/>
        </w:rPr>
        <w:t>Journal of Computational and Applied Mathematics</w:t>
      </w:r>
      <w:r w:rsidRPr="00A9760D">
        <w:t>, Vol. 168, No. 1-2, 2004.  Pp. 459-470.</w:t>
      </w:r>
    </w:p>
    <w:p w14:paraId="3E49D455" w14:textId="77777777" w:rsidR="002D111A" w:rsidRDefault="002D111A" w:rsidP="00DF0C87">
      <w:pPr>
        <w:pStyle w:val="EndnoteText"/>
      </w:pPr>
    </w:p>
  </w:endnote>
  <w:endnote w:id="23">
    <w:p w14:paraId="52F1220E" w14:textId="4F36449B" w:rsidR="002D111A" w:rsidRDefault="002D111A" w:rsidP="00DF0C87">
      <w:pPr>
        <w:pStyle w:val="EndnoteText"/>
      </w:pPr>
      <w:r>
        <w:rPr>
          <w:rStyle w:val="EndnoteReference"/>
        </w:rPr>
        <w:endnoteRef/>
      </w:r>
      <w:r>
        <w:t xml:space="preserve"> </w:t>
      </w:r>
      <w:r w:rsidRPr="004120FC">
        <w:t xml:space="preserve">Lazure, P., and Dumas, F.  “An External-Internal Mode Coupling for a 3D Hydrodynamical Model for Applications at Regional Scale (MARS).”  </w:t>
      </w:r>
      <w:r w:rsidRPr="004120FC">
        <w:rPr>
          <w:i/>
        </w:rPr>
        <w:t>Advances in Water Resources</w:t>
      </w:r>
      <w:r w:rsidRPr="004120FC">
        <w:t>, Vol. 31, No. 2, 2008.  Pp. 233-250.</w:t>
      </w:r>
    </w:p>
    <w:p w14:paraId="6FF2BC4E" w14:textId="77777777" w:rsidR="002D111A" w:rsidRDefault="002D111A" w:rsidP="00DF0C87">
      <w:pPr>
        <w:pStyle w:val="EndnoteText"/>
      </w:pPr>
    </w:p>
  </w:endnote>
  <w:endnote w:id="24">
    <w:p w14:paraId="1D93DBC7" w14:textId="48D80CFC" w:rsidR="002D111A" w:rsidRDefault="002D111A" w:rsidP="00DF0C87">
      <w:pPr>
        <w:pStyle w:val="EndnoteText"/>
      </w:pPr>
      <w:r>
        <w:rPr>
          <w:rStyle w:val="EndnoteReference"/>
        </w:rPr>
        <w:endnoteRef/>
      </w:r>
      <w:r>
        <w:t xml:space="preserve"> </w:t>
      </w:r>
      <w:r w:rsidRPr="00C07F92">
        <w:t xml:space="preserve">Kilanehei, F., Naeeni, S., and Namin, M. “Coupling of 2DH-3D Hydrodynamic Numerical Models for Simulating Flow Around River Hydraulic Structures.”  </w:t>
      </w:r>
      <w:r w:rsidRPr="00C07F92">
        <w:rPr>
          <w:i/>
        </w:rPr>
        <w:t>World Applied Sciences Journal</w:t>
      </w:r>
      <w:r w:rsidRPr="00C07F92">
        <w:t>, Vo</w:t>
      </w:r>
      <w:r>
        <w:t>l. 53, No. 1, 2011.  Pp. 63-77.</w:t>
      </w:r>
    </w:p>
    <w:p w14:paraId="2376F3FE" w14:textId="77777777" w:rsidR="002D111A" w:rsidRDefault="002D111A" w:rsidP="00DF0C87">
      <w:pPr>
        <w:pStyle w:val="EndnoteText"/>
      </w:pPr>
    </w:p>
  </w:endnote>
  <w:endnote w:id="25">
    <w:p w14:paraId="3EE985CA" w14:textId="3D77E3EF" w:rsidR="002D111A" w:rsidRDefault="002D111A" w:rsidP="00DF0C87">
      <w:pPr>
        <w:pStyle w:val="EndnoteText"/>
      </w:pPr>
      <w:r>
        <w:rPr>
          <w:rStyle w:val="EndnoteReference"/>
        </w:rPr>
        <w:endnoteRef/>
      </w:r>
      <w:r>
        <w:t xml:space="preserve"> </w:t>
      </w:r>
      <w:r w:rsidRPr="00C07F92">
        <w:t xml:space="preserve">Zounemat-Kermani, M., and Sabbagh-Yazdi, S.-R. “Coupling of two- and three-dimensional hydrodynamic numerical models for simulating wind-induced currents in deep basins.”  </w:t>
      </w:r>
      <w:r w:rsidRPr="00C07F92">
        <w:rPr>
          <w:i/>
        </w:rPr>
        <w:t>Computers and Fluids</w:t>
      </w:r>
      <w:r w:rsidRPr="00C07F92">
        <w:t>, Vol. 39, No. 6, 2010.  Pp. 994-1011.</w:t>
      </w:r>
    </w:p>
    <w:p w14:paraId="3B702AF5" w14:textId="77777777" w:rsidR="002D111A" w:rsidRDefault="002D111A" w:rsidP="00DF0C87">
      <w:pPr>
        <w:pStyle w:val="EndnoteText"/>
      </w:pPr>
    </w:p>
  </w:endnote>
  <w:endnote w:id="26">
    <w:p w14:paraId="2774814D" w14:textId="349BDDA3" w:rsidR="002D111A" w:rsidRDefault="002D111A" w:rsidP="00DF0C87">
      <w:pPr>
        <w:pStyle w:val="EndnoteText"/>
      </w:pPr>
      <w:r>
        <w:rPr>
          <w:rStyle w:val="EndnoteReference"/>
        </w:rPr>
        <w:endnoteRef/>
      </w:r>
      <w:r>
        <w:t xml:space="preserve"> </w:t>
      </w:r>
      <w:r w:rsidRPr="00C07F92">
        <w:t xml:space="preserve">Gejadze, I., and Monnier, J.  “On a 2D ‘Zoom’ for the 1D Shallow Water Model:  Coupling and Data Assimilation.”  </w:t>
      </w:r>
      <w:r w:rsidRPr="00C07F92">
        <w:rPr>
          <w:i/>
        </w:rPr>
        <w:t>Computer Methods in Applied Mechanics and Engineering</w:t>
      </w:r>
      <w:r w:rsidRPr="00C07F92">
        <w:t>, Vol. 192, No. 45-48, 2007.  Pp. 4628-4643.</w:t>
      </w:r>
    </w:p>
    <w:p w14:paraId="5A928F74" w14:textId="77777777" w:rsidR="002D111A" w:rsidRDefault="002D111A" w:rsidP="00DF0C87">
      <w:pPr>
        <w:pStyle w:val="EndnoteText"/>
      </w:pPr>
    </w:p>
  </w:endnote>
  <w:endnote w:id="27">
    <w:p w14:paraId="0546164D" w14:textId="64BC7A40" w:rsidR="002D111A" w:rsidRDefault="002D111A" w:rsidP="00DF0C87">
      <w:pPr>
        <w:pStyle w:val="EndnoteText"/>
      </w:pPr>
      <w:r>
        <w:rPr>
          <w:rStyle w:val="EndnoteReference"/>
        </w:rPr>
        <w:endnoteRef/>
      </w:r>
      <w:r>
        <w:t xml:space="preserve"> </w:t>
      </w:r>
      <w:r w:rsidRPr="00C07F92">
        <w:t xml:space="preserve">Marin, J., and Monnier, J.  “Superposition of Local Zoom Models and Simultaneous Calibration for 1D-2D Shallow Water Flows.”  </w:t>
      </w:r>
      <w:r w:rsidRPr="00C07F92">
        <w:rPr>
          <w:i/>
        </w:rPr>
        <w:t>Mathematics and Computers in Simulation</w:t>
      </w:r>
      <w:r w:rsidRPr="00C07F92">
        <w:t>, Vol</w:t>
      </w:r>
      <w:r>
        <w:t>. 80, No. 3, 2009.  Pp. 547-560.</w:t>
      </w:r>
    </w:p>
    <w:p w14:paraId="2DAAD12D" w14:textId="77777777" w:rsidR="002D111A" w:rsidRDefault="002D111A" w:rsidP="00DF0C87">
      <w:pPr>
        <w:pStyle w:val="EndnoteText"/>
      </w:pPr>
    </w:p>
  </w:endnote>
  <w:endnote w:id="28">
    <w:p w14:paraId="6EECE92B" w14:textId="77777777" w:rsidR="002D111A" w:rsidRDefault="002D111A" w:rsidP="00DF0C87">
      <w:pPr>
        <w:pStyle w:val="BodyText1"/>
      </w:pPr>
      <w:r>
        <w:rPr>
          <w:rStyle w:val="EndnoteReference"/>
        </w:rPr>
        <w:endnoteRef/>
      </w:r>
      <w:r>
        <w:t xml:space="preserve"> </w:t>
      </w:r>
      <w:r w:rsidRPr="00C07F92">
        <w:t xml:space="preserve">Fernández-Nieto, E., Marin, J, and Monnier, J.  “Coupling Superposed 1D and 2D Shallow-Water Models:  Source Terms in Finite Volume Schemes.”  </w:t>
      </w:r>
      <w:r w:rsidRPr="00C07F92">
        <w:rPr>
          <w:i/>
        </w:rPr>
        <w:t>Computers and Fluids</w:t>
      </w:r>
      <w:r w:rsidRPr="00C07F92">
        <w:t xml:space="preserve">, Vol. </w:t>
      </w:r>
      <w:r>
        <w:t>39, No. 6, 2010.  Pp. 1070-1082.</w:t>
      </w:r>
    </w:p>
    <w:p w14:paraId="11B9FED9" w14:textId="77777777" w:rsidR="002D111A" w:rsidRDefault="002D111A" w:rsidP="00DF0C87">
      <w:pPr>
        <w:pStyle w:val="EndnoteText"/>
      </w:pPr>
    </w:p>
  </w:endnote>
  <w:endnote w:id="29">
    <w:p w14:paraId="336A6B4B" w14:textId="1D999704" w:rsidR="002D111A" w:rsidRDefault="002D111A" w:rsidP="00DF0C87">
      <w:pPr>
        <w:pStyle w:val="EndnoteText"/>
      </w:pPr>
      <w:r>
        <w:rPr>
          <w:rStyle w:val="EndnoteReference"/>
        </w:rPr>
        <w:endnoteRef/>
      </w:r>
      <w:r>
        <w:t xml:space="preserve"> </w:t>
      </w:r>
      <w:r w:rsidRPr="00E05DE0">
        <w:t xml:space="preserve">Miglio, E., Perotto, S., and Saleri, F.  “Model Coupling Techniques for Free-Surface Flow Problems:  Part I.”  </w:t>
      </w:r>
      <w:r w:rsidRPr="00E05DE0">
        <w:rPr>
          <w:i/>
        </w:rPr>
        <w:t>Nonlinear Analysis:  Theory, Methods &amp; Applications</w:t>
      </w:r>
      <w:r w:rsidRPr="00E05DE0">
        <w:t>, Vol. 63, No. 5, 2005.  Pp.  1885-1896.</w:t>
      </w:r>
    </w:p>
    <w:p w14:paraId="28432F33" w14:textId="77777777" w:rsidR="002D111A" w:rsidRDefault="002D111A" w:rsidP="00DF0C87">
      <w:pPr>
        <w:pStyle w:val="EndnoteText"/>
      </w:pPr>
    </w:p>
  </w:endnote>
  <w:endnote w:id="30">
    <w:p w14:paraId="6E633AF6" w14:textId="77777777" w:rsidR="002D111A" w:rsidRPr="005C1A03" w:rsidRDefault="002D111A" w:rsidP="005C1A03">
      <w:pPr>
        <w:pStyle w:val="EndnoteText"/>
      </w:pPr>
      <w:r>
        <w:rPr>
          <w:rStyle w:val="EndnoteReference"/>
        </w:rPr>
        <w:endnoteRef/>
      </w:r>
      <w:r>
        <w:t xml:space="preserve"> </w:t>
      </w:r>
      <w:r w:rsidRPr="005C1A03">
        <w:t xml:space="preserve">Anglart, H, </w:t>
      </w:r>
      <w:r w:rsidRPr="005C1A03">
        <w:rPr>
          <w:i/>
        </w:rPr>
        <w:t>et al</w:t>
      </w:r>
      <w:r w:rsidRPr="005C1A03">
        <w:t xml:space="preserve">.  “CFD Prediction of Flow and Phase Distribution in Fuel Assemblies with Spacers.”  </w:t>
      </w:r>
      <w:r w:rsidRPr="005C1A03">
        <w:rPr>
          <w:i/>
        </w:rPr>
        <w:t>Nuclear Engineering and Design</w:t>
      </w:r>
      <w:r w:rsidRPr="005C1A03">
        <w:t>, Vol. 177, No. 1-3, 1997.  Pp:  215-228.</w:t>
      </w:r>
    </w:p>
    <w:p w14:paraId="2C1C5731" w14:textId="6556E29D" w:rsidR="002D111A" w:rsidRDefault="002D111A">
      <w:pPr>
        <w:pStyle w:val="EndnoteText"/>
      </w:pPr>
    </w:p>
  </w:endnote>
  <w:endnote w:id="31">
    <w:p w14:paraId="6CECC4B4" w14:textId="36A0BD70" w:rsidR="002D111A" w:rsidRPr="00926CFD" w:rsidRDefault="002D111A" w:rsidP="00926CFD">
      <w:pPr>
        <w:pStyle w:val="EndnoteText"/>
      </w:pPr>
      <w:r>
        <w:rPr>
          <w:rStyle w:val="EndnoteReference"/>
        </w:rPr>
        <w:endnoteRef/>
      </w:r>
      <w:r>
        <w:t xml:space="preserve"> </w:t>
      </w:r>
      <w:r w:rsidRPr="00926CFD">
        <w:t xml:space="preserve">Krepper, E., Končar, B., and Egorov, Y.  “CFD </w:t>
      </w:r>
      <w:r>
        <w:t>Modeling</w:t>
      </w:r>
      <w:r w:rsidRPr="00926CFD">
        <w:t xml:space="preserve"> of Subcooled Boiling—Concept, Validation and Application to Fuel Assembly Design.”  </w:t>
      </w:r>
      <w:r w:rsidRPr="00926CFD">
        <w:rPr>
          <w:i/>
        </w:rPr>
        <w:t>Nuclear Engineering and Design</w:t>
      </w:r>
      <w:r w:rsidRPr="00926CFD">
        <w:t>, Vol. 237, No. 7, 2007.  Pp:  716-731.</w:t>
      </w:r>
    </w:p>
    <w:p w14:paraId="65C26E2F" w14:textId="6C72C2E3" w:rsidR="002D111A" w:rsidRDefault="002D111A">
      <w:pPr>
        <w:pStyle w:val="EndnoteText"/>
      </w:pPr>
    </w:p>
  </w:endnote>
  <w:endnote w:id="32">
    <w:p w14:paraId="1166D0B2" w14:textId="77777777" w:rsidR="002D111A" w:rsidRPr="00926CFD" w:rsidRDefault="002D111A" w:rsidP="00926CFD">
      <w:pPr>
        <w:pStyle w:val="EndnoteText"/>
      </w:pPr>
      <w:r>
        <w:rPr>
          <w:rStyle w:val="EndnoteReference"/>
        </w:rPr>
        <w:endnoteRef/>
      </w:r>
      <w:r>
        <w:t xml:space="preserve"> </w:t>
      </w:r>
      <w:r w:rsidRPr="00926CFD">
        <w:t xml:space="preserve">Kocar, C., and Sokmen, C.  “A CFD Model of Two-Phase Flow in BWRs with Results of Sensitivity and Uncertainty Analysis.”  </w:t>
      </w:r>
      <w:r w:rsidRPr="00926CFD">
        <w:rPr>
          <w:i/>
        </w:rPr>
        <w:t>Nuclear Engineering and Design</w:t>
      </w:r>
      <w:r w:rsidRPr="00926CFD">
        <w:t>, Vol. 239, No. 10, 2009.  Pp:  1839-1846.</w:t>
      </w:r>
    </w:p>
    <w:p w14:paraId="0F17D9B1" w14:textId="29BCF836" w:rsidR="002D111A" w:rsidRDefault="002D111A">
      <w:pPr>
        <w:pStyle w:val="EndnoteText"/>
      </w:pPr>
    </w:p>
  </w:endnote>
  <w:endnote w:id="33">
    <w:p w14:paraId="15174D06" w14:textId="77777777" w:rsidR="002D111A" w:rsidRPr="00926CFD" w:rsidRDefault="002D111A" w:rsidP="00926CFD">
      <w:pPr>
        <w:pStyle w:val="EndnoteText"/>
      </w:pPr>
      <w:r>
        <w:rPr>
          <w:rStyle w:val="EndnoteReference"/>
        </w:rPr>
        <w:endnoteRef/>
      </w:r>
      <w:r>
        <w:t xml:space="preserve"> </w:t>
      </w:r>
      <w:r w:rsidRPr="00926CFD">
        <w:t xml:space="preserve">Lahey Jr., R. T., and Drew, D. A.  “The Analysis of Two-Phase Flow and Heat Transfer Using a Multidimensional, Four Field, Two-Fluid Model.”  </w:t>
      </w:r>
      <w:r w:rsidRPr="00926CFD">
        <w:rPr>
          <w:i/>
        </w:rPr>
        <w:t>Nuclear Engineering and Design</w:t>
      </w:r>
      <w:r w:rsidRPr="00926CFD">
        <w:t>, Vol. 204, No. 1-3, 2001.  Pp:  29-44.</w:t>
      </w:r>
    </w:p>
    <w:p w14:paraId="5C64CD35" w14:textId="72AB2DF7" w:rsidR="002D111A" w:rsidRDefault="002D111A">
      <w:pPr>
        <w:pStyle w:val="EndnoteText"/>
      </w:pPr>
    </w:p>
  </w:endnote>
  <w:endnote w:id="34">
    <w:p w14:paraId="599E368F" w14:textId="6A4752E6" w:rsidR="002D111A" w:rsidRPr="00926CFD" w:rsidRDefault="002D111A" w:rsidP="00926CFD">
      <w:pPr>
        <w:pStyle w:val="EndnoteText"/>
      </w:pPr>
      <w:r>
        <w:rPr>
          <w:rStyle w:val="EndnoteReference"/>
        </w:rPr>
        <w:endnoteRef/>
      </w:r>
      <w:r>
        <w:t xml:space="preserve"> </w:t>
      </w:r>
      <w:r w:rsidRPr="00926CFD">
        <w:t>Končar, B., Kljenak, I., and Mavko, B.  “</w:t>
      </w:r>
      <w:r>
        <w:t>Modeling</w:t>
      </w:r>
      <w:r w:rsidRPr="00926CFD">
        <w:t xml:space="preserve"> of Local Two-Phase Flow Parameters in Upward Subcooled Flow Boiling at Low Pressure.”  </w:t>
      </w:r>
      <w:r w:rsidRPr="00926CFD">
        <w:rPr>
          <w:i/>
        </w:rPr>
        <w:t>International Journal of Heat and Mass Transfer</w:t>
      </w:r>
      <w:r w:rsidRPr="00926CFD">
        <w:t>, Vol. 47, No. 6-7, 2004.  Pp:  1499-1513.</w:t>
      </w:r>
    </w:p>
    <w:p w14:paraId="62004B17" w14:textId="799FB1CF" w:rsidR="002D111A" w:rsidRDefault="002D111A">
      <w:pPr>
        <w:pStyle w:val="EndnoteText"/>
      </w:pPr>
    </w:p>
  </w:endnote>
  <w:endnote w:id="35">
    <w:p w14:paraId="1753D821" w14:textId="77777777" w:rsidR="002D111A" w:rsidRPr="00791DF7" w:rsidRDefault="002D111A" w:rsidP="00791DF7">
      <w:pPr>
        <w:pStyle w:val="EndnoteText"/>
      </w:pPr>
      <w:r>
        <w:rPr>
          <w:rStyle w:val="EndnoteReference"/>
        </w:rPr>
        <w:endnoteRef/>
      </w:r>
      <w:r>
        <w:t xml:space="preserve"> </w:t>
      </w:r>
      <w:r w:rsidRPr="00791DF7">
        <w:t xml:space="preserve">Rohde, U., </w:t>
      </w:r>
      <w:r w:rsidRPr="00791DF7">
        <w:rPr>
          <w:i/>
        </w:rPr>
        <w:t>et al</w:t>
      </w:r>
      <w:r w:rsidRPr="00791DF7">
        <w:t xml:space="preserve">.  “Fluid Mixing and Flow Distribution in a Primary Circuit of a Nuclear Pressurized Water Reactor—Validation of CFD Codes.”  </w:t>
      </w:r>
      <w:r w:rsidRPr="00791DF7">
        <w:rPr>
          <w:i/>
        </w:rPr>
        <w:t>Nuclear Engineering and Design</w:t>
      </w:r>
      <w:r w:rsidRPr="00791DF7">
        <w:t>, Vol. 237, No. 15-17, 2007.  Pp:  1639-1655.</w:t>
      </w:r>
    </w:p>
    <w:p w14:paraId="1C372D6F" w14:textId="4838C669" w:rsidR="002D111A" w:rsidRDefault="002D111A">
      <w:pPr>
        <w:pStyle w:val="EndnoteText"/>
      </w:pPr>
    </w:p>
  </w:endnote>
  <w:endnote w:id="36">
    <w:p w14:paraId="0735CD14" w14:textId="30CA44CC" w:rsidR="002D111A" w:rsidRPr="00D47F8B" w:rsidRDefault="002D111A" w:rsidP="00D47F8B">
      <w:pPr>
        <w:pStyle w:val="EndnoteText"/>
      </w:pPr>
      <w:r>
        <w:rPr>
          <w:rStyle w:val="EndnoteReference"/>
        </w:rPr>
        <w:endnoteRef/>
      </w:r>
      <w:r>
        <w:t xml:space="preserve"> </w:t>
      </w:r>
      <w:r w:rsidRPr="00D47F8B">
        <w:t xml:space="preserve">Ion, S., </w:t>
      </w:r>
      <w:r w:rsidRPr="00D47F8B">
        <w:rPr>
          <w:i/>
        </w:rPr>
        <w:t>et al</w:t>
      </w:r>
      <w:r w:rsidRPr="00D47F8B">
        <w:t xml:space="preserve">.  “Pebble Bed Modular Reactor The First Generation IV Reactor to Be Constructed.”  </w:t>
      </w:r>
      <w:r w:rsidRPr="00D47F8B">
        <w:rPr>
          <w:i/>
        </w:rPr>
        <w:t>World Nuclear Association Annual Symposium</w:t>
      </w:r>
      <w:r w:rsidRPr="00D47F8B">
        <w:t>, World Nuclea</w:t>
      </w:r>
      <w:r>
        <w:t>r Association, London, England</w:t>
      </w:r>
      <w:r w:rsidRPr="00D47F8B">
        <w:t>, 2003.</w:t>
      </w:r>
    </w:p>
    <w:p w14:paraId="6C245C05" w14:textId="5DC56756" w:rsidR="002D111A" w:rsidRDefault="002D111A">
      <w:pPr>
        <w:pStyle w:val="EndnoteText"/>
      </w:pPr>
    </w:p>
  </w:endnote>
  <w:endnote w:id="37">
    <w:p w14:paraId="21C5F974" w14:textId="77777777" w:rsidR="002D111A" w:rsidRPr="00D47F8B" w:rsidRDefault="002D111A" w:rsidP="00D47F8B">
      <w:pPr>
        <w:pStyle w:val="EndnoteText"/>
      </w:pPr>
      <w:r>
        <w:rPr>
          <w:rStyle w:val="EndnoteReference"/>
        </w:rPr>
        <w:endnoteRef/>
      </w:r>
      <w:r>
        <w:t xml:space="preserve"> </w:t>
      </w:r>
      <w:r w:rsidRPr="00D47F8B">
        <w:t xml:space="preserve">Becker, S., and Laurien, E.  “Three-Dimensional Numerical Simulation of Flow and Heat Transport in High-Temperature Nuclear Reactors.”  </w:t>
      </w:r>
      <w:r w:rsidRPr="00D47F8B">
        <w:rPr>
          <w:i/>
        </w:rPr>
        <w:t>Nuclear Engineering and Design</w:t>
      </w:r>
      <w:r w:rsidRPr="00D47F8B">
        <w:t>, Vol. 222, No. 2-3, 2003.  Pp:  189-201.</w:t>
      </w:r>
    </w:p>
    <w:p w14:paraId="6CA59D50" w14:textId="5B6E55B2" w:rsidR="002D111A" w:rsidRDefault="002D111A">
      <w:pPr>
        <w:pStyle w:val="EndnoteText"/>
      </w:pPr>
    </w:p>
  </w:endnote>
  <w:endnote w:id="38">
    <w:p w14:paraId="09D155BF" w14:textId="77777777" w:rsidR="002D111A" w:rsidRPr="00E90C67" w:rsidRDefault="002D111A" w:rsidP="00E90C67">
      <w:pPr>
        <w:pStyle w:val="EndnoteText"/>
      </w:pPr>
      <w:r>
        <w:rPr>
          <w:rStyle w:val="EndnoteReference"/>
        </w:rPr>
        <w:endnoteRef/>
      </w:r>
      <w:r>
        <w:t xml:space="preserve"> </w:t>
      </w:r>
      <w:r w:rsidRPr="00E90C67">
        <w:t xml:space="preserve">Shang, Z.  “CFD Investigation of Vertical Rod Bundles of Supercritical Water-Cooled Nuclear Reactor.”  </w:t>
      </w:r>
      <w:r w:rsidRPr="00E90C67">
        <w:rPr>
          <w:i/>
        </w:rPr>
        <w:t>Nuclear Engineering and Design</w:t>
      </w:r>
      <w:r w:rsidRPr="00E90C67">
        <w:t>, Vol. 239, No. 11, 2009.  Pp:  2562-2572.</w:t>
      </w:r>
    </w:p>
    <w:p w14:paraId="3C8F3D04" w14:textId="3A6D9EDF" w:rsidR="002D111A" w:rsidRDefault="002D111A">
      <w:pPr>
        <w:pStyle w:val="EndnoteText"/>
      </w:pPr>
    </w:p>
  </w:endnote>
  <w:endnote w:id="39">
    <w:p w14:paraId="06993A62" w14:textId="1B8D1BD2" w:rsidR="002D111A" w:rsidRPr="00EB3F66" w:rsidRDefault="002D111A" w:rsidP="00EB3F66">
      <w:pPr>
        <w:pStyle w:val="EndnoteText"/>
      </w:pPr>
      <w:r>
        <w:rPr>
          <w:rStyle w:val="EndnoteReference"/>
        </w:rPr>
        <w:endnoteRef/>
      </w:r>
      <w:r>
        <w:t xml:space="preserve"> </w:t>
      </w:r>
      <w:r w:rsidRPr="00EB3F66">
        <w:t xml:space="preserve">Johnson, R. W.  “CFD Investigation of Experimental Data Proposed to be a Validation Data Set.  </w:t>
      </w:r>
      <w:r w:rsidRPr="00EB3F66">
        <w:rPr>
          <w:i/>
        </w:rPr>
        <w:t>Proceedings of the 17</w:t>
      </w:r>
      <w:r w:rsidRPr="00EB3F66">
        <w:rPr>
          <w:i/>
          <w:vertAlign w:val="superscript"/>
        </w:rPr>
        <w:t>th</w:t>
      </w:r>
      <w:r w:rsidRPr="00EB3F66">
        <w:rPr>
          <w:i/>
        </w:rPr>
        <w:t xml:space="preserve"> International Conference on Nuclear Engineering</w:t>
      </w:r>
      <w:r>
        <w:t>, ASME, New York</w:t>
      </w:r>
      <w:r w:rsidRPr="00EB3F66">
        <w:t>, 2009.</w:t>
      </w:r>
    </w:p>
    <w:p w14:paraId="30E8AED7" w14:textId="29266427" w:rsidR="002D111A" w:rsidRDefault="002D111A">
      <w:pPr>
        <w:pStyle w:val="EndnoteText"/>
      </w:pPr>
    </w:p>
  </w:endnote>
  <w:endnote w:id="40">
    <w:p w14:paraId="69FC19F6" w14:textId="70CEEF98" w:rsidR="002D111A" w:rsidRPr="00BF5716" w:rsidRDefault="002D111A" w:rsidP="00BF5716">
      <w:pPr>
        <w:pStyle w:val="EndnoteText"/>
      </w:pPr>
      <w:r>
        <w:rPr>
          <w:rStyle w:val="EndnoteReference"/>
        </w:rPr>
        <w:endnoteRef/>
      </w:r>
      <w:r>
        <w:t xml:space="preserve"> </w:t>
      </w:r>
      <w:r w:rsidRPr="00BF5716">
        <w:t xml:space="preserve">Baqué, F., </w:t>
      </w:r>
      <w:r w:rsidRPr="00BF5716">
        <w:rPr>
          <w:i/>
        </w:rPr>
        <w:t>et al</w:t>
      </w:r>
      <w:r w:rsidRPr="00BF5716">
        <w:t xml:space="preserve">.  “Generation IV Nuclear Reactors — R&amp;D Program to Improve Sodium-Cooled Systems Inspection.”  </w:t>
      </w:r>
      <w:r w:rsidRPr="00BF5716">
        <w:rPr>
          <w:i/>
        </w:rPr>
        <w:t>First International Conference on Advancements in Nuclear Instrumentation Measurement Methods and their Applications</w:t>
      </w:r>
      <w:r>
        <w:t>, IEEE, Piscataway, NJ</w:t>
      </w:r>
      <w:r w:rsidRPr="00BF5716">
        <w:t>, 2010.</w:t>
      </w:r>
    </w:p>
    <w:p w14:paraId="28D70088" w14:textId="2CF6BCE2" w:rsidR="002D111A" w:rsidRDefault="002D111A">
      <w:pPr>
        <w:pStyle w:val="EndnoteText"/>
      </w:pPr>
    </w:p>
  </w:endnote>
  <w:endnote w:id="41">
    <w:p w14:paraId="0C0B8CF8" w14:textId="77777777" w:rsidR="002D111A" w:rsidRPr="00864CF1" w:rsidRDefault="002D111A" w:rsidP="00864CF1">
      <w:pPr>
        <w:pStyle w:val="EndnoteText"/>
      </w:pPr>
      <w:r>
        <w:rPr>
          <w:rStyle w:val="EndnoteReference"/>
        </w:rPr>
        <w:endnoteRef/>
      </w:r>
      <w:r>
        <w:t xml:space="preserve"> </w:t>
      </w:r>
      <w:r w:rsidRPr="00864CF1">
        <w:t xml:space="preserve">Schulenberg, T., </w:t>
      </w:r>
      <w:r w:rsidRPr="00864CF1">
        <w:rPr>
          <w:i/>
        </w:rPr>
        <w:t>et al</w:t>
      </w:r>
      <w:r w:rsidRPr="00864CF1">
        <w:t xml:space="preserve">.  “European Supercritical Water Cooled Reactor.”  </w:t>
      </w:r>
      <w:r w:rsidRPr="00864CF1">
        <w:rPr>
          <w:i/>
        </w:rPr>
        <w:t>Nuclear Engineering and Design</w:t>
      </w:r>
      <w:r w:rsidRPr="00864CF1">
        <w:t>, Vol. 241, No. 9, 2011.  Pp:  3505-3513.</w:t>
      </w:r>
    </w:p>
    <w:p w14:paraId="752D3095" w14:textId="5FED7E18" w:rsidR="002D111A" w:rsidRDefault="002D111A">
      <w:pPr>
        <w:pStyle w:val="EndnoteText"/>
      </w:pPr>
    </w:p>
  </w:endnote>
  <w:endnote w:id="42">
    <w:p w14:paraId="12581B1A" w14:textId="77777777" w:rsidR="002D111A" w:rsidRPr="00433FC0" w:rsidRDefault="002D111A" w:rsidP="00433FC0">
      <w:pPr>
        <w:pStyle w:val="EndnoteText"/>
      </w:pPr>
      <w:r>
        <w:rPr>
          <w:rStyle w:val="EndnoteReference"/>
        </w:rPr>
        <w:endnoteRef/>
      </w:r>
      <w:r>
        <w:t xml:space="preserve"> </w:t>
      </w:r>
      <w:r w:rsidRPr="00433FC0">
        <w:t xml:space="preserve">Ferng, Y. M., and Chen, C. T.  “CFD Investigating Thermal-Hydraulic Characteristics and Hydrogen Generation from Graphite—Water Reaction after SG Tube Rupture in HTR-10 Reactor.”  </w:t>
      </w:r>
      <w:r w:rsidRPr="00433FC0">
        <w:rPr>
          <w:i/>
        </w:rPr>
        <w:t>Applied Thermal Engineering</w:t>
      </w:r>
      <w:r w:rsidRPr="00433FC0">
        <w:t>, Vol. 31, No. 14-15, 2011.  Pp:  2430-2438.</w:t>
      </w:r>
    </w:p>
    <w:p w14:paraId="4106C8A0" w14:textId="35D1508F" w:rsidR="002D111A" w:rsidRDefault="002D111A">
      <w:pPr>
        <w:pStyle w:val="EndnoteText"/>
      </w:pPr>
    </w:p>
  </w:endnote>
  <w:endnote w:id="43">
    <w:p w14:paraId="67E6E637" w14:textId="05D62667" w:rsidR="002D111A" w:rsidRDefault="002D111A">
      <w:pPr>
        <w:pStyle w:val="EndnoteText"/>
      </w:pPr>
      <w:r>
        <w:rPr>
          <w:rStyle w:val="EndnoteReference"/>
        </w:rPr>
        <w:endnoteRef/>
      </w:r>
      <w:r>
        <w:t xml:space="preserve"> </w:t>
      </w:r>
      <w:r w:rsidRPr="00BA5950">
        <w:t xml:space="preserve">Jeong, J.-J., </w:t>
      </w:r>
      <w:r w:rsidRPr="00BA5950">
        <w:rPr>
          <w:i/>
        </w:rPr>
        <w:t>et al</w:t>
      </w:r>
      <w:r w:rsidRPr="00BA5950">
        <w:t xml:space="preserve">.  “Development of a Multi-Dimensional Thermal-Hydraulic System Code, MARS 1.3.1.”  </w:t>
      </w:r>
      <w:r w:rsidRPr="00BA5950">
        <w:rPr>
          <w:i/>
        </w:rPr>
        <w:t>Annals of Nuclear Energy</w:t>
      </w:r>
      <w:r w:rsidRPr="00BA5950">
        <w:t>, Vol. 26, No. 18, 1999.  Pp. 1611-1642.</w:t>
      </w:r>
    </w:p>
    <w:p w14:paraId="5D39CC69" w14:textId="77777777" w:rsidR="002D111A" w:rsidRDefault="002D111A">
      <w:pPr>
        <w:pStyle w:val="EndnoteText"/>
      </w:pPr>
    </w:p>
  </w:endnote>
  <w:endnote w:id="44">
    <w:p w14:paraId="12A394C5" w14:textId="1AD44A79" w:rsidR="002D111A" w:rsidRDefault="002D111A">
      <w:pPr>
        <w:pStyle w:val="EndnoteText"/>
      </w:pPr>
      <w:r>
        <w:rPr>
          <w:rStyle w:val="EndnoteReference"/>
        </w:rPr>
        <w:endnoteRef/>
      </w:r>
      <w:r>
        <w:t xml:space="preserve"> </w:t>
      </w:r>
      <w:r w:rsidRPr="00BA5950">
        <w:t xml:space="preserve">Lee, S. Y., Jeong, J. J., and Kim, S. H.  “COBRA/RELAP5:  A Merged Version of the COBRA-TF and RELAP5/MOD3 Codes.”  </w:t>
      </w:r>
      <w:r w:rsidRPr="00BA5950">
        <w:rPr>
          <w:i/>
        </w:rPr>
        <w:t>Nuclear Technology</w:t>
      </w:r>
      <w:r w:rsidRPr="00BA5950">
        <w:t>, Vol. 99, No. 2, 1992.  Pp. 177-187.</w:t>
      </w:r>
    </w:p>
  </w:endnote>
  <w:endnote w:id="45">
    <w:p w14:paraId="0C329B90" w14:textId="77777777" w:rsidR="002D111A" w:rsidRDefault="002D111A">
      <w:pPr>
        <w:pStyle w:val="EndnoteText"/>
      </w:pPr>
    </w:p>
    <w:p w14:paraId="60E27D01" w14:textId="5D3FF30E" w:rsidR="002D111A" w:rsidRDefault="002D111A">
      <w:pPr>
        <w:pStyle w:val="EndnoteText"/>
      </w:pPr>
      <w:r>
        <w:rPr>
          <w:rStyle w:val="EndnoteReference"/>
        </w:rPr>
        <w:endnoteRef/>
      </w:r>
      <w:r w:rsidRPr="00CE507A">
        <w:t xml:space="preserve"> </w:t>
      </w:r>
      <w:r w:rsidRPr="00BA5950">
        <w:t xml:space="preserve">Aumiller, D. L., Tomlinson, E. T., and Bauer, R. C.  “A coupled RELAP5-3D/CFD Methodology with a Proof-of-Principle Calculation.”  </w:t>
      </w:r>
      <w:r w:rsidRPr="00BA5950">
        <w:rPr>
          <w:i/>
        </w:rPr>
        <w:t>2000 International RELAP5 Users Seminar</w:t>
      </w:r>
      <w:r w:rsidRPr="00BA5950">
        <w:t>, International RELAP5 Users Group, Idaho Falls, ID, 2000.</w:t>
      </w:r>
    </w:p>
    <w:p w14:paraId="2C6C9940" w14:textId="77777777" w:rsidR="002D111A" w:rsidRDefault="002D111A">
      <w:pPr>
        <w:pStyle w:val="EndnoteText"/>
      </w:pPr>
    </w:p>
  </w:endnote>
  <w:endnote w:id="46">
    <w:p w14:paraId="7E43BCFF" w14:textId="77777777" w:rsidR="002D111A" w:rsidRPr="00771CB2" w:rsidRDefault="002D111A" w:rsidP="00771CB2">
      <w:pPr>
        <w:pStyle w:val="EndnoteText"/>
      </w:pPr>
      <w:r>
        <w:rPr>
          <w:rStyle w:val="EndnoteReference"/>
        </w:rPr>
        <w:endnoteRef/>
      </w:r>
      <w:r>
        <w:t xml:space="preserve"> </w:t>
      </w:r>
      <w:r w:rsidRPr="00771CB2">
        <w:t xml:space="preserve">Walter, A., Schulz, A., and Lohnert, G.  “Comparison of Two Models for a Pebbled Bed Modular Reactor Core Coupled to a Brayton Cycle.”  </w:t>
      </w:r>
      <w:r w:rsidRPr="00771CB2">
        <w:rPr>
          <w:i/>
        </w:rPr>
        <w:t>Nuclear Engineering and Design</w:t>
      </w:r>
      <w:r w:rsidRPr="00771CB2">
        <w:t>, Vol. 236, No. 5-6, 2006.  Pp:  603-614.</w:t>
      </w:r>
    </w:p>
    <w:p w14:paraId="28F306E0" w14:textId="77777777" w:rsidR="002D111A" w:rsidRDefault="002D111A" w:rsidP="00771CB2">
      <w:pPr>
        <w:pStyle w:val="EndnoteText"/>
        <w:ind w:firstLine="0"/>
      </w:pPr>
    </w:p>
  </w:endnote>
  <w:endnote w:id="47">
    <w:p w14:paraId="0B1FF100" w14:textId="77777777" w:rsidR="002D111A" w:rsidRPr="00771CB2" w:rsidRDefault="002D111A" w:rsidP="00771CB2">
      <w:pPr>
        <w:pStyle w:val="EndnoteText"/>
      </w:pPr>
      <w:r>
        <w:rPr>
          <w:rStyle w:val="EndnoteReference"/>
        </w:rPr>
        <w:endnoteRef/>
      </w:r>
      <w:r>
        <w:t xml:space="preserve"> </w:t>
      </w:r>
      <w:r w:rsidRPr="00771CB2">
        <w:t xml:space="preserve">Venter, P. J., and Mitchell, M. N.  “Integrated Design Approach of the Pebble Bed Modular Reactor Using Models.”  </w:t>
      </w:r>
      <w:r w:rsidRPr="00771CB2">
        <w:rPr>
          <w:i/>
        </w:rPr>
        <w:t>Nuclear Engineering and Design</w:t>
      </w:r>
      <w:r w:rsidRPr="00771CB2">
        <w:t>, Vol. 237, No. 12-13, 2007.  Pp:  1341-1353.</w:t>
      </w:r>
    </w:p>
    <w:p w14:paraId="26732E33" w14:textId="04898FA6" w:rsidR="002D111A" w:rsidRDefault="002D111A">
      <w:pPr>
        <w:pStyle w:val="EndnoteText"/>
      </w:pPr>
    </w:p>
  </w:endnote>
  <w:endnote w:id="48">
    <w:p w14:paraId="7F7CA807" w14:textId="7B3E7987" w:rsidR="002D111A" w:rsidRPr="00B2539E" w:rsidRDefault="002D111A" w:rsidP="00DF0C87">
      <w:pPr>
        <w:pStyle w:val="EndnoteText"/>
      </w:pPr>
      <w:r w:rsidRPr="00B2539E">
        <w:rPr>
          <w:rStyle w:val="EndnoteReference"/>
        </w:rPr>
        <w:endnoteRef/>
      </w:r>
      <w:r w:rsidRPr="00B2539E">
        <w:t xml:space="preserve"> McCleary, J. </w:t>
      </w:r>
      <w:r w:rsidRPr="00B2539E">
        <w:rPr>
          <w:i/>
        </w:rPr>
        <w:t>Geometry from a Differential Viewpoint</w:t>
      </w:r>
      <w:r w:rsidRPr="00B2539E">
        <w:t>.  2</w:t>
      </w:r>
      <w:r w:rsidRPr="00B2539E">
        <w:rPr>
          <w:vertAlign w:val="superscript"/>
        </w:rPr>
        <w:t>nd</w:t>
      </w:r>
      <w:r w:rsidRPr="00B2539E">
        <w:t xml:space="preserve"> Ed.  New York: Cambridge University Press, 1995.</w:t>
      </w:r>
    </w:p>
    <w:p w14:paraId="1F70F26F" w14:textId="77777777" w:rsidR="002D111A" w:rsidRPr="00B2539E" w:rsidRDefault="002D111A" w:rsidP="00DF0C87">
      <w:pPr>
        <w:pStyle w:val="EndnoteText"/>
      </w:pPr>
    </w:p>
  </w:endnote>
  <w:endnote w:id="49">
    <w:p w14:paraId="5B99BE4D" w14:textId="04CED861" w:rsidR="002D111A" w:rsidRPr="00B2539E" w:rsidRDefault="002D111A" w:rsidP="00DF0C87">
      <w:pPr>
        <w:pStyle w:val="EndnoteText"/>
      </w:pPr>
      <w:r w:rsidRPr="00B2539E">
        <w:rPr>
          <w:rStyle w:val="EndnoteReference"/>
        </w:rPr>
        <w:endnoteRef/>
      </w:r>
      <w:r w:rsidRPr="00B2539E">
        <w:t xml:space="preserve"> Litvin, F., and Fuentes, A. </w:t>
      </w:r>
      <w:r w:rsidRPr="00B2539E">
        <w:rPr>
          <w:i/>
        </w:rPr>
        <w:t>Gear Geometry and Applied Theory</w:t>
      </w:r>
      <w:r w:rsidRPr="00B2539E">
        <w:t>.  2</w:t>
      </w:r>
      <w:r w:rsidRPr="00B2539E">
        <w:rPr>
          <w:vertAlign w:val="superscript"/>
        </w:rPr>
        <w:t>nd</w:t>
      </w:r>
      <w:r w:rsidRPr="00B2539E">
        <w:t xml:space="preserve"> Ed.  Cambri</w:t>
      </w:r>
      <w:r>
        <w:t>dge: Cambridge University Press,</w:t>
      </w:r>
      <w:r w:rsidRPr="00B2539E">
        <w:t xml:space="preserve"> 2004.</w:t>
      </w:r>
    </w:p>
    <w:p w14:paraId="4B1152AE" w14:textId="77777777" w:rsidR="002D111A" w:rsidRPr="00B2539E" w:rsidRDefault="002D111A" w:rsidP="00DF0C87">
      <w:pPr>
        <w:pStyle w:val="EndnoteText"/>
      </w:pPr>
    </w:p>
  </w:endnote>
  <w:endnote w:id="50">
    <w:p w14:paraId="5914110E" w14:textId="2CC446E0" w:rsidR="002D111A" w:rsidRPr="00B2539E" w:rsidRDefault="002D111A" w:rsidP="00DF0C87">
      <w:pPr>
        <w:pStyle w:val="EndnoteText"/>
      </w:pPr>
      <w:r w:rsidRPr="00B2539E">
        <w:rPr>
          <w:rStyle w:val="EndnoteReference"/>
        </w:rPr>
        <w:endnoteRef/>
      </w:r>
      <w:r w:rsidRPr="00B2539E">
        <w:t xml:space="preserve"> Cundy, H. M., and Rollett, A. P. </w:t>
      </w:r>
      <w:r w:rsidRPr="00B2539E">
        <w:rPr>
          <w:i/>
        </w:rPr>
        <w:t>Mathematical Models</w:t>
      </w:r>
      <w:r w:rsidRPr="00B2539E">
        <w:t>.  2</w:t>
      </w:r>
      <w:r w:rsidRPr="00B2539E">
        <w:rPr>
          <w:vertAlign w:val="superscript"/>
        </w:rPr>
        <w:t>nd</w:t>
      </w:r>
      <w:r w:rsidRPr="00B2539E">
        <w:t xml:space="preserve"> Ed.  London: Oxford University Press, 1961.</w:t>
      </w:r>
    </w:p>
    <w:p w14:paraId="0266EEBF" w14:textId="77777777" w:rsidR="002D111A" w:rsidRPr="00B2539E" w:rsidRDefault="002D111A" w:rsidP="00DF0C87">
      <w:pPr>
        <w:pStyle w:val="EndnoteText"/>
      </w:pPr>
    </w:p>
  </w:endnote>
  <w:endnote w:id="51">
    <w:p w14:paraId="0D7F06EA" w14:textId="06D57F5C" w:rsidR="002D111A" w:rsidRPr="00B2539E" w:rsidRDefault="002D111A" w:rsidP="00DF0C87">
      <w:pPr>
        <w:pStyle w:val="EndnoteText"/>
      </w:pPr>
      <w:r w:rsidRPr="00B2539E">
        <w:rPr>
          <w:rStyle w:val="EndnoteReference"/>
        </w:rPr>
        <w:endnoteRef/>
      </w:r>
      <w:r w:rsidRPr="00B2539E">
        <w:t xml:space="preserve"> Jingzhou, X., and Zhang, X.-C. “Circular Involute Stage.” </w:t>
      </w:r>
      <w:r w:rsidRPr="00B2539E">
        <w:rPr>
          <w:i/>
        </w:rPr>
        <w:t>Optics Letters</w:t>
      </w:r>
      <w:r w:rsidRPr="00B2539E">
        <w:t>, Vol. 29, No. 17, 2004.  Pp. 2082-2084.</w:t>
      </w:r>
    </w:p>
    <w:p w14:paraId="54465825" w14:textId="77777777" w:rsidR="002D111A" w:rsidRPr="00B2539E" w:rsidRDefault="002D111A" w:rsidP="00DF0C87">
      <w:pPr>
        <w:pStyle w:val="EndnoteText"/>
      </w:pPr>
    </w:p>
  </w:endnote>
  <w:endnote w:id="52">
    <w:p w14:paraId="14D734C1" w14:textId="59AABAE5" w:rsidR="002D111A" w:rsidRPr="00B2539E" w:rsidRDefault="002D111A" w:rsidP="00DF0C87">
      <w:pPr>
        <w:pStyle w:val="EndnoteText"/>
      </w:pPr>
      <w:r w:rsidRPr="00B2539E">
        <w:rPr>
          <w:rStyle w:val="EndnoteReference"/>
        </w:rPr>
        <w:endnoteRef/>
      </w:r>
      <w:r w:rsidRPr="00B2539E">
        <w:t xml:space="preserve"> Lockwood, E. H.  </w:t>
      </w:r>
      <w:r w:rsidRPr="00B2539E">
        <w:rPr>
          <w:i/>
        </w:rPr>
        <w:t>A Book of Curves</w:t>
      </w:r>
      <w:r w:rsidRPr="00B2539E">
        <w:t>.  London:  Cambridge University Press, 1961.</w:t>
      </w:r>
    </w:p>
    <w:p w14:paraId="29B069DF" w14:textId="77777777" w:rsidR="002D111A" w:rsidRPr="00B2539E" w:rsidRDefault="002D111A" w:rsidP="00DF0C87">
      <w:pPr>
        <w:pStyle w:val="EndnoteText"/>
      </w:pPr>
    </w:p>
  </w:endnote>
  <w:endnote w:id="53">
    <w:p w14:paraId="4398DE16" w14:textId="083FE5A8" w:rsidR="002D111A" w:rsidRPr="00B2539E" w:rsidRDefault="002D111A" w:rsidP="00DF0C87">
      <w:pPr>
        <w:pStyle w:val="EndnoteText"/>
      </w:pPr>
      <w:r w:rsidRPr="00B2539E">
        <w:rPr>
          <w:rStyle w:val="EndnoteReference"/>
        </w:rPr>
        <w:endnoteRef/>
      </w:r>
      <w:r w:rsidRPr="00B2539E">
        <w:t xml:space="preserve"> Gerstner, D., </w:t>
      </w:r>
      <w:r w:rsidRPr="00B2539E">
        <w:rPr>
          <w:i/>
        </w:rPr>
        <w:t>et al</w:t>
      </w:r>
      <w:r w:rsidRPr="00B2539E">
        <w:t>. “Safety Analysis Challenges with Irradiation of Reduced Enrichment for Research and Test Reactors (RERTR) Program Test Fuel Elemen</w:t>
      </w:r>
      <w:r>
        <w:t>ts in the Advanced Test Reactor.</w:t>
      </w:r>
      <w:r w:rsidRPr="00B2539E">
        <w:t>”</w:t>
      </w:r>
      <w:r>
        <w:t xml:space="preserve"> </w:t>
      </w:r>
      <w:r w:rsidRPr="00B2539E">
        <w:t xml:space="preserve"> </w:t>
      </w:r>
      <w:r w:rsidRPr="00B2539E">
        <w:rPr>
          <w:i/>
        </w:rPr>
        <w:t>EFCOG 2010 Safety Analysis Workshop</w:t>
      </w:r>
      <w:r w:rsidRPr="00B2539E">
        <w:t xml:space="preserve">, Energy Facility Contractors Group, Las Vegas, </w:t>
      </w:r>
      <w:r>
        <w:t>NV</w:t>
      </w:r>
      <w:r w:rsidRPr="00B2539E">
        <w:t>, 2010.</w:t>
      </w:r>
    </w:p>
    <w:p w14:paraId="2268F602" w14:textId="77777777" w:rsidR="002D111A" w:rsidRPr="00B2539E" w:rsidRDefault="002D111A" w:rsidP="00DF0C87">
      <w:pPr>
        <w:pStyle w:val="EndnoteText"/>
      </w:pPr>
    </w:p>
  </w:endnote>
  <w:endnote w:id="54">
    <w:p w14:paraId="2BB6E7AF" w14:textId="77777777" w:rsidR="002D111A" w:rsidRPr="00B2539E" w:rsidRDefault="002D111A" w:rsidP="008A265E">
      <w:pPr>
        <w:pStyle w:val="EndnoteText"/>
      </w:pPr>
      <w:r w:rsidRPr="00B2539E">
        <w:rPr>
          <w:rStyle w:val="EndnoteReference"/>
        </w:rPr>
        <w:endnoteRef/>
      </w:r>
      <w:r w:rsidRPr="00B2539E">
        <w:t xml:space="preserve"> Marshall, Frances M. </w:t>
      </w:r>
      <w:r w:rsidRPr="00B2539E">
        <w:rPr>
          <w:i/>
        </w:rPr>
        <w:t>Advanced Test Reactor Capabilities and Future Operating Plans.</w:t>
      </w:r>
      <w:r w:rsidRPr="00B2539E">
        <w:t xml:space="preserve">  Idaho National Laboratory, Idaho Falls, ID.  2006.</w:t>
      </w:r>
    </w:p>
    <w:p w14:paraId="22E2FBF1" w14:textId="77777777" w:rsidR="002D111A" w:rsidRPr="00B2539E" w:rsidRDefault="002D111A" w:rsidP="008A265E">
      <w:pPr>
        <w:pStyle w:val="EndnoteText"/>
      </w:pPr>
    </w:p>
  </w:endnote>
  <w:endnote w:id="55">
    <w:p w14:paraId="77DA47CD" w14:textId="3DB49FBF" w:rsidR="002D111A" w:rsidRPr="00B2539E" w:rsidRDefault="002D111A" w:rsidP="008A265E">
      <w:pPr>
        <w:pStyle w:val="EndnoteText"/>
      </w:pPr>
      <w:r w:rsidRPr="00B2539E">
        <w:rPr>
          <w:rStyle w:val="EndnoteReference"/>
        </w:rPr>
        <w:endnoteRef/>
      </w:r>
      <w:r w:rsidRPr="00B2539E">
        <w:t xml:space="preserve"> </w:t>
      </w:r>
      <w:r>
        <w:t xml:space="preserve">“Core Description,” URL:  </w:t>
      </w:r>
      <w:r w:rsidRPr="002A6094">
        <w:rPr>
          <w:u w:val="single"/>
        </w:rPr>
        <w:t>http://web.mit.edu/nrl/www/reactor/core_description.htm</w:t>
      </w:r>
      <w:r w:rsidRPr="002A6094">
        <w:t xml:space="preserve"> </w:t>
      </w:r>
      <w:r>
        <w:t xml:space="preserve">[cited </w:t>
      </w:r>
      <w:r w:rsidRPr="002A6094">
        <w:t>August 1</w:t>
      </w:r>
      <w:r w:rsidRPr="002A6094">
        <w:rPr>
          <w:vertAlign w:val="superscript"/>
        </w:rPr>
        <w:t>st</w:t>
      </w:r>
      <w:r w:rsidRPr="002A6094">
        <w:t>, 2013</w:t>
      </w:r>
      <w:r>
        <w:t>]</w:t>
      </w:r>
      <w:r w:rsidRPr="002A6094">
        <w:t>.</w:t>
      </w:r>
    </w:p>
    <w:p w14:paraId="0C017358" w14:textId="77777777" w:rsidR="002D111A" w:rsidRPr="00B2539E" w:rsidRDefault="002D111A" w:rsidP="008A265E">
      <w:pPr>
        <w:pStyle w:val="EndnoteText"/>
      </w:pPr>
    </w:p>
  </w:endnote>
  <w:endnote w:id="56">
    <w:p w14:paraId="352D8C98" w14:textId="77777777" w:rsidR="002D111A" w:rsidRPr="00C6472B" w:rsidRDefault="002D111A" w:rsidP="00C260AA">
      <w:pPr>
        <w:pStyle w:val="EndnoteText"/>
      </w:pPr>
      <w:r>
        <w:rPr>
          <w:rStyle w:val="EndnoteReference"/>
        </w:rPr>
        <w:endnoteRef/>
      </w:r>
      <w:r>
        <w:t xml:space="preserve"> Reddy, J. N., and Gartling, D. K.  </w:t>
      </w:r>
      <w:r>
        <w:rPr>
          <w:i/>
        </w:rPr>
        <w:t>The Finite Element Method in Heat Transfer and Fluid Dynamics</w:t>
      </w:r>
      <w:r>
        <w:t>.  3</w:t>
      </w:r>
      <w:r w:rsidRPr="00C6472B">
        <w:rPr>
          <w:vertAlign w:val="superscript"/>
        </w:rPr>
        <w:t>rd</w:t>
      </w:r>
      <w:r>
        <w:t xml:space="preserve"> Ed.  Boca Raton, FL:  CRC Press, 2010.</w:t>
      </w:r>
    </w:p>
    <w:p w14:paraId="2F777857" w14:textId="77777777" w:rsidR="002D111A" w:rsidRDefault="002D111A" w:rsidP="00C260AA">
      <w:pPr>
        <w:pStyle w:val="EndnoteText"/>
      </w:pPr>
    </w:p>
  </w:endnote>
  <w:endnote w:id="57">
    <w:p w14:paraId="2E8603A7" w14:textId="68153E13" w:rsidR="002D111A" w:rsidRPr="008A3024" w:rsidRDefault="002D111A">
      <w:pPr>
        <w:pStyle w:val="EndnoteText"/>
      </w:pPr>
      <w:r>
        <w:rPr>
          <w:rStyle w:val="EndnoteReference"/>
        </w:rPr>
        <w:endnoteRef/>
      </w:r>
      <w:r>
        <w:t xml:space="preserve"> Amestoy, P. R., Duff, I. S., and L’Excellent, J.-Y.  </w:t>
      </w:r>
      <w:r>
        <w:rPr>
          <w:i/>
        </w:rPr>
        <w:t>MUMPS MUltifrontal Massively Parallel Solver Version 2.0</w:t>
      </w:r>
      <w:r>
        <w:t>.  Technical Report TR/PA/98/02.  Centre Européen Recherche et de Formation Avancée en Calcul Scientifique, Toulouse, France.  1998.</w:t>
      </w:r>
    </w:p>
  </w:endnote>
  <w:endnote w:id="58">
    <w:p w14:paraId="4F1C4D0E" w14:textId="77777777" w:rsidR="002D111A" w:rsidRDefault="002D111A">
      <w:pPr>
        <w:pStyle w:val="EndnoteText"/>
      </w:pPr>
    </w:p>
    <w:p w14:paraId="7B919CF6" w14:textId="7D2D2FDB" w:rsidR="002D111A" w:rsidRPr="0005268E" w:rsidRDefault="002D111A">
      <w:pPr>
        <w:pStyle w:val="EndnoteText"/>
      </w:pPr>
      <w:r>
        <w:rPr>
          <w:rStyle w:val="EndnoteReference"/>
        </w:rPr>
        <w:endnoteRef/>
      </w:r>
      <w:r>
        <w:t xml:space="preserve"> X-5 Monte Carlo Team, </w:t>
      </w:r>
      <w:r>
        <w:rPr>
          <w:i/>
        </w:rPr>
        <w:t>MCNP—A General Monte Carlo N-Particle Transport Code, Version 5</w:t>
      </w:r>
      <w:r>
        <w:t>.  LA-CP-03-0245.  Los Alamos National Laboratory, Los Alamos, NM.  2003.</w:t>
      </w:r>
    </w:p>
  </w:endnote>
  <w:endnote w:id="59">
    <w:p w14:paraId="4DBDEF93" w14:textId="77777777" w:rsidR="002D111A" w:rsidRDefault="002D111A">
      <w:pPr>
        <w:pStyle w:val="EndnoteText"/>
      </w:pPr>
    </w:p>
    <w:p w14:paraId="0F034621" w14:textId="2E953038" w:rsidR="002D111A" w:rsidRDefault="002D111A" w:rsidP="00707419">
      <w:pPr>
        <w:pStyle w:val="EndnoteText"/>
      </w:pPr>
      <w:r>
        <w:rPr>
          <w:rStyle w:val="EndnoteReference"/>
        </w:rPr>
        <w:endnoteRef/>
      </w:r>
      <w:r>
        <w:t xml:space="preserve"> Wilcox, D. C.  </w:t>
      </w:r>
      <w:r>
        <w:rPr>
          <w:i/>
        </w:rPr>
        <w:t>Turbulence Modeling for CFD</w:t>
      </w:r>
      <w:r>
        <w:t>.  3</w:t>
      </w:r>
      <w:r w:rsidRPr="0077075A">
        <w:rPr>
          <w:vertAlign w:val="superscript"/>
        </w:rPr>
        <w:t>rd</w:t>
      </w:r>
      <w:r>
        <w:t xml:space="preserve"> Ed.  La Canada, CA:  DCW Industries, 2006.</w:t>
      </w:r>
    </w:p>
  </w:endnote>
  <w:endnote w:id="60">
    <w:p w14:paraId="54BEA5A9" w14:textId="77777777" w:rsidR="002D111A" w:rsidRDefault="002D111A" w:rsidP="00707419">
      <w:pPr>
        <w:pStyle w:val="EndnoteText"/>
        <w:ind w:firstLine="0"/>
      </w:pPr>
    </w:p>
    <w:p w14:paraId="30E61970" w14:textId="77777777" w:rsidR="002D111A" w:rsidRPr="00EB433B" w:rsidRDefault="002D111A" w:rsidP="00CB67DB">
      <w:pPr>
        <w:pStyle w:val="EndnoteText"/>
      </w:pPr>
      <w:r>
        <w:rPr>
          <w:rStyle w:val="EndnoteReference"/>
        </w:rPr>
        <w:endnoteRef/>
      </w:r>
      <w:r>
        <w:t xml:space="preserve"> White, F. M.  </w:t>
      </w:r>
      <w:r>
        <w:rPr>
          <w:i/>
        </w:rPr>
        <w:t>Viscous Fluid Flow</w:t>
      </w:r>
      <w:r>
        <w:t>.  3</w:t>
      </w:r>
      <w:r w:rsidRPr="00EB433B">
        <w:rPr>
          <w:vertAlign w:val="superscript"/>
        </w:rPr>
        <w:t>rd</w:t>
      </w:r>
      <w:r>
        <w:t xml:space="preserve"> Ed.  New York:  McGraw-Hill, 2006.</w:t>
      </w:r>
    </w:p>
  </w:endnote>
  <w:endnote w:id="61">
    <w:p w14:paraId="346C67BE" w14:textId="77777777" w:rsidR="002D111A" w:rsidRDefault="002D111A" w:rsidP="00983EE0">
      <w:pPr>
        <w:pStyle w:val="EndnoteText"/>
      </w:pPr>
    </w:p>
    <w:p w14:paraId="3DD4BB3E" w14:textId="3FF7C2F5" w:rsidR="002D111A" w:rsidRPr="00443FA4" w:rsidRDefault="002D111A" w:rsidP="00983EE0">
      <w:pPr>
        <w:pStyle w:val="EndnoteText"/>
      </w:pPr>
      <w:r>
        <w:rPr>
          <w:rStyle w:val="EndnoteReference"/>
        </w:rPr>
        <w:endnoteRef/>
      </w:r>
      <w:r>
        <w:t xml:space="preserve"> Incropera, F. P., </w:t>
      </w:r>
      <w:r>
        <w:rPr>
          <w:i/>
        </w:rPr>
        <w:t>et al</w:t>
      </w:r>
      <w:r>
        <w:t xml:space="preserve">.  </w:t>
      </w:r>
      <w:r>
        <w:rPr>
          <w:i/>
        </w:rPr>
        <w:t>Fundamentals of Mass and Heat Transfer</w:t>
      </w:r>
      <w:r>
        <w:t>, 6</w:t>
      </w:r>
      <w:r w:rsidRPr="00443FA4">
        <w:rPr>
          <w:vertAlign w:val="superscript"/>
        </w:rPr>
        <w:t>th</w:t>
      </w:r>
      <w:r>
        <w:t xml:space="preserve"> Ed.  Hoboken, NJ:  John Wiley &amp; Sons, Inc., 2007.</w:t>
      </w:r>
    </w:p>
  </w:endnote>
  <w:endnote w:id="62">
    <w:p w14:paraId="19840301" w14:textId="77777777" w:rsidR="002D111A" w:rsidRDefault="002D111A">
      <w:pPr>
        <w:pStyle w:val="EndnoteText"/>
      </w:pPr>
    </w:p>
    <w:p w14:paraId="0F0ECD58" w14:textId="13E787A0" w:rsidR="002D111A" w:rsidRPr="004C0084" w:rsidRDefault="002D111A">
      <w:pPr>
        <w:pStyle w:val="EndnoteText"/>
      </w:pPr>
      <w:r>
        <w:rPr>
          <w:rStyle w:val="EndnoteReference"/>
        </w:rPr>
        <w:endnoteRef/>
      </w:r>
      <w:r>
        <w:t xml:space="preserve"> Eckert, E. G., and Drake Jr., R. M.  </w:t>
      </w:r>
      <w:r>
        <w:rPr>
          <w:i/>
        </w:rPr>
        <w:t>Heat and Mass Transfer</w:t>
      </w:r>
      <w:r>
        <w:t>, 1</w:t>
      </w:r>
      <w:r w:rsidRPr="004C0084">
        <w:rPr>
          <w:vertAlign w:val="superscript"/>
        </w:rPr>
        <w:t>st</w:t>
      </w:r>
      <w:r>
        <w:t xml:space="preserve"> Ed.  New York:  McGraw-Hill, 1959.</w:t>
      </w:r>
    </w:p>
  </w:endnote>
  <w:endnote w:id="63">
    <w:p w14:paraId="4D44EA03" w14:textId="77777777" w:rsidR="002D111A" w:rsidRDefault="002D111A">
      <w:pPr>
        <w:pStyle w:val="EndnoteText"/>
      </w:pPr>
    </w:p>
    <w:p w14:paraId="6F7556EC" w14:textId="54B153CB" w:rsidR="002D111A" w:rsidRDefault="002D111A">
      <w:pPr>
        <w:pStyle w:val="EndnoteText"/>
      </w:pPr>
      <w:r>
        <w:rPr>
          <w:rStyle w:val="EndnoteReference"/>
        </w:rPr>
        <w:endnoteRef/>
      </w:r>
      <w:r>
        <w:t xml:space="preserve"> Gambill, W. R., and Bundy, R. D.  </w:t>
      </w:r>
      <w:r>
        <w:rPr>
          <w:i/>
        </w:rPr>
        <w:t>HFIR Heat-Transfer Studies of Turbulent Water Flow in Thin Rectangular Channels.</w:t>
      </w:r>
      <w:r>
        <w:t xml:space="preserve">  ORNL-3079.  Oak Ridge National Laboratory, Oak Ridge, TN.  1961.</w:t>
      </w:r>
    </w:p>
    <w:p w14:paraId="490BAE31" w14:textId="77777777" w:rsidR="002D111A" w:rsidRPr="007415DD" w:rsidRDefault="002D111A" w:rsidP="00976870">
      <w:pPr>
        <w:ind w:firstLin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8942120"/>
      <w:docPartObj>
        <w:docPartGallery w:val="Page Numbers (Bottom of Page)"/>
        <w:docPartUnique/>
      </w:docPartObj>
    </w:sdtPr>
    <w:sdtEndPr>
      <w:rPr>
        <w:noProof/>
      </w:rPr>
    </w:sdtEndPr>
    <w:sdtContent>
      <w:p w14:paraId="031DAFDE" w14:textId="3B3E5A7D" w:rsidR="002D111A" w:rsidRDefault="002D111A">
        <w:pPr>
          <w:pStyle w:val="Footer"/>
          <w:jc w:val="center"/>
        </w:pPr>
        <w:r>
          <w:fldChar w:fldCharType="begin"/>
        </w:r>
        <w:r>
          <w:instrText xml:space="preserve"> PAGE   \* MERGEFORMAT </w:instrText>
        </w:r>
        <w:r>
          <w:fldChar w:fldCharType="separate"/>
        </w:r>
        <w:r w:rsidR="001C5EC1">
          <w:rPr>
            <w:noProof/>
          </w:rPr>
          <w:t>iv</w:t>
        </w:r>
        <w:r>
          <w:rPr>
            <w:noProof/>
          </w:rPr>
          <w:fldChar w:fldCharType="end"/>
        </w:r>
      </w:p>
    </w:sdtContent>
  </w:sdt>
  <w:p w14:paraId="0A5D984C" w14:textId="77777777" w:rsidR="002D111A" w:rsidRDefault="002D11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79105" w14:textId="0C79584D" w:rsidR="002D111A" w:rsidRDefault="002D111A">
    <w:pPr>
      <w:pStyle w:val="Footer"/>
      <w:jc w:val="center"/>
    </w:pPr>
  </w:p>
  <w:p w14:paraId="5FED486E" w14:textId="77777777" w:rsidR="002D111A" w:rsidRDefault="002D111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252486"/>
      <w:docPartObj>
        <w:docPartGallery w:val="Page Numbers (Bottom of Page)"/>
        <w:docPartUnique/>
      </w:docPartObj>
    </w:sdtPr>
    <w:sdtEndPr>
      <w:rPr>
        <w:noProof/>
      </w:rPr>
    </w:sdtEndPr>
    <w:sdtContent>
      <w:p w14:paraId="49BFADEA" w14:textId="15E2497F" w:rsidR="002D111A" w:rsidRDefault="002D111A">
        <w:pPr>
          <w:pStyle w:val="Footer"/>
          <w:jc w:val="center"/>
        </w:pPr>
        <w:r>
          <w:fldChar w:fldCharType="begin"/>
        </w:r>
        <w:r>
          <w:instrText xml:space="preserve"> PAGE   \* MERGEFORMAT </w:instrText>
        </w:r>
        <w:r>
          <w:fldChar w:fldCharType="separate"/>
        </w:r>
        <w:r w:rsidR="001C5EC1">
          <w:rPr>
            <w:noProof/>
          </w:rPr>
          <w:t>89</w:t>
        </w:r>
        <w:r>
          <w:rPr>
            <w:noProof/>
          </w:rPr>
          <w:fldChar w:fldCharType="end"/>
        </w:r>
      </w:p>
    </w:sdtContent>
  </w:sdt>
  <w:p w14:paraId="2CD0EBBE" w14:textId="77777777" w:rsidR="002D111A" w:rsidRDefault="002D11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E94B96" w14:textId="77777777" w:rsidR="002D111A" w:rsidRDefault="002D111A" w:rsidP="00DF0C87">
      <w:r>
        <w:separator/>
      </w:r>
    </w:p>
  </w:footnote>
  <w:footnote w:type="continuationSeparator" w:id="0">
    <w:p w14:paraId="134BBF96" w14:textId="77777777" w:rsidR="002D111A" w:rsidRDefault="002D111A" w:rsidP="00DF0C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6E1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78410BB"/>
    <w:multiLevelType w:val="multilevel"/>
    <w:tmpl w:val="2716EA50"/>
    <w:name w:val="CHAP"/>
    <w:lvl w:ilvl="0">
      <w:start w:val="1"/>
      <w:numFmt w:val="upperRoman"/>
      <w:lvlText w:val="%1."/>
      <w:lvlJc w:val="left"/>
      <w:pPr>
        <w:tabs>
          <w:tab w:val="num" w:pos="360"/>
        </w:tabs>
        <w:ind w:left="0" w:firstLine="0"/>
      </w:pPr>
      <w:rPr>
        <w:rFonts w:hint="default"/>
        <w:sz w:val="22"/>
      </w:rPr>
    </w:lvl>
    <w:lvl w:ilvl="1">
      <w:start w:val="1"/>
      <w:numFmt w:val="upperLetter"/>
      <w:lvlText w:val="%2."/>
      <w:lvlJc w:val="left"/>
      <w:pPr>
        <w:ind w:left="0" w:firstLine="0"/>
      </w:pPr>
      <w:rPr>
        <w:rFonts w:hint="default"/>
      </w:rPr>
    </w:lvl>
    <w:lvl w:ilvl="2">
      <w:start w:val="1"/>
      <w:numFmt w:val="lowerLetter"/>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9E535F0"/>
    <w:multiLevelType w:val="multilevel"/>
    <w:tmpl w:val="411C3CE6"/>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lowerLetter"/>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C3C01C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0C6A6E1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E935E35"/>
    <w:multiLevelType w:val="multilevel"/>
    <w:tmpl w:val="DA06A7E8"/>
    <w:name w:val="APP"/>
    <w:lvl w:ilvl="0">
      <w:start w:val="1"/>
      <w:numFmt w:val="upperLetter"/>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17B95735"/>
    <w:multiLevelType w:val="multilevel"/>
    <w:tmpl w:val="411C3CE6"/>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lowerLetter"/>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1B0428B7"/>
    <w:multiLevelType w:val="multilevel"/>
    <w:tmpl w:val="600E8B32"/>
    <w:lvl w:ilvl="0">
      <w:start w:val="1"/>
      <w:numFmt w:val="decimal"/>
      <w:lvlText w:val="(%1)"/>
      <w:lvlJc w:val="left"/>
      <w:pPr>
        <w:ind w:left="0" w:firstLine="0"/>
      </w:pPr>
      <w:rPr>
        <w:rFonts w:hint="default"/>
      </w:rPr>
    </w:lvl>
    <w:lvl w:ilvl="1">
      <w:start w:val="3"/>
      <w:numFmt w:val="decimal"/>
      <w:lvlText w:val="(%1.%2)"/>
      <w:lvlJc w:val="left"/>
      <w:pPr>
        <w:ind w:left="0" w:firstLine="0"/>
      </w:pPr>
      <w:rPr>
        <w:rFonts w:hint="default"/>
      </w:rPr>
    </w:lvl>
    <w:lvl w:ilvl="2">
      <w:start w:val="1"/>
      <w:numFmt w:val="lowerLetter"/>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207A1DF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2FD7B4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314E3F6F"/>
    <w:multiLevelType w:val="multilevel"/>
    <w:tmpl w:val="411C3CE6"/>
    <w:styleLink w:val="Style1"/>
    <w:lvl w:ilvl="0">
      <w:start w:val="1"/>
      <w:numFmt w:val="decimal"/>
      <w:lvlText w:val="(%1)"/>
      <w:lvlJc w:val="left"/>
      <w:pPr>
        <w:ind w:left="0" w:firstLine="0"/>
      </w:pPr>
      <w:rPr>
        <w:rFonts w:hint="default"/>
      </w:rPr>
    </w:lvl>
    <w:lvl w:ilvl="1">
      <w:start w:val="2"/>
      <w:numFmt w:val="decimal"/>
      <w:lvlText w:val="(%1.%2)"/>
      <w:lvlJc w:val="left"/>
      <w:pPr>
        <w:ind w:left="0" w:firstLine="0"/>
      </w:pPr>
      <w:rPr>
        <w:rFonts w:hint="default"/>
      </w:rPr>
    </w:lvl>
    <w:lvl w:ilvl="2">
      <w:start w:val="1"/>
      <w:numFmt w:val="lowerLetter"/>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35763EA2"/>
    <w:multiLevelType w:val="multilevel"/>
    <w:tmpl w:val="2E7CA550"/>
    <w:lvl w:ilvl="0">
      <w:start w:val="1"/>
      <w:numFmt w:val="decimal"/>
      <w:lvlText w:val="(%1)"/>
      <w:lvlJc w:val="left"/>
      <w:pPr>
        <w:ind w:left="0" w:firstLine="0"/>
      </w:pPr>
      <w:rPr>
        <w:rFonts w:hint="default"/>
      </w:rPr>
    </w:lvl>
    <w:lvl w:ilvl="1">
      <w:start w:val="2"/>
      <w:numFmt w:val="decimal"/>
      <w:lvlText w:val="(%1.%2)"/>
      <w:lvlJc w:val="left"/>
      <w:pPr>
        <w:ind w:left="0" w:firstLine="0"/>
      </w:pPr>
      <w:rPr>
        <w:rFonts w:hint="default"/>
      </w:rPr>
    </w:lvl>
    <w:lvl w:ilvl="2">
      <w:start w:val="1"/>
      <w:numFmt w:val="lowerLetter"/>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3E80670F"/>
    <w:multiLevelType w:val="multilevel"/>
    <w:tmpl w:val="600E8B32"/>
    <w:styleLink w:val="Style3"/>
    <w:lvl w:ilvl="0">
      <w:start w:val="1"/>
      <w:numFmt w:val="decimal"/>
      <w:lvlText w:val="(%1)"/>
      <w:lvlJc w:val="left"/>
      <w:pPr>
        <w:ind w:left="0" w:firstLine="0"/>
      </w:pPr>
      <w:rPr>
        <w:rFonts w:hint="default"/>
      </w:rPr>
    </w:lvl>
    <w:lvl w:ilvl="1">
      <w:start w:val="5"/>
      <w:numFmt w:val="decimal"/>
      <w:lvlText w:val="(%1.%2)"/>
      <w:lvlJc w:val="left"/>
      <w:pPr>
        <w:ind w:left="0" w:firstLine="0"/>
      </w:pPr>
      <w:rPr>
        <w:rFonts w:hint="default"/>
      </w:rPr>
    </w:lvl>
    <w:lvl w:ilvl="2">
      <w:start w:val="1"/>
      <w:numFmt w:val="lowerLetter"/>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9EC2011"/>
    <w:multiLevelType w:val="multilevel"/>
    <w:tmpl w:val="DA380F8C"/>
    <w:name w:val="EQN"/>
    <w:lvl w:ilvl="0">
      <w:start w:val="1"/>
      <w:numFmt w:val="decimal"/>
      <w:lvlText w:val="%1"/>
      <w:lvlJc w:val="left"/>
      <w:pPr>
        <w:tabs>
          <w:tab w:val="num" w:pos="360"/>
        </w:tabs>
        <w:ind w:left="0" w:firstLine="0"/>
      </w:pPr>
      <w:rPr>
        <w:rFonts w:hint="default"/>
      </w:rPr>
    </w:lvl>
    <w:lvl w:ilvl="1">
      <w:start w:val="1"/>
      <w:numFmt w:val="decimal"/>
      <w:lvlText w:val="(%1.%2"/>
      <w:lvlJc w:val="left"/>
      <w:pPr>
        <w:ind w:left="0" w:firstLine="0"/>
      </w:pPr>
      <w:rPr>
        <w:rFonts w:hint="default"/>
      </w:rPr>
    </w:lvl>
    <w:lvl w:ilvl="2">
      <w:start w:val="1"/>
      <w:numFmt w:val="lowerLetter"/>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FDD1CF6"/>
    <w:multiLevelType w:val="multilevel"/>
    <w:tmpl w:val="600E8B32"/>
    <w:numStyleLink w:val="Style3"/>
  </w:abstractNum>
  <w:abstractNum w:abstractNumId="15">
    <w:nsid w:val="5A5D70BD"/>
    <w:multiLevelType w:val="multilevel"/>
    <w:tmpl w:val="2E7CA550"/>
    <w:styleLink w:val="Style2"/>
    <w:lvl w:ilvl="0">
      <w:start w:val="1"/>
      <w:numFmt w:val="decimal"/>
      <w:lvlText w:val="(%1)"/>
      <w:lvlJc w:val="left"/>
      <w:pPr>
        <w:ind w:left="0" w:firstLine="0"/>
      </w:pPr>
      <w:rPr>
        <w:rFonts w:hint="default"/>
      </w:rPr>
    </w:lvl>
    <w:lvl w:ilvl="1">
      <w:start w:val="3"/>
      <w:numFmt w:val="decimal"/>
      <w:lvlText w:val="(%1.%2)"/>
      <w:lvlJc w:val="left"/>
      <w:pPr>
        <w:ind w:left="0" w:firstLine="0"/>
      </w:pPr>
      <w:rPr>
        <w:rFonts w:hint="default"/>
      </w:rPr>
    </w:lvl>
    <w:lvl w:ilvl="2">
      <w:start w:val="1"/>
      <w:numFmt w:val="lowerLetter"/>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5CFC7833"/>
    <w:multiLevelType w:val="multilevel"/>
    <w:tmpl w:val="0409001D"/>
    <w:name w:val="FIG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5F230C9F"/>
    <w:multiLevelType w:val="multilevel"/>
    <w:tmpl w:val="0710731C"/>
    <w:name w:val="TAB"/>
    <w:lvl w:ilvl="0">
      <w:start w:val="1"/>
      <w:numFmt w:val="decimal"/>
      <w:lvlText w:val="%1"/>
      <w:lvlJc w:val="left"/>
      <w:pPr>
        <w:ind w:left="360" w:hanging="360"/>
      </w:pPr>
      <w:rPr>
        <w:rFonts w:hint="default"/>
      </w:rPr>
    </w:lvl>
    <w:lvl w:ilvl="1">
      <w:start w:val="1"/>
      <w:numFmt w:val="decimal"/>
      <w:suff w:val="nothing"/>
      <w:lvlText w:val="%1.%2"/>
      <w:lvlJc w:val="left"/>
      <w:pPr>
        <w:ind w:left="720" w:hanging="360"/>
      </w:pPr>
      <w:rPr>
        <w:rFonts w:hint="default"/>
      </w:rPr>
    </w:lvl>
    <w:lvl w:ilvl="2">
      <w:start w:val="1"/>
      <w:numFmt w:val="lowerRoman"/>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5F2852B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21A428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D5B1629"/>
    <w:multiLevelType w:val="multilevel"/>
    <w:tmpl w:val="943EBD7E"/>
    <w:name w:val="FIG"/>
    <w:lvl w:ilvl="0">
      <w:start w:val="1"/>
      <w:numFmt w:val="decimal"/>
      <w:suff w:val="nothing"/>
      <w:lvlText w:val="%1"/>
      <w:lvlJc w:val="left"/>
      <w:pPr>
        <w:ind w:left="360" w:hanging="360"/>
      </w:pPr>
      <w:rPr>
        <w:rFonts w:ascii="Times New Roman" w:hAnsi="Times New Roman" w:hint="default"/>
        <w:sz w:val="22"/>
      </w:rPr>
    </w:lvl>
    <w:lvl w:ilvl="1">
      <w:start w:val="1"/>
      <w:numFmt w:val="decimal"/>
      <w:suff w:val="nothing"/>
      <w:lvlText w:val="%1.%2"/>
      <w:lvlJc w:val="left"/>
      <w:pPr>
        <w:ind w:left="720" w:hanging="360"/>
      </w:pPr>
      <w:rPr>
        <w:rFonts w:ascii="Times New Roman" w:hAnsi="Times New Roman" w:hint="default"/>
        <w:b/>
        <w:i w:val="0"/>
        <w:sz w:val="20"/>
      </w:rPr>
    </w:lvl>
    <w:lvl w:ilvl="2">
      <w:start w:val="1"/>
      <w:numFmt w:val="lowerLetter"/>
      <w:suff w:val="nothing"/>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10"/>
  </w:num>
  <w:num w:numId="3">
    <w:abstractNumId w:val="11"/>
  </w:num>
  <w:num w:numId="4">
    <w:abstractNumId w:val="17"/>
  </w:num>
  <w:num w:numId="5">
    <w:abstractNumId w:val="15"/>
  </w:num>
  <w:num w:numId="6">
    <w:abstractNumId w:val="7"/>
  </w:num>
  <w:num w:numId="7">
    <w:abstractNumId w:val="6"/>
  </w:num>
  <w:num w:numId="8">
    <w:abstractNumId w:val="12"/>
  </w:num>
  <w:num w:numId="9">
    <w:abstractNumId w:val="14"/>
  </w:num>
  <w:num w:numId="10">
    <w:abstractNumId w:val="9"/>
  </w:num>
  <w:num w:numId="11">
    <w:abstractNumId w:val="0"/>
  </w:num>
  <w:num w:numId="12">
    <w:abstractNumId w:val="3"/>
  </w:num>
  <w:num w:numId="13">
    <w:abstractNumId w:val="8"/>
  </w:num>
  <w:num w:numId="14">
    <w:abstractNumId w:val="18"/>
  </w:num>
  <w:num w:numId="15">
    <w:abstractNumId w:val="4"/>
  </w:num>
  <w:num w:numId="16">
    <w:abstractNumId w:val="19"/>
  </w:num>
  <w:num w:numId="17">
    <w:abstractNumId w:val="1"/>
  </w:num>
  <w:num w:numId="18">
    <w:abstractNumId w:val="20"/>
  </w:num>
  <w:num w:numId="19">
    <w:abstractNumId w:val="13"/>
  </w:num>
  <w:num w:numId="20">
    <w:abstractNumId w:val="16"/>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524"/>
    <w:rsid w:val="00001964"/>
    <w:rsid w:val="00003A39"/>
    <w:rsid w:val="00004C4D"/>
    <w:rsid w:val="000074AD"/>
    <w:rsid w:val="0000751E"/>
    <w:rsid w:val="00007B7B"/>
    <w:rsid w:val="00007D9B"/>
    <w:rsid w:val="000105AC"/>
    <w:rsid w:val="0001257A"/>
    <w:rsid w:val="00013C65"/>
    <w:rsid w:val="00015E3D"/>
    <w:rsid w:val="00015E6A"/>
    <w:rsid w:val="00016B3D"/>
    <w:rsid w:val="00017CF8"/>
    <w:rsid w:val="00020E59"/>
    <w:rsid w:val="00020E61"/>
    <w:rsid w:val="00022C5F"/>
    <w:rsid w:val="00024ED3"/>
    <w:rsid w:val="00025780"/>
    <w:rsid w:val="0003289D"/>
    <w:rsid w:val="0003296B"/>
    <w:rsid w:val="00033088"/>
    <w:rsid w:val="000348F9"/>
    <w:rsid w:val="0003591F"/>
    <w:rsid w:val="000364CC"/>
    <w:rsid w:val="00036C22"/>
    <w:rsid w:val="00036D67"/>
    <w:rsid w:val="0003700F"/>
    <w:rsid w:val="00037907"/>
    <w:rsid w:val="00041FE9"/>
    <w:rsid w:val="000422FF"/>
    <w:rsid w:val="00045A75"/>
    <w:rsid w:val="00045DD7"/>
    <w:rsid w:val="0005247B"/>
    <w:rsid w:val="00052507"/>
    <w:rsid w:val="0005268E"/>
    <w:rsid w:val="00053C99"/>
    <w:rsid w:val="000570C2"/>
    <w:rsid w:val="00057CAB"/>
    <w:rsid w:val="00057FCE"/>
    <w:rsid w:val="00060DF4"/>
    <w:rsid w:val="00060F13"/>
    <w:rsid w:val="00061370"/>
    <w:rsid w:val="0006238B"/>
    <w:rsid w:val="00062E71"/>
    <w:rsid w:val="00062EA2"/>
    <w:rsid w:val="00062FC2"/>
    <w:rsid w:val="000636EE"/>
    <w:rsid w:val="0006393F"/>
    <w:rsid w:val="00064501"/>
    <w:rsid w:val="0006580E"/>
    <w:rsid w:val="00065C85"/>
    <w:rsid w:val="00066EE0"/>
    <w:rsid w:val="000676D0"/>
    <w:rsid w:val="00067CD7"/>
    <w:rsid w:val="00067DE5"/>
    <w:rsid w:val="000721DA"/>
    <w:rsid w:val="00072582"/>
    <w:rsid w:val="00073DA1"/>
    <w:rsid w:val="000749DE"/>
    <w:rsid w:val="00075BBA"/>
    <w:rsid w:val="00076771"/>
    <w:rsid w:val="0007781B"/>
    <w:rsid w:val="00077FC1"/>
    <w:rsid w:val="0008034D"/>
    <w:rsid w:val="00082074"/>
    <w:rsid w:val="00084A6E"/>
    <w:rsid w:val="00084EE2"/>
    <w:rsid w:val="00086818"/>
    <w:rsid w:val="000869E4"/>
    <w:rsid w:val="00086A83"/>
    <w:rsid w:val="00086F9B"/>
    <w:rsid w:val="000872F4"/>
    <w:rsid w:val="000913A8"/>
    <w:rsid w:val="000915A0"/>
    <w:rsid w:val="00094E13"/>
    <w:rsid w:val="00095F2F"/>
    <w:rsid w:val="000965FA"/>
    <w:rsid w:val="00097659"/>
    <w:rsid w:val="00097A63"/>
    <w:rsid w:val="00097A9E"/>
    <w:rsid w:val="000A2A64"/>
    <w:rsid w:val="000A2BB4"/>
    <w:rsid w:val="000A2D9C"/>
    <w:rsid w:val="000B0691"/>
    <w:rsid w:val="000B3E4D"/>
    <w:rsid w:val="000B4204"/>
    <w:rsid w:val="000B5C35"/>
    <w:rsid w:val="000B6505"/>
    <w:rsid w:val="000C09BD"/>
    <w:rsid w:val="000C0AF4"/>
    <w:rsid w:val="000C29E8"/>
    <w:rsid w:val="000C3216"/>
    <w:rsid w:val="000C322B"/>
    <w:rsid w:val="000C4263"/>
    <w:rsid w:val="000C4EF3"/>
    <w:rsid w:val="000C65B8"/>
    <w:rsid w:val="000C67E0"/>
    <w:rsid w:val="000C67E5"/>
    <w:rsid w:val="000C6824"/>
    <w:rsid w:val="000C7004"/>
    <w:rsid w:val="000D0B08"/>
    <w:rsid w:val="000D32A3"/>
    <w:rsid w:val="000D5346"/>
    <w:rsid w:val="000D621C"/>
    <w:rsid w:val="000D76AE"/>
    <w:rsid w:val="000E0BC2"/>
    <w:rsid w:val="000E100F"/>
    <w:rsid w:val="000E171E"/>
    <w:rsid w:val="000E3A5E"/>
    <w:rsid w:val="000E4277"/>
    <w:rsid w:val="000E5EEA"/>
    <w:rsid w:val="000E7D24"/>
    <w:rsid w:val="000F07A7"/>
    <w:rsid w:val="000F082D"/>
    <w:rsid w:val="000F12C4"/>
    <w:rsid w:val="000F186B"/>
    <w:rsid w:val="000F4BCC"/>
    <w:rsid w:val="000F4CE3"/>
    <w:rsid w:val="000F5804"/>
    <w:rsid w:val="0010026F"/>
    <w:rsid w:val="001006AF"/>
    <w:rsid w:val="00100B6B"/>
    <w:rsid w:val="00100D51"/>
    <w:rsid w:val="00102587"/>
    <w:rsid w:val="00102B82"/>
    <w:rsid w:val="001035BC"/>
    <w:rsid w:val="0010529F"/>
    <w:rsid w:val="00110441"/>
    <w:rsid w:val="001107CE"/>
    <w:rsid w:val="00110C38"/>
    <w:rsid w:val="00112CA7"/>
    <w:rsid w:val="0011318B"/>
    <w:rsid w:val="00113E2F"/>
    <w:rsid w:val="0011409B"/>
    <w:rsid w:val="001146DC"/>
    <w:rsid w:val="001149F2"/>
    <w:rsid w:val="00114E83"/>
    <w:rsid w:val="0011536F"/>
    <w:rsid w:val="00116026"/>
    <w:rsid w:val="00116DC4"/>
    <w:rsid w:val="001170E4"/>
    <w:rsid w:val="001171B7"/>
    <w:rsid w:val="00117CE7"/>
    <w:rsid w:val="001206D7"/>
    <w:rsid w:val="00121C85"/>
    <w:rsid w:val="00121E0B"/>
    <w:rsid w:val="00124043"/>
    <w:rsid w:val="0012452B"/>
    <w:rsid w:val="00124C47"/>
    <w:rsid w:val="00126A89"/>
    <w:rsid w:val="00126E2E"/>
    <w:rsid w:val="00130941"/>
    <w:rsid w:val="00130964"/>
    <w:rsid w:val="001315D6"/>
    <w:rsid w:val="0013247A"/>
    <w:rsid w:val="001330AD"/>
    <w:rsid w:val="00133576"/>
    <w:rsid w:val="00135E23"/>
    <w:rsid w:val="00136E43"/>
    <w:rsid w:val="00137A74"/>
    <w:rsid w:val="001413B4"/>
    <w:rsid w:val="00145095"/>
    <w:rsid w:val="00147834"/>
    <w:rsid w:val="00147871"/>
    <w:rsid w:val="00147EB5"/>
    <w:rsid w:val="00152438"/>
    <w:rsid w:val="00153316"/>
    <w:rsid w:val="00153923"/>
    <w:rsid w:val="001545F1"/>
    <w:rsid w:val="00154734"/>
    <w:rsid w:val="00154B7C"/>
    <w:rsid w:val="00155C73"/>
    <w:rsid w:val="00155E9F"/>
    <w:rsid w:val="001565D7"/>
    <w:rsid w:val="0016258F"/>
    <w:rsid w:val="001628CB"/>
    <w:rsid w:val="00163436"/>
    <w:rsid w:val="00163657"/>
    <w:rsid w:val="0016428E"/>
    <w:rsid w:val="00164C2B"/>
    <w:rsid w:val="00167635"/>
    <w:rsid w:val="00170698"/>
    <w:rsid w:val="00171F2C"/>
    <w:rsid w:val="001726C6"/>
    <w:rsid w:val="001727A2"/>
    <w:rsid w:val="001728B1"/>
    <w:rsid w:val="001729C0"/>
    <w:rsid w:val="00172F71"/>
    <w:rsid w:val="00177B94"/>
    <w:rsid w:val="00182677"/>
    <w:rsid w:val="0018519A"/>
    <w:rsid w:val="00185894"/>
    <w:rsid w:val="00185CAC"/>
    <w:rsid w:val="0018783F"/>
    <w:rsid w:val="00191BF8"/>
    <w:rsid w:val="001928EB"/>
    <w:rsid w:val="00194893"/>
    <w:rsid w:val="00196790"/>
    <w:rsid w:val="001A022A"/>
    <w:rsid w:val="001A0F79"/>
    <w:rsid w:val="001A116D"/>
    <w:rsid w:val="001A2EDF"/>
    <w:rsid w:val="001A3CCD"/>
    <w:rsid w:val="001A500D"/>
    <w:rsid w:val="001A6183"/>
    <w:rsid w:val="001A7E47"/>
    <w:rsid w:val="001B09A7"/>
    <w:rsid w:val="001B35ED"/>
    <w:rsid w:val="001B383D"/>
    <w:rsid w:val="001B7AF9"/>
    <w:rsid w:val="001C2059"/>
    <w:rsid w:val="001C4C80"/>
    <w:rsid w:val="001C58BA"/>
    <w:rsid w:val="001C5EC1"/>
    <w:rsid w:val="001C703F"/>
    <w:rsid w:val="001C799C"/>
    <w:rsid w:val="001C7C2B"/>
    <w:rsid w:val="001D2B87"/>
    <w:rsid w:val="001D3029"/>
    <w:rsid w:val="001D454F"/>
    <w:rsid w:val="001D69B5"/>
    <w:rsid w:val="001E0416"/>
    <w:rsid w:val="001E0F26"/>
    <w:rsid w:val="001E1C87"/>
    <w:rsid w:val="001E24AE"/>
    <w:rsid w:val="001E4E6D"/>
    <w:rsid w:val="001E5E15"/>
    <w:rsid w:val="001E6688"/>
    <w:rsid w:val="001F0DD5"/>
    <w:rsid w:val="001F17E0"/>
    <w:rsid w:val="001F1D15"/>
    <w:rsid w:val="001F32DE"/>
    <w:rsid w:val="001F3814"/>
    <w:rsid w:val="001F4A29"/>
    <w:rsid w:val="001F614B"/>
    <w:rsid w:val="001F6573"/>
    <w:rsid w:val="001F6905"/>
    <w:rsid w:val="001F70C1"/>
    <w:rsid w:val="002018DC"/>
    <w:rsid w:val="00201A96"/>
    <w:rsid w:val="00203BCC"/>
    <w:rsid w:val="002062D6"/>
    <w:rsid w:val="00206646"/>
    <w:rsid w:val="00206FDF"/>
    <w:rsid w:val="002102EE"/>
    <w:rsid w:val="0021074B"/>
    <w:rsid w:val="00212079"/>
    <w:rsid w:val="002139E5"/>
    <w:rsid w:val="00213ECB"/>
    <w:rsid w:val="002144F7"/>
    <w:rsid w:val="00217A55"/>
    <w:rsid w:val="00220D36"/>
    <w:rsid w:val="00221BFF"/>
    <w:rsid w:val="00222764"/>
    <w:rsid w:val="00224284"/>
    <w:rsid w:val="00224522"/>
    <w:rsid w:val="00227625"/>
    <w:rsid w:val="00231C1A"/>
    <w:rsid w:val="00231D53"/>
    <w:rsid w:val="00231F33"/>
    <w:rsid w:val="00232350"/>
    <w:rsid w:val="0023245C"/>
    <w:rsid w:val="0023336C"/>
    <w:rsid w:val="00233CD8"/>
    <w:rsid w:val="00233FAB"/>
    <w:rsid w:val="00234181"/>
    <w:rsid w:val="00234480"/>
    <w:rsid w:val="00234626"/>
    <w:rsid w:val="002347CE"/>
    <w:rsid w:val="002360F1"/>
    <w:rsid w:val="002370C1"/>
    <w:rsid w:val="00240D7C"/>
    <w:rsid w:val="002419C8"/>
    <w:rsid w:val="00241BA4"/>
    <w:rsid w:val="00241F42"/>
    <w:rsid w:val="00242C3B"/>
    <w:rsid w:val="00244A1D"/>
    <w:rsid w:val="00245523"/>
    <w:rsid w:val="002455E1"/>
    <w:rsid w:val="0024691A"/>
    <w:rsid w:val="002470C7"/>
    <w:rsid w:val="0024755A"/>
    <w:rsid w:val="00247FB1"/>
    <w:rsid w:val="0025014E"/>
    <w:rsid w:val="0025185C"/>
    <w:rsid w:val="0025203D"/>
    <w:rsid w:val="0025248B"/>
    <w:rsid w:val="00252729"/>
    <w:rsid w:val="00254394"/>
    <w:rsid w:val="002549B4"/>
    <w:rsid w:val="00255331"/>
    <w:rsid w:val="00256E20"/>
    <w:rsid w:val="00257744"/>
    <w:rsid w:val="00260069"/>
    <w:rsid w:val="002616D0"/>
    <w:rsid w:val="00261FC1"/>
    <w:rsid w:val="00265EBE"/>
    <w:rsid w:val="002674D8"/>
    <w:rsid w:val="00267DC6"/>
    <w:rsid w:val="00267E2F"/>
    <w:rsid w:val="00270B2C"/>
    <w:rsid w:val="0027133D"/>
    <w:rsid w:val="00271D0E"/>
    <w:rsid w:val="002722F3"/>
    <w:rsid w:val="00277DB3"/>
    <w:rsid w:val="0028137E"/>
    <w:rsid w:val="00282438"/>
    <w:rsid w:val="00283A1E"/>
    <w:rsid w:val="00283CF7"/>
    <w:rsid w:val="00284582"/>
    <w:rsid w:val="00284C1B"/>
    <w:rsid w:val="00284C74"/>
    <w:rsid w:val="002874A0"/>
    <w:rsid w:val="002916F2"/>
    <w:rsid w:val="00293F73"/>
    <w:rsid w:val="002942D6"/>
    <w:rsid w:val="00295ACC"/>
    <w:rsid w:val="002965D1"/>
    <w:rsid w:val="002A24E1"/>
    <w:rsid w:val="002A4035"/>
    <w:rsid w:val="002A5BD3"/>
    <w:rsid w:val="002A6094"/>
    <w:rsid w:val="002A62FD"/>
    <w:rsid w:val="002A7FBB"/>
    <w:rsid w:val="002B057F"/>
    <w:rsid w:val="002B129F"/>
    <w:rsid w:val="002B1521"/>
    <w:rsid w:val="002B23C9"/>
    <w:rsid w:val="002B3723"/>
    <w:rsid w:val="002B37A4"/>
    <w:rsid w:val="002B4A04"/>
    <w:rsid w:val="002B4CCF"/>
    <w:rsid w:val="002B50F8"/>
    <w:rsid w:val="002B5903"/>
    <w:rsid w:val="002B6256"/>
    <w:rsid w:val="002B6C12"/>
    <w:rsid w:val="002B7D44"/>
    <w:rsid w:val="002C2391"/>
    <w:rsid w:val="002C253B"/>
    <w:rsid w:val="002C34A7"/>
    <w:rsid w:val="002C6461"/>
    <w:rsid w:val="002C6616"/>
    <w:rsid w:val="002C6A7D"/>
    <w:rsid w:val="002C76FA"/>
    <w:rsid w:val="002D0277"/>
    <w:rsid w:val="002D082E"/>
    <w:rsid w:val="002D111A"/>
    <w:rsid w:val="002D2CA4"/>
    <w:rsid w:val="002D2DB3"/>
    <w:rsid w:val="002D5152"/>
    <w:rsid w:val="002E28FF"/>
    <w:rsid w:val="002E3978"/>
    <w:rsid w:val="002E7C18"/>
    <w:rsid w:val="002E7CF6"/>
    <w:rsid w:val="002F082A"/>
    <w:rsid w:val="002F11F9"/>
    <w:rsid w:val="002F264D"/>
    <w:rsid w:val="002F3395"/>
    <w:rsid w:val="002F5CD8"/>
    <w:rsid w:val="002F6E4E"/>
    <w:rsid w:val="002F72D5"/>
    <w:rsid w:val="002F7D77"/>
    <w:rsid w:val="00301603"/>
    <w:rsid w:val="003029E8"/>
    <w:rsid w:val="00305CD3"/>
    <w:rsid w:val="00307E60"/>
    <w:rsid w:val="00310470"/>
    <w:rsid w:val="0031096A"/>
    <w:rsid w:val="00312913"/>
    <w:rsid w:val="00312F43"/>
    <w:rsid w:val="0031531D"/>
    <w:rsid w:val="00316000"/>
    <w:rsid w:val="003163E8"/>
    <w:rsid w:val="00316851"/>
    <w:rsid w:val="0032151A"/>
    <w:rsid w:val="003226DF"/>
    <w:rsid w:val="00325447"/>
    <w:rsid w:val="0032571D"/>
    <w:rsid w:val="00325D0B"/>
    <w:rsid w:val="00330E21"/>
    <w:rsid w:val="00333B84"/>
    <w:rsid w:val="0033542E"/>
    <w:rsid w:val="003408C5"/>
    <w:rsid w:val="003418E8"/>
    <w:rsid w:val="00341B07"/>
    <w:rsid w:val="003422AE"/>
    <w:rsid w:val="00342B24"/>
    <w:rsid w:val="00344BEF"/>
    <w:rsid w:val="0034597C"/>
    <w:rsid w:val="00350616"/>
    <w:rsid w:val="003508CA"/>
    <w:rsid w:val="00350A93"/>
    <w:rsid w:val="0035133C"/>
    <w:rsid w:val="00351BF4"/>
    <w:rsid w:val="00351D68"/>
    <w:rsid w:val="003535CC"/>
    <w:rsid w:val="00355574"/>
    <w:rsid w:val="0035623A"/>
    <w:rsid w:val="00357791"/>
    <w:rsid w:val="003616EF"/>
    <w:rsid w:val="003620D0"/>
    <w:rsid w:val="003626D6"/>
    <w:rsid w:val="00365AE7"/>
    <w:rsid w:val="00366459"/>
    <w:rsid w:val="00370A37"/>
    <w:rsid w:val="0037261D"/>
    <w:rsid w:val="00372C05"/>
    <w:rsid w:val="0037396A"/>
    <w:rsid w:val="00373A4E"/>
    <w:rsid w:val="00373AB1"/>
    <w:rsid w:val="003758C2"/>
    <w:rsid w:val="00376B49"/>
    <w:rsid w:val="00377B6E"/>
    <w:rsid w:val="00377BB4"/>
    <w:rsid w:val="00381BB9"/>
    <w:rsid w:val="0038254F"/>
    <w:rsid w:val="0038463A"/>
    <w:rsid w:val="00384B0C"/>
    <w:rsid w:val="00385216"/>
    <w:rsid w:val="0038719C"/>
    <w:rsid w:val="00387668"/>
    <w:rsid w:val="0039016B"/>
    <w:rsid w:val="00390746"/>
    <w:rsid w:val="0039163F"/>
    <w:rsid w:val="00391DC2"/>
    <w:rsid w:val="00392020"/>
    <w:rsid w:val="00394B53"/>
    <w:rsid w:val="0039543A"/>
    <w:rsid w:val="00395DE8"/>
    <w:rsid w:val="00396D07"/>
    <w:rsid w:val="00396E43"/>
    <w:rsid w:val="00396F3C"/>
    <w:rsid w:val="0039704B"/>
    <w:rsid w:val="0039729C"/>
    <w:rsid w:val="00397C28"/>
    <w:rsid w:val="00397E23"/>
    <w:rsid w:val="003A153E"/>
    <w:rsid w:val="003A3235"/>
    <w:rsid w:val="003A6C0F"/>
    <w:rsid w:val="003A7524"/>
    <w:rsid w:val="003A7B7F"/>
    <w:rsid w:val="003B3F41"/>
    <w:rsid w:val="003B43A8"/>
    <w:rsid w:val="003B48AF"/>
    <w:rsid w:val="003B4F27"/>
    <w:rsid w:val="003B570C"/>
    <w:rsid w:val="003B78A7"/>
    <w:rsid w:val="003C0EA9"/>
    <w:rsid w:val="003C3D0D"/>
    <w:rsid w:val="003C4A3E"/>
    <w:rsid w:val="003C5BF9"/>
    <w:rsid w:val="003D2EFF"/>
    <w:rsid w:val="003D3B57"/>
    <w:rsid w:val="003D3E25"/>
    <w:rsid w:val="003D416B"/>
    <w:rsid w:val="003D43D8"/>
    <w:rsid w:val="003D47BD"/>
    <w:rsid w:val="003D618D"/>
    <w:rsid w:val="003D66E3"/>
    <w:rsid w:val="003E0475"/>
    <w:rsid w:val="003E0C5E"/>
    <w:rsid w:val="003E3714"/>
    <w:rsid w:val="003E37BB"/>
    <w:rsid w:val="003E3DBB"/>
    <w:rsid w:val="003E4132"/>
    <w:rsid w:val="003E4B07"/>
    <w:rsid w:val="003E4B0E"/>
    <w:rsid w:val="003E4EC2"/>
    <w:rsid w:val="003F0E32"/>
    <w:rsid w:val="003F123C"/>
    <w:rsid w:val="003F1A65"/>
    <w:rsid w:val="003F1C0B"/>
    <w:rsid w:val="003F1F56"/>
    <w:rsid w:val="003F25EA"/>
    <w:rsid w:val="003F30FB"/>
    <w:rsid w:val="003F45FD"/>
    <w:rsid w:val="003F4776"/>
    <w:rsid w:val="003F5562"/>
    <w:rsid w:val="003F5A66"/>
    <w:rsid w:val="003F7765"/>
    <w:rsid w:val="004025E6"/>
    <w:rsid w:val="00403014"/>
    <w:rsid w:val="00405202"/>
    <w:rsid w:val="00405248"/>
    <w:rsid w:val="004058FD"/>
    <w:rsid w:val="00405DD4"/>
    <w:rsid w:val="00406199"/>
    <w:rsid w:val="00406D73"/>
    <w:rsid w:val="0040716E"/>
    <w:rsid w:val="00411A4A"/>
    <w:rsid w:val="00411F6D"/>
    <w:rsid w:val="00412063"/>
    <w:rsid w:val="00412216"/>
    <w:rsid w:val="00413D2B"/>
    <w:rsid w:val="00414482"/>
    <w:rsid w:val="004144B1"/>
    <w:rsid w:val="00416885"/>
    <w:rsid w:val="0041757C"/>
    <w:rsid w:val="00420101"/>
    <w:rsid w:val="00420442"/>
    <w:rsid w:val="00420515"/>
    <w:rsid w:val="00420AD4"/>
    <w:rsid w:val="00420F65"/>
    <w:rsid w:val="0042297F"/>
    <w:rsid w:val="00422A19"/>
    <w:rsid w:val="00422A63"/>
    <w:rsid w:val="004231CE"/>
    <w:rsid w:val="004233A1"/>
    <w:rsid w:val="00424279"/>
    <w:rsid w:val="0042588D"/>
    <w:rsid w:val="00425E6D"/>
    <w:rsid w:val="00425E9E"/>
    <w:rsid w:val="00427EC8"/>
    <w:rsid w:val="004312A9"/>
    <w:rsid w:val="00431D7B"/>
    <w:rsid w:val="00432250"/>
    <w:rsid w:val="00432EAF"/>
    <w:rsid w:val="004330EA"/>
    <w:rsid w:val="00433FC0"/>
    <w:rsid w:val="004340AB"/>
    <w:rsid w:val="004346F2"/>
    <w:rsid w:val="0043570B"/>
    <w:rsid w:val="00436E37"/>
    <w:rsid w:val="00441829"/>
    <w:rsid w:val="004421EE"/>
    <w:rsid w:val="004426C3"/>
    <w:rsid w:val="00443FA4"/>
    <w:rsid w:val="00445254"/>
    <w:rsid w:val="00445B44"/>
    <w:rsid w:val="00445C88"/>
    <w:rsid w:val="00445FBE"/>
    <w:rsid w:val="004477BD"/>
    <w:rsid w:val="0045011A"/>
    <w:rsid w:val="00450284"/>
    <w:rsid w:val="00451078"/>
    <w:rsid w:val="004524B4"/>
    <w:rsid w:val="00453373"/>
    <w:rsid w:val="0045419F"/>
    <w:rsid w:val="00454F19"/>
    <w:rsid w:val="004558C4"/>
    <w:rsid w:val="00456A8A"/>
    <w:rsid w:val="00457E10"/>
    <w:rsid w:val="004606E2"/>
    <w:rsid w:val="004612F5"/>
    <w:rsid w:val="0046170E"/>
    <w:rsid w:val="00462092"/>
    <w:rsid w:val="004660BA"/>
    <w:rsid w:val="00466566"/>
    <w:rsid w:val="00466F61"/>
    <w:rsid w:val="004670CB"/>
    <w:rsid w:val="00467AFA"/>
    <w:rsid w:val="00467E63"/>
    <w:rsid w:val="004737DA"/>
    <w:rsid w:val="00473A93"/>
    <w:rsid w:val="00473CA4"/>
    <w:rsid w:val="00475246"/>
    <w:rsid w:val="00477DDC"/>
    <w:rsid w:val="00480324"/>
    <w:rsid w:val="004804E4"/>
    <w:rsid w:val="00481BA7"/>
    <w:rsid w:val="00481BE0"/>
    <w:rsid w:val="00483F12"/>
    <w:rsid w:val="004866A0"/>
    <w:rsid w:val="00487672"/>
    <w:rsid w:val="00487B3B"/>
    <w:rsid w:val="00491AB0"/>
    <w:rsid w:val="00493684"/>
    <w:rsid w:val="00494F31"/>
    <w:rsid w:val="0049573F"/>
    <w:rsid w:val="004969BA"/>
    <w:rsid w:val="004969C2"/>
    <w:rsid w:val="004A09BA"/>
    <w:rsid w:val="004A0C9F"/>
    <w:rsid w:val="004A1807"/>
    <w:rsid w:val="004A1E12"/>
    <w:rsid w:val="004A1E7C"/>
    <w:rsid w:val="004A3090"/>
    <w:rsid w:val="004A32A6"/>
    <w:rsid w:val="004A3A42"/>
    <w:rsid w:val="004A4CE7"/>
    <w:rsid w:val="004A5297"/>
    <w:rsid w:val="004A53EF"/>
    <w:rsid w:val="004A7F13"/>
    <w:rsid w:val="004B0B8A"/>
    <w:rsid w:val="004B0D81"/>
    <w:rsid w:val="004B19A8"/>
    <w:rsid w:val="004B1BBE"/>
    <w:rsid w:val="004B26F6"/>
    <w:rsid w:val="004B290F"/>
    <w:rsid w:val="004B2972"/>
    <w:rsid w:val="004B331C"/>
    <w:rsid w:val="004B48A8"/>
    <w:rsid w:val="004B585A"/>
    <w:rsid w:val="004C0084"/>
    <w:rsid w:val="004C0B0A"/>
    <w:rsid w:val="004C0BBB"/>
    <w:rsid w:val="004C0FA9"/>
    <w:rsid w:val="004C29CC"/>
    <w:rsid w:val="004C3016"/>
    <w:rsid w:val="004C34A2"/>
    <w:rsid w:val="004C3D80"/>
    <w:rsid w:val="004C3F04"/>
    <w:rsid w:val="004C43F3"/>
    <w:rsid w:val="004C4BEC"/>
    <w:rsid w:val="004C6D7B"/>
    <w:rsid w:val="004D0C0A"/>
    <w:rsid w:val="004D4104"/>
    <w:rsid w:val="004D53E9"/>
    <w:rsid w:val="004D5496"/>
    <w:rsid w:val="004E0164"/>
    <w:rsid w:val="004E28CD"/>
    <w:rsid w:val="004E4855"/>
    <w:rsid w:val="004E5DA5"/>
    <w:rsid w:val="004E648B"/>
    <w:rsid w:val="004E71CC"/>
    <w:rsid w:val="004E7DFF"/>
    <w:rsid w:val="004F1683"/>
    <w:rsid w:val="004F1D29"/>
    <w:rsid w:val="004F2B1C"/>
    <w:rsid w:val="004F3D21"/>
    <w:rsid w:val="004F40E6"/>
    <w:rsid w:val="004F5B55"/>
    <w:rsid w:val="004F6549"/>
    <w:rsid w:val="004F6ABC"/>
    <w:rsid w:val="004F6DA3"/>
    <w:rsid w:val="004F6FB3"/>
    <w:rsid w:val="0050040F"/>
    <w:rsid w:val="00503D97"/>
    <w:rsid w:val="00505332"/>
    <w:rsid w:val="00505DD9"/>
    <w:rsid w:val="005064FA"/>
    <w:rsid w:val="00507FFA"/>
    <w:rsid w:val="00511FF7"/>
    <w:rsid w:val="0051541B"/>
    <w:rsid w:val="00517A4D"/>
    <w:rsid w:val="005204D2"/>
    <w:rsid w:val="0052090E"/>
    <w:rsid w:val="00520D5E"/>
    <w:rsid w:val="00521D5A"/>
    <w:rsid w:val="00524EA2"/>
    <w:rsid w:val="00531939"/>
    <w:rsid w:val="005320FF"/>
    <w:rsid w:val="005345AC"/>
    <w:rsid w:val="00535139"/>
    <w:rsid w:val="00535542"/>
    <w:rsid w:val="00536155"/>
    <w:rsid w:val="005370A9"/>
    <w:rsid w:val="00537235"/>
    <w:rsid w:val="00540B6B"/>
    <w:rsid w:val="00541AB1"/>
    <w:rsid w:val="00544119"/>
    <w:rsid w:val="005443A8"/>
    <w:rsid w:val="00545A77"/>
    <w:rsid w:val="005517AD"/>
    <w:rsid w:val="00553B7A"/>
    <w:rsid w:val="00554426"/>
    <w:rsid w:val="00554583"/>
    <w:rsid w:val="00555BFF"/>
    <w:rsid w:val="005578C4"/>
    <w:rsid w:val="005622B5"/>
    <w:rsid w:val="00562F17"/>
    <w:rsid w:val="00564AB7"/>
    <w:rsid w:val="00566AA3"/>
    <w:rsid w:val="00566F8D"/>
    <w:rsid w:val="00571545"/>
    <w:rsid w:val="005718C7"/>
    <w:rsid w:val="00572497"/>
    <w:rsid w:val="00572692"/>
    <w:rsid w:val="005737CF"/>
    <w:rsid w:val="00573BEF"/>
    <w:rsid w:val="00573D38"/>
    <w:rsid w:val="0057489F"/>
    <w:rsid w:val="00575A52"/>
    <w:rsid w:val="0057628B"/>
    <w:rsid w:val="00577DEB"/>
    <w:rsid w:val="00580811"/>
    <w:rsid w:val="005822C0"/>
    <w:rsid w:val="00582A4A"/>
    <w:rsid w:val="00582E16"/>
    <w:rsid w:val="00584D56"/>
    <w:rsid w:val="0058559A"/>
    <w:rsid w:val="00586A65"/>
    <w:rsid w:val="00592EC9"/>
    <w:rsid w:val="005933B7"/>
    <w:rsid w:val="00595774"/>
    <w:rsid w:val="005959BE"/>
    <w:rsid w:val="00596458"/>
    <w:rsid w:val="00597AE9"/>
    <w:rsid w:val="005A0698"/>
    <w:rsid w:val="005A0C26"/>
    <w:rsid w:val="005A1BCC"/>
    <w:rsid w:val="005A3551"/>
    <w:rsid w:val="005A3ED3"/>
    <w:rsid w:val="005A3F25"/>
    <w:rsid w:val="005A6B13"/>
    <w:rsid w:val="005B2543"/>
    <w:rsid w:val="005B260B"/>
    <w:rsid w:val="005B2DC8"/>
    <w:rsid w:val="005B50CC"/>
    <w:rsid w:val="005B5154"/>
    <w:rsid w:val="005B77A1"/>
    <w:rsid w:val="005C19D5"/>
    <w:rsid w:val="005C1A03"/>
    <w:rsid w:val="005C5105"/>
    <w:rsid w:val="005C5776"/>
    <w:rsid w:val="005C6AA4"/>
    <w:rsid w:val="005C72DA"/>
    <w:rsid w:val="005D089E"/>
    <w:rsid w:val="005D0C00"/>
    <w:rsid w:val="005D1936"/>
    <w:rsid w:val="005D33ED"/>
    <w:rsid w:val="005D38CF"/>
    <w:rsid w:val="005D412A"/>
    <w:rsid w:val="005D4A77"/>
    <w:rsid w:val="005D4FBD"/>
    <w:rsid w:val="005E0FFA"/>
    <w:rsid w:val="005E1315"/>
    <w:rsid w:val="005E18FF"/>
    <w:rsid w:val="005E3723"/>
    <w:rsid w:val="005E3819"/>
    <w:rsid w:val="005E43FF"/>
    <w:rsid w:val="005E450E"/>
    <w:rsid w:val="005E7B86"/>
    <w:rsid w:val="005F009F"/>
    <w:rsid w:val="005F143F"/>
    <w:rsid w:val="005F1F7E"/>
    <w:rsid w:val="005F2AC7"/>
    <w:rsid w:val="005F3A97"/>
    <w:rsid w:val="005F5ACA"/>
    <w:rsid w:val="005F67C6"/>
    <w:rsid w:val="006000C7"/>
    <w:rsid w:val="00600CAA"/>
    <w:rsid w:val="00603047"/>
    <w:rsid w:val="006046D3"/>
    <w:rsid w:val="00607070"/>
    <w:rsid w:val="0060792C"/>
    <w:rsid w:val="00610C01"/>
    <w:rsid w:val="00612182"/>
    <w:rsid w:val="00612EBE"/>
    <w:rsid w:val="00617055"/>
    <w:rsid w:val="00621887"/>
    <w:rsid w:val="0062312F"/>
    <w:rsid w:val="00623696"/>
    <w:rsid w:val="00624B05"/>
    <w:rsid w:val="00624D76"/>
    <w:rsid w:val="00625B6C"/>
    <w:rsid w:val="00626AD9"/>
    <w:rsid w:val="00627686"/>
    <w:rsid w:val="006279B4"/>
    <w:rsid w:val="00627BE2"/>
    <w:rsid w:val="00627FF7"/>
    <w:rsid w:val="006303DF"/>
    <w:rsid w:val="00630431"/>
    <w:rsid w:val="00630816"/>
    <w:rsid w:val="00630C92"/>
    <w:rsid w:val="00630D8B"/>
    <w:rsid w:val="00631CEB"/>
    <w:rsid w:val="00632B98"/>
    <w:rsid w:val="00633A0A"/>
    <w:rsid w:val="00634FF4"/>
    <w:rsid w:val="00636937"/>
    <w:rsid w:val="00636E20"/>
    <w:rsid w:val="00637C54"/>
    <w:rsid w:val="006401C0"/>
    <w:rsid w:val="00641132"/>
    <w:rsid w:val="006429C1"/>
    <w:rsid w:val="00647106"/>
    <w:rsid w:val="0064799B"/>
    <w:rsid w:val="00650309"/>
    <w:rsid w:val="0065049E"/>
    <w:rsid w:val="00650AB9"/>
    <w:rsid w:val="006520D3"/>
    <w:rsid w:val="00652276"/>
    <w:rsid w:val="00652D2A"/>
    <w:rsid w:val="006536EA"/>
    <w:rsid w:val="00654AB4"/>
    <w:rsid w:val="006551A5"/>
    <w:rsid w:val="00661AA8"/>
    <w:rsid w:val="00663E1D"/>
    <w:rsid w:val="00667087"/>
    <w:rsid w:val="00670636"/>
    <w:rsid w:val="006729EC"/>
    <w:rsid w:val="00676913"/>
    <w:rsid w:val="00680A90"/>
    <w:rsid w:val="006828F1"/>
    <w:rsid w:val="00683D41"/>
    <w:rsid w:val="00684E68"/>
    <w:rsid w:val="0068521A"/>
    <w:rsid w:val="00686774"/>
    <w:rsid w:val="00686B5A"/>
    <w:rsid w:val="00687966"/>
    <w:rsid w:val="00687D8A"/>
    <w:rsid w:val="00692FD2"/>
    <w:rsid w:val="0069335E"/>
    <w:rsid w:val="006933D7"/>
    <w:rsid w:val="0069349F"/>
    <w:rsid w:val="00693D95"/>
    <w:rsid w:val="006949B3"/>
    <w:rsid w:val="00694A7E"/>
    <w:rsid w:val="00694FDB"/>
    <w:rsid w:val="006A108F"/>
    <w:rsid w:val="006A112E"/>
    <w:rsid w:val="006A2446"/>
    <w:rsid w:val="006A434D"/>
    <w:rsid w:val="006A45CF"/>
    <w:rsid w:val="006A4967"/>
    <w:rsid w:val="006A53FF"/>
    <w:rsid w:val="006A703C"/>
    <w:rsid w:val="006A738E"/>
    <w:rsid w:val="006B0C84"/>
    <w:rsid w:val="006B194D"/>
    <w:rsid w:val="006B236E"/>
    <w:rsid w:val="006B2BDC"/>
    <w:rsid w:val="006B2F2F"/>
    <w:rsid w:val="006B4284"/>
    <w:rsid w:val="006B49C0"/>
    <w:rsid w:val="006B4E71"/>
    <w:rsid w:val="006B6205"/>
    <w:rsid w:val="006B6D86"/>
    <w:rsid w:val="006B6ECF"/>
    <w:rsid w:val="006B7072"/>
    <w:rsid w:val="006C005C"/>
    <w:rsid w:val="006C113E"/>
    <w:rsid w:val="006C27B4"/>
    <w:rsid w:val="006C3707"/>
    <w:rsid w:val="006C3D83"/>
    <w:rsid w:val="006C3FCE"/>
    <w:rsid w:val="006C40B0"/>
    <w:rsid w:val="006C433E"/>
    <w:rsid w:val="006C5359"/>
    <w:rsid w:val="006C5B2D"/>
    <w:rsid w:val="006C674B"/>
    <w:rsid w:val="006D030B"/>
    <w:rsid w:val="006D088E"/>
    <w:rsid w:val="006D10F0"/>
    <w:rsid w:val="006D197C"/>
    <w:rsid w:val="006D3711"/>
    <w:rsid w:val="006D3AB4"/>
    <w:rsid w:val="006D56C5"/>
    <w:rsid w:val="006D6D8D"/>
    <w:rsid w:val="006E01EF"/>
    <w:rsid w:val="006E079A"/>
    <w:rsid w:val="006E1622"/>
    <w:rsid w:val="006E1FAA"/>
    <w:rsid w:val="006E29FB"/>
    <w:rsid w:val="006E5F28"/>
    <w:rsid w:val="006F0A4A"/>
    <w:rsid w:val="006F1619"/>
    <w:rsid w:val="006F166B"/>
    <w:rsid w:val="006F17D4"/>
    <w:rsid w:val="006F37EF"/>
    <w:rsid w:val="006F464D"/>
    <w:rsid w:val="006F59B8"/>
    <w:rsid w:val="006F5DDA"/>
    <w:rsid w:val="007018AF"/>
    <w:rsid w:val="00701BC1"/>
    <w:rsid w:val="007022AD"/>
    <w:rsid w:val="007023F1"/>
    <w:rsid w:val="00702DE3"/>
    <w:rsid w:val="00703246"/>
    <w:rsid w:val="0070386B"/>
    <w:rsid w:val="0070435A"/>
    <w:rsid w:val="00704BFB"/>
    <w:rsid w:val="00704C4F"/>
    <w:rsid w:val="0070691C"/>
    <w:rsid w:val="00706D96"/>
    <w:rsid w:val="00707419"/>
    <w:rsid w:val="00710FBE"/>
    <w:rsid w:val="0071192B"/>
    <w:rsid w:val="007121ED"/>
    <w:rsid w:val="007133AA"/>
    <w:rsid w:val="00713FD0"/>
    <w:rsid w:val="0071599D"/>
    <w:rsid w:val="00723398"/>
    <w:rsid w:val="00725481"/>
    <w:rsid w:val="00725A2A"/>
    <w:rsid w:val="00726A6D"/>
    <w:rsid w:val="0073183C"/>
    <w:rsid w:val="0073285B"/>
    <w:rsid w:val="0073527E"/>
    <w:rsid w:val="007370D7"/>
    <w:rsid w:val="00737D2C"/>
    <w:rsid w:val="00737DD1"/>
    <w:rsid w:val="00740291"/>
    <w:rsid w:val="00740320"/>
    <w:rsid w:val="007415DD"/>
    <w:rsid w:val="00743A20"/>
    <w:rsid w:val="0074403E"/>
    <w:rsid w:val="00744BFB"/>
    <w:rsid w:val="00744F75"/>
    <w:rsid w:val="007457E2"/>
    <w:rsid w:val="00746023"/>
    <w:rsid w:val="00747DC8"/>
    <w:rsid w:val="00747FA1"/>
    <w:rsid w:val="00750BE1"/>
    <w:rsid w:val="00750C70"/>
    <w:rsid w:val="00752821"/>
    <w:rsid w:val="007558BA"/>
    <w:rsid w:val="00756F4F"/>
    <w:rsid w:val="00757223"/>
    <w:rsid w:val="007574E9"/>
    <w:rsid w:val="007626CD"/>
    <w:rsid w:val="00763AB0"/>
    <w:rsid w:val="00763B72"/>
    <w:rsid w:val="00763F63"/>
    <w:rsid w:val="0076493B"/>
    <w:rsid w:val="007649A1"/>
    <w:rsid w:val="00764D2F"/>
    <w:rsid w:val="00765A5C"/>
    <w:rsid w:val="00767168"/>
    <w:rsid w:val="007703BB"/>
    <w:rsid w:val="0077075A"/>
    <w:rsid w:val="00771CB2"/>
    <w:rsid w:val="00772949"/>
    <w:rsid w:val="00774198"/>
    <w:rsid w:val="00776100"/>
    <w:rsid w:val="007806BB"/>
    <w:rsid w:val="00783559"/>
    <w:rsid w:val="0078355C"/>
    <w:rsid w:val="00783CD4"/>
    <w:rsid w:val="007840A3"/>
    <w:rsid w:val="00784767"/>
    <w:rsid w:val="00785B09"/>
    <w:rsid w:val="007863BD"/>
    <w:rsid w:val="00786669"/>
    <w:rsid w:val="00791DF7"/>
    <w:rsid w:val="007923D8"/>
    <w:rsid w:val="0079372B"/>
    <w:rsid w:val="007938DF"/>
    <w:rsid w:val="00794A4A"/>
    <w:rsid w:val="0079656C"/>
    <w:rsid w:val="007A0AF6"/>
    <w:rsid w:val="007A129A"/>
    <w:rsid w:val="007A15CD"/>
    <w:rsid w:val="007A462D"/>
    <w:rsid w:val="007A48E2"/>
    <w:rsid w:val="007A5069"/>
    <w:rsid w:val="007A5BAD"/>
    <w:rsid w:val="007A6359"/>
    <w:rsid w:val="007A7C45"/>
    <w:rsid w:val="007B062A"/>
    <w:rsid w:val="007B49B1"/>
    <w:rsid w:val="007B4B1D"/>
    <w:rsid w:val="007B6F26"/>
    <w:rsid w:val="007C1C73"/>
    <w:rsid w:val="007C2E38"/>
    <w:rsid w:val="007C3527"/>
    <w:rsid w:val="007C4ED1"/>
    <w:rsid w:val="007C59C8"/>
    <w:rsid w:val="007C744B"/>
    <w:rsid w:val="007C7CE1"/>
    <w:rsid w:val="007D0821"/>
    <w:rsid w:val="007D1687"/>
    <w:rsid w:val="007D1EE1"/>
    <w:rsid w:val="007D3C04"/>
    <w:rsid w:val="007D45A2"/>
    <w:rsid w:val="007D6797"/>
    <w:rsid w:val="007D6B4E"/>
    <w:rsid w:val="007D6BD3"/>
    <w:rsid w:val="007D6D70"/>
    <w:rsid w:val="007D78EB"/>
    <w:rsid w:val="007E1047"/>
    <w:rsid w:val="007E206A"/>
    <w:rsid w:val="007E42CA"/>
    <w:rsid w:val="007E5B0E"/>
    <w:rsid w:val="007E62BD"/>
    <w:rsid w:val="007F0D0C"/>
    <w:rsid w:val="007F171E"/>
    <w:rsid w:val="007F2431"/>
    <w:rsid w:val="007F3F8F"/>
    <w:rsid w:val="007F50C5"/>
    <w:rsid w:val="00800AF6"/>
    <w:rsid w:val="00801B3A"/>
    <w:rsid w:val="00802455"/>
    <w:rsid w:val="00802E28"/>
    <w:rsid w:val="00803341"/>
    <w:rsid w:val="00804C7C"/>
    <w:rsid w:val="0080694E"/>
    <w:rsid w:val="00810823"/>
    <w:rsid w:val="008140A9"/>
    <w:rsid w:val="00814743"/>
    <w:rsid w:val="00814809"/>
    <w:rsid w:val="008165D8"/>
    <w:rsid w:val="00816E85"/>
    <w:rsid w:val="00820CF7"/>
    <w:rsid w:val="00821800"/>
    <w:rsid w:val="00822CAD"/>
    <w:rsid w:val="00822CE1"/>
    <w:rsid w:val="00823F74"/>
    <w:rsid w:val="0082564D"/>
    <w:rsid w:val="008263D7"/>
    <w:rsid w:val="00827F62"/>
    <w:rsid w:val="00831312"/>
    <w:rsid w:val="00831C38"/>
    <w:rsid w:val="00832738"/>
    <w:rsid w:val="0083287E"/>
    <w:rsid w:val="00832E94"/>
    <w:rsid w:val="0084007F"/>
    <w:rsid w:val="00840096"/>
    <w:rsid w:val="00840BE5"/>
    <w:rsid w:val="00843A0F"/>
    <w:rsid w:val="00843DB2"/>
    <w:rsid w:val="00847093"/>
    <w:rsid w:val="00850682"/>
    <w:rsid w:val="00851FEF"/>
    <w:rsid w:val="0085341F"/>
    <w:rsid w:val="008535CD"/>
    <w:rsid w:val="008544AD"/>
    <w:rsid w:val="00857FE7"/>
    <w:rsid w:val="0086002D"/>
    <w:rsid w:val="00860505"/>
    <w:rsid w:val="00860F38"/>
    <w:rsid w:val="0086378C"/>
    <w:rsid w:val="00863F23"/>
    <w:rsid w:val="00864CF1"/>
    <w:rsid w:val="008653DC"/>
    <w:rsid w:val="00867B2F"/>
    <w:rsid w:val="0087415D"/>
    <w:rsid w:val="00874C80"/>
    <w:rsid w:val="00875784"/>
    <w:rsid w:val="00875A62"/>
    <w:rsid w:val="00876158"/>
    <w:rsid w:val="00876BE1"/>
    <w:rsid w:val="00877666"/>
    <w:rsid w:val="00877756"/>
    <w:rsid w:val="00880DC7"/>
    <w:rsid w:val="00882464"/>
    <w:rsid w:val="008828C4"/>
    <w:rsid w:val="00883337"/>
    <w:rsid w:val="00883789"/>
    <w:rsid w:val="008839EA"/>
    <w:rsid w:val="008843A5"/>
    <w:rsid w:val="00884C00"/>
    <w:rsid w:val="0088525F"/>
    <w:rsid w:val="008853C9"/>
    <w:rsid w:val="00886B05"/>
    <w:rsid w:val="00886CBD"/>
    <w:rsid w:val="00890ADF"/>
    <w:rsid w:val="008910DF"/>
    <w:rsid w:val="00891B48"/>
    <w:rsid w:val="0089221D"/>
    <w:rsid w:val="008922DC"/>
    <w:rsid w:val="00892E11"/>
    <w:rsid w:val="00893485"/>
    <w:rsid w:val="00895F5F"/>
    <w:rsid w:val="0089641A"/>
    <w:rsid w:val="00896879"/>
    <w:rsid w:val="00896E19"/>
    <w:rsid w:val="008971C2"/>
    <w:rsid w:val="008A02BD"/>
    <w:rsid w:val="008A0C57"/>
    <w:rsid w:val="008A1AE4"/>
    <w:rsid w:val="008A265E"/>
    <w:rsid w:val="008A29E1"/>
    <w:rsid w:val="008A3024"/>
    <w:rsid w:val="008A38EC"/>
    <w:rsid w:val="008A50F6"/>
    <w:rsid w:val="008A57CB"/>
    <w:rsid w:val="008A64D0"/>
    <w:rsid w:val="008A6544"/>
    <w:rsid w:val="008A6CB5"/>
    <w:rsid w:val="008B0579"/>
    <w:rsid w:val="008B1185"/>
    <w:rsid w:val="008B3992"/>
    <w:rsid w:val="008B44B3"/>
    <w:rsid w:val="008B483E"/>
    <w:rsid w:val="008B58AD"/>
    <w:rsid w:val="008B6172"/>
    <w:rsid w:val="008B6304"/>
    <w:rsid w:val="008B7822"/>
    <w:rsid w:val="008C114F"/>
    <w:rsid w:val="008C2CFA"/>
    <w:rsid w:val="008C5125"/>
    <w:rsid w:val="008C548C"/>
    <w:rsid w:val="008C6F92"/>
    <w:rsid w:val="008D27A9"/>
    <w:rsid w:val="008D3322"/>
    <w:rsid w:val="008D405C"/>
    <w:rsid w:val="008D5780"/>
    <w:rsid w:val="008D641B"/>
    <w:rsid w:val="008D78F2"/>
    <w:rsid w:val="008E3C03"/>
    <w:rsid w:val="008E4653"/>
    <w:rsid w:val="008E4A10"/>
    <w:rsid w:val="008E53A1"/>
    <w:rsid w:val="008E54CF"/>
    <w:rsid w:val="008E6539"/>
    <w:rsid w:val="008F0DE1"/>
    <w:rsid w:val="008F0F2E"/>
    <w:rsid w:val="008F29E5"/>
    <w:rsid w:val="008F4802"/>
    <w:rsid w:val="008F4FDF"/>
    <w:rsid w:val="009002BC"/>
    <w:rsid w:val="00900FBE"/>
    <w:rsid w:val="009018B4"/>
    <w:rsid w:val="00902224"/>
    <w:rsid w:val="00902392"/>
    <w:rsid w:val="00904F9A"/>
    <w:rsid w:val="009076E9"/>
    <w:rsid w:val="00907E6F"/>
    <w:rsid w:val="00910D99"/>
    <w:rsid w:val="00911F55"/>
    <w:rsid w:val="00914023"/>
    <w:rsid w:val="009142A6"/>
    <w:rsid w:val="009152CD"/>
    <w:rsid w:val="00916604"/>
    <w:rsid w:val="009203F5"/>
    <w:rsid w:val="00920B2B"/>
    <w:rsid w:val="00920BD1"/>
    <w:rsid w:val="009247DE"/>
    <w:rsid w:val="00926459"/>
    <w:rsid w:val="00926CFD"/>
    <w:rsid w:val="00927DDA"/>
    <w:rsid w:val="00930C84"/>
    <w:rsid w:val="00931CAC"/>
    <w:rsid w:val="009335A8"/>
    <w:rsid w:val="009341C6"/>
    <w:rsid w:val="00934B10"/>
    <w:rsid w:val="009358D1"/>
    <w:rsid w:val="0094033E"/>
    <w:rsid w:val="0094064A"/>
    <w:rsid w:val="00941109"/>
    <w:rsid w:val="009413B6"/>
    <w:rsid w:val="00942529"/>
    <w:rsid w:val="00943003"/>
    <w:rsid w:val="009430C6"/>
    <w:rsid w:val="00943143"/>
    <w:rsid w:val="009431B7"/>
    <w:rsid w:val="00945126"/>
    <w:rsid w:val="0094626D"/>
    <w:rsid w:val="00947473"/>
    <w:rsid w:val="00947AC1"/>
    <w:rsid w:val="009501BC"/>
    <w:rsid w:val="00951730"/>
    <w:rsid w:val="00952B8F"/>
    <w:rsid w:val="00953C50"/>
    <w:rsid w:val="009612E7"/>
    <w:rsid w:val="00965B17"/>
    <w:rsid w:val="00966585"/>
    <w:rsid w:val="00966CB5"/>
    <w:rsid w:val="009715D5"/>
    <w:rsid w:val="00971703"/>
    <w:rsid w:val="0097179C"/>
    <w:rsid w:val="0097281E"/>
    <w:rsid w:val="00973993"/>
    <w:rsid w:val="00973EDF"/>
    <w:rsid w:val="00975350"/>
    <w:rsid w:val="009756EC"/>
    <w:rsid w:val="00976091"/>
    <w:rsid w:val="00976870"/>
    <w:rsid w:val="00977FEE"/>
    <w:rsid w:val="009804AB"/>
    <w:rsid w:val="00980A93"/>
    <w:rsid w:val="00983EE0"/>
    <w:rsid w:val="00984DF0"/>
    <w:rsid w:val="00986EB2"/>
    <w:rsid w:val="00987436"/>
    <w:rsid w:val="00991794"/>
    <w:rsid w:val="00991C69"/>
    <w:rsid w:val="00992835"/>
    <w:rsid w:val="00994333"/>
    <w:rsid w:val="00994731"/>
    <w:rsid w:val="00995EF5"/>
    <w:rsid w:val="0099654F"/>
    <w:rsid w:val="00997D70"/>
    <w:rsid w:val="00997F73"/>
    <w:rsid w:val="009A1197"/>
    <w:rsid w:val="009A2415"/>
    <w:rsid w:val="009A2EFD"/>
    <w:rsid w:val="009A33BE"/>
    <w:rsid w:val="009A5798"/>
    <w:rsid w:val="009A6C7E"/>
    <w:rsid w:val="009B1E86"/>
    <w:rsid w:val="009B2B50"/>
    <w:rsid w:val="009B3010"/>
    <w:rsid w:val="009B4B90"/>
    <w:rsid w:val="009B5295"/>
    <w:rsid w:val="009B60C6"/>
    <w:rsid w:val="009B62FE"/>
    <w:rsid w:val="009B67C3"/>
    <w:rsid w:val="009B6B4D"/>
    <w:rsid w:val="009B7D51"/>
    <w:rsid w:val="009C021B"/>
    <w:rsid w:val="009C048F"/>
    <w:rsid w:val="009C2456"/>
    <w:rsid w:val="009C254E"/>
    <w:rsid w:val="009C2713"/>
    <w:rsid w:val="009C4713"/>
    <w:rsid w:val="009C4EA9"/>
    <w:rsid w:val="009C6CA6"/>
    <w:rsid w:val="009D1720"/>
    <w:rsid w:val="009D25C9"/>
    <w:rsid w:val="009D5894"/>
    <w:rsid w:val="009D6418"/>
    <w:rsid w:val="009D6B66"/>
    <w:rsid w:val="009D726E"/>
    <w:rsid w:val="009E059B"/>
    <w:rsid w:val="009E05A1"/>
    <w:rsid w:val="009E072D"/>
    <w:rsid w:val="009E0EEE"/>
    <w:rsid w:val="009E115F"/>
    <w:rsid w:val="009E2226"/>
    <w:rsid w:val="009E3940"/>
    <w:rsid w:val="009E40CB"/>
    <w:rsid w:val="009E434E"/>
    <w:rsid w:val="009E4B3A"/>
    <w:rsid w:val="009E5956"/>
    <w:rsid w:val="009E7B70"/>
    <w:rsid w:val="009F0A5D"/>
    <w:rsid w:val="009F0E78"/>
    <w:rsid w:val="009F1690"/>
    <w:rsid w:val="009F23A0"/>
    <w:rsid w:val="00A017F3"/>
    <w:rsid w:val="00A02149"/>
    <w:rsid w:val="00A0227B"/>
    <w:rsid w:val="00A023B7"/>
    <w:rsid w:val="00A033F0"/>
    <w:rsid w:val="00A064D9"/>
    <w:rsid w:val="00A0712C"/>
    <w:rsid w:val="00A10BBB"/>
    <w:rsid w:val="00A10CDC"/>
    <w:rsid w:val="00A123C2"/>
    <w:rsid w:val="00A14924"/>
    <w:rsid w:val="00A161DF"/>
    <w:rsid w:val="00A16E65"/>
    <w:rsid w:val="00A16EE2"/>
    <w:rsid w:val="00A17267"/>
    <w:rsid w:val="00A179F4"/>
    <w:rsid w:val="00A17A30"/>
    <w:rsid w:val="00A209B7"/>
    <w:rsid w:val="00A2131C"/>
    <w:rsid w:val="00A24121"/>
    <w:rsid w:val="00A2494A"/>
    <w:rsid w:val="00A25021"/>
    <w:rsid w:val="00A27135"/>
    <w:rsid w:val="00A30904"/>
    <w:rsid w:val="00A337DC"/>
    <w:rsid w:val="00A3685B"/>
    <w:rsid w:val="00A402FC"/>
    <w:rsid w:val="00A40645"/>
    <w:rsid w:val="00A40D20"/>
    <w:rsid w:val="00A418F6"/>
    <w:rsid w:val="00A42999"/>
    <w:rsid w:val="00A42A65"/>
    <w:rsid w:val="00A45955"/>
    <w:rsid w:val="00A47826"/>
    <w:rsid w:val="00A478C3"/>
    <w:rsid w:val="00A50D12"/>
    <w:rsid w:val="00A5319A"/>
    <w:rsid w:val="00A54378"/>
    <w:rsid w:val="00A55401"/>
    <w:rsid w:val="00A55F97"/>
    <w:rsid w:val="00A57541"/>
    <w:rsid w:val="00A5768C"/>
    <w:rsid w:val="00A6018C"/>
    <w:rsid w:val="00A60859"/>
    <w:rsid w:val="00A609F5"/>
    <w:rsid w:val="00A61052"/>
    <w:rsid w:val="00A616BD"/>
    <w:rsid w:val="00A619DC"/>
    <w:rsid w:val="00A629E0"/>
    <w:rsid w:val="00A62B9B"/>
    <w:rsid w:val="00A665F8"/>
    <w:rsid w:val="00A67A2B"/>
    <w:rsid w:val="00A67C3C"/>
    <w:rsid w:val="00A71BC2"/>
    <w:rsid w:val="00A7425B"/>
    <w:rsid w:val="00A74610"/>
    <w:rsid w:val="00A74B84"/>
    <w:rsid w:val="00A76784"/>
    <w:rsid w:val="00A81014"/>
    <w:rsid w:val="00A81331"/>
    <w:rsid w:val="00A833DD"/>
    <w:rsid w:val="00A83676"/>
    <w:rsid w:val="00A83C59"/>
    <w:rsid w:val="00A8599B"/>
    <w:rsid w:val="00A85ADE"/>
    <w:rsid w:val="00A90B3C"/>
    <w:rsid w:val="00A91414"/>
    <w:rsid w:val="00A91AFB"/>
    <w:rsid w:val="00A92E36"/>
    <w:rsid w:val="00A94F2D"/>
    <w:rsid w:val="00A95641"/>
    <w:rsid w:val="00A969D3"/>
    <w:rsid w:val="00AA00FC"/>
    <w:rsid w:val="00AA01C7"/>
    <w:rsid w:val="00AA0857"/>
    <w:rsid w:val="00AA103B"/>
    <w:rsid w:val="00AA378E"/>
    <w:rsid w:val="00AA380C"/>
    <w:rsid w:val="00AA4F07"/>
    <w:rsid w:val="00AA556F"/>
    <w:rsid w:val="00AA617C"/>
    <w:rsid w:val="00AA62B2"/>
    <w:rsid w:val="00AA6397"/>
    <w:rsid w:val="00AA67F1"/>
    <w:rsid w:val="00AA7164"/>
    <w:rsid w:val="00AA71B6"/>
    <w:rsid w:val="00AA767D"/>
    <w:rsid w:val="00AB04E7"/>
    <w:rsid w:val="00AB0961"/>
    <w:rsid w:val="00AB234D"/>
    <w:rsid w:val="00AB25E0"/>
    <w:rsid w:val="00AB6640"/>
    <w:rsid w:val="00AB6BA7"/>
    <w:rsid w:val="00AB784B"/>
    <w:rsid w:val="00AB7FD0"/>
    <w:rsid w:val="00AC048B"/>
    <w:rsid w:val="00AC3489"/>
    <w:rsid w:val="00AC3CB8"/>
    <w:rsid w:val="00AC54AF"/>
    <w:rsid w:val="00AC63DA"/>
    <w:rsid w:val="00AC7AD1"/>
    <w:rsid w:val="00AD0103"/>
    <w:rsid w:val="00AD0A43"/>
    <w:rsid w:val="00AD0C0C"/>
    <w:rsid w:val="00AD16DD"/>
    <w:rsid w:val="00AD1B26"/>
    <w:rsid w:val="00AD2247"/>
    <w:rsid w:val="00AD3379"/>
    <w:rsid w:val="00AD392F"/>
    <w:rsid w:val="00AD4CB9"/>
    <w:rsid w:val="00AD4F33"/>
    <w:rsid w:val="00AD5AC8"/>
    <w:rsid w:val="00AD5D36"/>
    <w:rsid w:val="00AD6939"/>
    <w:rsid w:val="00AD779B"/>
    <w:rsid w:val="00AD799C"/>
    <w:rsid w:val="00AE1670"/>
    <w:rsid w:val="00AE1AB8"/>
    <w:rsid w:val="00AE28AB"/>
    <w:rsid w:val="00AE3AA7"/>
    <w:rsid w:val="00AE4126"/>
    <w:rsid w:val="00AE5FFF"/>
    <w:rsid w:val="00AF09BF"/>
    <w:rsid w:val="00AF1D89"/>
    <w:rsid w:val="00AF2829"/>
    <w:rsid w:val="00AF2AF0"/>
    <w:rsid w:val="00AF2CBB"/>
    <w:rsid w:val="00AF4952"/>
    <w:rsid w:val="00AF5284"/>
    <w:rsid w:val="00AF5C24"/>
    <w:rsid w:val="00AF6117"/>
    <w:rsid w:val="00AF672A"/>
    <w:rsid w:val="00AF692C"/>
    <w:rsid w:val="00AF705D"/>
    <w:rsid w:val="00B013E9"/>
    <w:rsid w:val="00B015A4"/>
    <w:rsid w:val="00B01A3D"/>
    <w:rsid w:val="00B0278C"/>
    <w:rsid w:val="00B02868"/>
    <w:rsid w:val="00B037E6"/>
    <w:rsid w:val="00B049FE"/>
    <w:rsid w:val="00B0669B"/>
    <w:rsid w:val="00B07475"/>
    <w:rsid w:val="00B07BCF"/>
    <w:rsid w:val="00B120B7"/>
    <w:rsid w:val="00B12BC9"/>
    <w:rsid w:val="00B13637"/>
    <w:rsid w:val="00B144C4"/>
    <w:rsid w:val="00B15672"/>
    <w:rsid w:val="00B16187"/>
    <w:rsid w:val="00B20988"/>
    <w:rsid w:val="00B20E40"/>
    <w:rsid w:val="00B20FE4"/>
    <w:rsid w:val="00B21390"/>
    <w:rsid w:val="00B21E77"/>
    <w:rsid w:val="00B22CDD"/>
    <w:rsid w:val="00B2539E"/>
    <w:rsid w:val="00B269AA"/>
    <w:rsid w:val="00B26EDA"/>
    <w:rsid w:val="00B27276"/>
    <w:rsid w:val="00B27B75"/>
    <w:rsid w:val="00B32AC6"/>
    <w:rsid w:val="00B332A3"/>
    <w:rsid w:val="00B340F3"/>
    <w:rsid w:val="00B341DD"/>
    <w:rsid w:val="00B34C63"/>
    <w:rsid w:val="00B351C8"/>
    <w:rsid w:val="00B37431"/>
    <w:rsid w:val="00B37717"/>
    <w:rsid w:val="00B408AC"/>
    <w:rsid w:val="00B40AC4"/>
    <w:rsid w:val="00B41E5C"/>
    <w:rsid w:val="00B44765"/>
    <w:rsid w:val="00B4480E"/>
    <w:rsid w:val="00B4492F"/>
    <w:rsid w:val="00B45623"/>
    <w:rsid w:val="00B4577C"/>
    <w:rsid w:val="00B458ED"/>
    <w:rsid w:val="00B46213"/>
    <w:rsid w:val="00B51F5C"/>
    <w:rsid w:val="00B52DB8"/>
    <w:rsid w:val="00B538D5"/>
    <w:rsid w:val="00B53E55"/>
    <w:rsid w:val="00B54D60"/>
    <w:rsid w:val="00B55541"/>
    <w:rsid w:val="00B56CB6"/>
    <w:rsid w:val="00B5769C"/>
    <w:rsid w:val="00B62E35"/>
    <w:rsid w:val="00B62E9C"/>
    <w:rsid w:val="00B6414F"/>
    <w:rsid w:val="00B6497A"/>
    <w:rsid w:val="00B65B93"/>
    <w:rsid w:val="00B66DAB"/>
    <w:rsid w:val="00B67306"/>
    <w:rsid w:val="00B674F3"/>
    <w:rsid w:val="00B676C5"/>
    <w:rsid w:val="00B67C3B"/>
    <w:rsid w:val="00B67D60"/>
    <w:rsid w:val="00B70BB5"/>
    <w:rsid w:val="00B71AA4"/>
    <w:rsid w:val="00B73DC6"/>
    <w:rsid w:val="00B7499C"/>
    <w:rsid w:val="00B74A77"/>
    <w:rsid w:val="00B75E08"/>
    <w:rsid w:val="00B767C6"/>
    <w:rsid w:val="00B778EC"/>
    <w:rsid w:val="00B80F67"/>
    <w:rsid w:val="00B83E2C"/>
    <w:rsid w:val="00B8424E"/>
    <w:rsid w:val="00B852D5"/>
    <w:rsid w:val="00B85A23"/>
    <w:rsid w:val="00B9039F"/>
    <w:rsid w:val="00B91CE4"/>
    <w:rsid w:val="00B92FA2"/>
    <w:rsid w:val="00B949B5"/>
    <w:rsid w:val="00B95A34"/>
    <w:rsid w:val="00B95F85"/>
    <w:rsid w:val="00B961AE"/>
    <w:rsid w:val="00B972F2"/>
    <w:rsid w:val="00BA01DB"/>
    <w:rsid w:val="00BA16DD"/>
    <w:rsid w:val="00BA1EDA"/>
    <w:rsid w:val="00BA5AA9"/>
    <w:rsid w:val="00BA5FF7"/>
    <w:rsid w:val="00BB0AF3"/>
    <w:rsid w:val="00BB0E81"/>
    <w:rsid w:val="00BB130C"/>
    <w:rsid w:val="00BB2354"/>
    <w:rsid w:val="00BB2973"/>
    <w:rsid w:val="00BB305A"/>
    <w:rsid w:val="00BB38BA"/>
    <w:rsid w:val="00BB4FCA"/>
    <w:rsid w:val="00BB545A"/>
    <w:rsid w:val="00BB5765"/>
    <w:rsid w:val="00BB5BAB"/>
    <w:rsid w:val="00BB6F6E"/>
    <w:rsid w:val="00BC0148"/>
    <w:rsid w:val="00BC1A95"/>
    <w:rsid w:val="00BC26FB"/>
    <w:rsid w:val="00BC7511"/>
    <w:rsid w:val="00BC7BA4"/>
    <w:rsid w:val="00BD0F45"/>
    <w:rsid w:val="00BD13EC"/>
    <w:rsid w:val="00BD26E1"/>
    <w:rsid w:val="00BD28E7"/>
    <w:rsid w:val="00BD32E5"/>
    <w:rsid w:val="00BD3B7E"/>
    <w:rsid w:val="00BD4F7F"/>
    <w:rsid w:val="00BD5938"/>
    <w:rsid w:val="00BD5980"/>
    <w:rsid w:val="00BD65D4"/>
    <w:rsid w:val="00BE10DC"/>
    <w:rsid w:val="00BE155F"/>
    <w:rsid w:val="00BE1880"/>
    <w:rsid w:val="00BE2E97"/>
    <w:rsid w:val="00BE3392"/>
    <w:rsid w:val="00BE4C71"/>
    <w:rsid w:val="00BF0867"/>
    <w:rsid w:val="00BF0C43"/>
    <w:rsid w:val="00BF0F9D"/>
    <w:rsid w:val="00BF2228"/>
    <w:rsid w:val="00BF3A8C"/>
    <w:rsid w:val="00BF3CD4"/>
    <w:rsid w:val="00BF4273"/>
    <w:rsid w:val="00BF5716"/>
    <w:rsid w:val="00BF5C1D"/>
    <w:rsid w:val="00C00A80"/>
    <w:rsid w:val="00C012B2"/>
    <w:rsid w:val="00C01B3B"/>
    <w:rsid w:val="00C01E75"/>
    <w:rsid w:val="00C04B97"/>
    <w:rsid w:val="00C06E15"/>
    <w:rsid w:val="00C12273"/>
    <w:rsid w:val="00C12FCD"/>
    <w:rsid w:val="00C15A71"/>
    <w:rsid w:val="00C1603C"/>
    <w:rsid w:val="00C20D21"/>
    <w:rsid w:val="00C2158D"/>
    <w:rsid w:val="00C217F8"/>
    <w:rsid w:val="00C21951"/>
    <w:rsid w:val="00C21995"/>
    <w:rsid w:val="00C2233B"/>
    <w:rsid w:val="00C2285E"/>
    <w:rsid w:val="00C23834"/>
    <w:rsid w:val="00C23A08"/>
    <w:rsid w:val="00C23C9A"/>
    <w:rsid w:val="00C24BE9"/>
    <w:rsid w:val="00C25755"/>
    <w:rsid w:val="00C25E46"/>
    <w:rsid w:val="00C260AA"/>
    <w:rsid w:val="00C30A26"/>
    <w:rsid w:val="00C32116"/>
    <w:rsid w:val="00C32789"/>
    <w:rsid w:val="00C3354B"/>
    <w:rsid w:val="00C3495E"/>
    <w:rsid w:val="00C35AAE"/>
    <w:rsid w:val="00C36370"/>
    <w:rsid w:val="00C37B76"/>
    <w:rsid w:val="00C40EED"/>
    <w:rsid w:val="00C41428"/>
    <w:rsid w:val="00C42F62"/>
    <w:rsid w:val="00C44BD5"/>
    <w:rsid w:val="00C45B09"/>
    <w:rsid w:val="00C465AB"/>
    <w:rsid w:val="00C465C3"/>
    <w:rsid w:val="00C46E78"/>
    <w:rsid w:val="00C500C3"/>
    <w:rsid w:val="00C512B8"/>
    <w:rsid w:val="00C52156"/>
    <w:rsid w:val="00C53B75"/>
    <w:rsid w:val="00C56EC3"/>
    <w:rsid w:val="00C576C4"/>
    <w:rsid w:val="00C606EB"/>
    <w:rsid w:val="00C61020"/>
    <w:rsid w:val="00C611D1"/>
    <w:rsid w:val="00C61AD4"/>
    <w:rsid w:val="00C62029"/>
    <w:rsid w:val="00C6290D"/>
    <w:rsid w:val="00C6472B"/>
    <w:rsid w:val="00C67528"/>
    <w:rsid w:val="00C67987"/>
    <w:rsid w:val="00C701D0"/>
    <w:rsid w:val="00C73670"/>
    <w:rsid w:val="00C742B9"/>
    <w:rsid w:val="00C74352"/>
    <w:rsid w:val="00C75827"/>
    <w:rsid w:val="00C7586E"/>
    <w:rsid w:val="00C8213A"/>
    <w:rsid w:val="00C8273B"/>
    <w:rsid w:val="00C82AAC"/>
    <w:rsid w:val="00C83EE5"/>
    <w:rsid w:val="00C84171"/>
    <w:rsid w:val="00C8727B"/>
    <w:rsid w:val="00C875B9"/>
    <w:rsid w:val="00C87ACE"/>
    <w:rsid w:val="00C87D80"/>
    <w:rsid w:val="00C90AED"/>
    <w:rsid w:val="00C914E5"/>
    <w:rsid w:val="00C9225A"/>
    <w:rsid w:val="00C9283C"/>
    <w:rsid w:val="00C932F9"/>
    <w:rsid w:val="00C94B78"/>
    <w:rsid w:val="00C94E69"/>
    <w:rsid w:val="00C950C9"/>
    <w:rsid w:val="00C978FD"/>
    <w:rsid w:val="00CA10A3"/>
    <w:rsid w:val="00CA1712"/>
    <w:rsid w:val="00CA48AF"/>
    <w:rsid w:val="00CA57ED"/>
    <w:rsid w:val="00CA6143"/>
    <w:rsid w:val="00CA6553"/>
    <w:rsid w:val="00CB0A0E"/>
    <w:rsid w:val="00CB1A5B"/>
    <w:rsid w:val="00CB383B"/>
    <w:rsid w:val="00CB5754"/>
    <w:rsid w:val="00CB67DB"/>
    <w:rsid w:val="00CC088B"/>
    <w:rsid w:val="00CC0DFD"/>
    <w:rsid w:val="00CC10C2"/>
    <w:rsid w:val="00CC1A8B"/>
    <w:rsid w:val="00CC21DA"/>
    <w:rsid w:val="00CC267B"/>
    <w:rsid w:val="00CC41FB"/>
    <w:rsid w:val="00CC5876"/>
    <w:rsid w:val="00CD4291"/>
    <w:rsid w:val="00CD4EA6"/>
    <w:rsid w:val="00CD6553"/>
    <w:rsid w:val="00CD6C5F"/>
    <w:rsid w:val="00CD7C87"/>
    <w:rsid w:val="00CD7D8C"/>
    <w:rsid w:val="00CE0133"/>
    <w:rsid w:val="00CE1AAF"/>
    <w:rsid w:val="00CE4D7E"/>
    <w:rsid w:val="00CE507A"/>
    <w:rsid w:val="00CE6DFF"/>
    <w:rsid w:val="00CE6EAB"/>
    <w:rsid w:val="00CE7802"/>
    <w:rsid w:val="00CE7A7D"/>
    <w:rsid w:val="00CE7B60"/>
    <w:rsid w:val="00CF0E28"/>
    <w:rsid w:val="00CF0E47"/>
    <w:rsid w:val="00CF1B12"/>
    <w:rsid w:val="00CF5E8A"/>
    <w:rsid w:val="00CF6524"/>
    <w:rsid w:val="00CF791D"/>
    <w:rsid w:val="00D01296"/>
    <w:rsid w:val="00D01A1B"/>
    <w:rsid w:val="00D02EFA"/>
    <w:rsid w:val="00D04508"/>
    <w:rsid w:val="00D04A6C"/>
    <w:rsid w:val="00D0516F"/>
    <w:rsid w:val="00D05415"/>
    <w:rsid w:val="00D05485"/>
    <w:rsid w:val="00D067F0"/>
    <w:rsid w:val="00D1003C"/>
    <w:rsid w:val="00D108C4"/>
    <w:rsid w:val="00D13343"/>
    <w:rsid w:val="00D15A45"/>
    <w:rsid w:val="00D16052"/>
    <w:rsid w:val="00D163A6"/>
    <w:rsid w:val="00D21B18"/>
    <w:rsid w:val="00D21ECF"/>
    <w:rsid w:val="00D228FE"/>
    <w:rsid w:val="00D22B7E"/>
    <w:rsid w:val="00D23C85"/>
    <w:rsid w:val="00D26BAB"/>
    <w:rsid w:val="00D27465"/>
    <w:rsid w:val="00D30E0F"/>
    <w:rsid w:val="00D30F56"/>
    <w:rsid w:val="00D31343"/>
    <w:rsid w:val="00D315A3"/>
    <w:rsid w:val="00D32647"/>
    <w:rsid w:val="00D3357D"/>
    <w:rsid w:val="00D341DD"/>
    <w:rsid w:val="00D34888"/>
    <w:rsid w:val="00D35982"/>
    <w:rsid w:val="00D35B00"/>
    <w:rsid w:val="00D35DA8"/>
    <w:rsid w:val="00D36A9D"/>
    <w:rsid w:val="00D36E69"/>
    <w:rsid w:val="00D413B7"/>
    <w:rsid w:val="00D4164E"/>
    <w:rsid w:val="00D41D56"/>
    <w:rsid w:val="00D45DA2"/>
    <w:rsid w:val="00D46786"/>
    <w:rsid w:val="00D46D88"/>
    <w:rsid w:val="00D4731C"/>
    <w:rsid w:val="00D47F8B"/>
    <w:rsid w:val="00D515E3"/>
    <w:rsid w:val="00D51B3F"/>
    <w:rsid w:val="00D52C90"/>
    <w:rsid w:val="00D52F17"/>
    <w:rsid w:val="00D55C9F"/>
    <w:rsid w:val="00D56641"/>
    <w:rsid w:val="00D569D5"/>
    <w:rsid w:val="00D5702F"/>
    <w:rsid w:val="00D62356"/>
    <w:rsid w:val="00D62437"/>
    <w:rsid w:val="00D65269"/>
    <w:rsid w:val="00D6655A"/>
    <w:rsid w:val="00D7103B"/>
    <w:rsid w:val="00D72DEF"/>
    <w:rsid w:val="00D72E59"/>
    <w:rsid w:val="00D73985"/>
    <w:rsid w:val="00D73DD8"/>
    <w:rsid w:val="00D7403A"/>
    <w:rsid w:val="00D7434F"/>
    <w:rsid w:val="00D765EF"/>
    <w:rsid w:val="00D76F14"/>
    <w:rsid w:val="00D7753F"/>
    <w:rsid w:val="00D8147A"/>
    <w:rsid w:val="00D81EAB"/>
    <w:rsid w:val="00D8457D"/>
    <w:rsid w:val="00D85521"/>
    <w:rsid w:val="00D87D5C"/>
    <w:rsid w:val="00D90C8B"/>
    <w:rsid w:val="00D91039"/>
    <w:rsid w:val="00D91726"/>
    <w:rsid w:val="00D9178E"/>
    <w:rsid w:val="00D95E89"/>
    <w:rsid w:val="00D96852"/>
    <w:rsid w:val="00D96A4E"/>
    <w:rsid w:val="00DA04BD"/>
    <w:rsid w:val="00DA05A9"/>
    <w:rsid w:val="00DA2244"/>
    <w:rsid w:val="00DA4569"/>
    <w:rsid w:val="00DA52EE"/>
    <w:rsid w:val="00DB023C"/>
    <w:rsid w:val="00DB0BDA"/>
    <w:rsid w:val="00DB198A"/>
    <w:rsid w:val="00DB2C5E"/>
    <w:rsid w:val="00DB2CBB"/>
    <w:rsid w:val="00DB31B1"/>
    <w:rsid w:val="00DB32DF"/>
    <w:rsid w:val="00DB41C2"/>
    <w:rsid w:val="00DB50E7"/>
    <w:rsid w:val="00DB66BF"/>
    <w:rsid w:val="00DB6B9F"/>
    <w:rsid w:val="00DB75AE"/>
    <w:rsid w:val="00DB78B8"/>
    <w:rsid w:val="00DC024F"/>
    <w:rsid w:val="00DC1129"/>
    <w:rsid w:val="00DC1C45"/>
    <w:rsid w:val="00DC2B8B"/>
    <w:rsid w:val="00DC6A4C"/>
    <w:rsid w:val="00DC7B82"/>
    <w:rsid w:val="00DD0FF6"/>
    <w:rsid w:val="00DD5772"/>
    <w:rsid w:val="00DD77F1"/>
    <w:rsid w:val="00DD7D1D"/>
    <w:rsid w:val="00DE3CF0"/>
    <w:rsid w:val="00DE3E16"/>
    <w:rsid w:val="00DE4B91"/>
    <w:rsid w:val="00DE5720"/>
    <w:rsid w:val="00DE5C91"/>
    <w:rsid w:val="00DE6858"/>
    <w:rsid w:val="00DE7940"/>
    <w:rsid w:val="00DF0C87"/>
    <w:rsid w:val="00DF20A7"/>
    <w:rsid w:val="00DF45E8"/>
    <w:rsid w:val="00DF60FB"/>
    <w:rsid w:val="00DF75FE"/>
    <w:rsid w:val="00DF7BED"/>
    <w:rsid w:val="00E00122"/>
    <w:rsid w:val="00E00C63"/>
    <w:rsid w:val="00E01A9D"/>
    <w:rsid w:val="00E03969"/>
    <w:rsid w:val="00E06C32"/>
    <w:rsid w:val="00E07597"/>
    <w:rsid w:val="00E07F95"/>
    <w:rsid w:val="00E1123D"/>
    <w:rsid w:val="00E12770"/>
    <w:rsid w:val="00E13533"/>
    <w:rsid w:val="00E140F4"/>
    <w:rsid w:val="00E1447B"/>
    <w:rsid w:val="00E14CD1"/>
    <w:rsid w:val="00E153F7"/>
    <w:rsid w:val="00E15E92"/>
    <w:rsid w:val="00E1612E"/>
    <w:rsid w:val="00E16451"/>
    <w:rsid w:val="00E174A2"/>
    <w:rsid w:val="00E17B74"/>
    <w:rsid w:val="00E17BE7"/>
    <w:rsid w:val="00E2068E"/>
    <w:rsid w:val="00E228F6"/>
    <w:rsid w:val="00E22976"/>
    <w:rsid w:val="00E2446D"/>
    <w:rsid w:val="00E24E1C"/>
    <w:rsid w:val="00E25D38"/>
    <w:rsid w:val="00E26181"/>
    <w:rsid w:val="00E30040"/>
    <w:rsid w:val="00E304D0"/>
    <w:rsid w:val="00E30715"/>
    <w:rsid w:val="00E31614"/>
    <w:rsid w:val="00E3168C"/>
    <w:rsid w:val="00E32F57"/>
    <w:rsid w:val="00E3342F"/>
    <w:rsid w:val="00E33FF2"/>
    <w:rsid w:val="00E34541"/>
    <w:rsid w:val="00E3591A"/>
    <w:rsid w:val="00E36440"/>
    <w:rsid w:val="00E37013"/>
    <w:rsid w:val="00E40352"/>
    <w:rsid w:val="00E410A5"/>
    <w:rsid w:val="00E4268C"/>
    <w:rsid w:val="00E4389C"/>
    <w:rsid w:val="00E4398D"/>
    <w:rsid w:val="00E4496C"/>
    <w:rsid w:val="00E45063"/>
    <w:rsid w:val="00E451EA"/>
    <w:rsid w:val="00E47C99"/>
    <w:rsid w:val="00E502F1"/>
    <w:rsid w:val="00E50EE7"/>
    <w:rsid w:val="00E53810"/>
    <w:rsid w:val="00E53916"/>
    <w:rsid w:val="00E5691B"/>
    <w:rsid w:val="00E62854"/>
    <w:rsid w:val="00E63288"/>
    <w:rsid w:val="00E64569"/>
    <w:rsid w:val="00E653EF"/>
    <w:rsid w:val="00E65974"/>
    <w:rsid w:val="00E701C2"/>
    <w:rsid w:val="00E70BD1"/>
    <w:rsid w:val="00E71A61"/>
    <w:rsid w:val="00E71C2A"/>
    <w:rsid w:val="00E71F6C"/>
    <w:rsid w:val="00E72922"/>
    <w:rsid w:val="00E72C16"/>
    <w:rsid w:val="00E74234"/>
    <w:rsid w:val="00E74681"/>
    <w:rsid w:val="00E75684"/>
    <w:rsid w:val="00E76792"/>
    <w:rsid w:val="00E7685C"/>
    <w:rsid w:val="00E768E2"/>
    <w:rsid w:val="00E821FC"/>
    <w:rsid w:val="00E83568"/>
    <w:rsid w:val="00E83A33"/>
    <w:rsid w:val="00E83D4E"/>
    <w:rsid w:val="00E841ED"/>
    <w:rsid w:val="00E84891"/>
    <w:rsid w:val="00E8537D"/>
    <w:rsid w:val="00E856AC"/>
    <w:rsid w:val="00E86B8C"/>
    <w:rsid w:val="00E9030D"/>
    <w:rsid w:val="00E9047E"/>
    <w:rsid w:val="00E9094E"/>
    <w:rsid w:val="00E90C67"/>
    <w:rsid w:val="00E92B0F"/>
    <w:rsid w:val="00E92F88"/>
    <w:rsid w:val="00E93A47"/>
    <w:rsid w:val="00E9566A"/>
    <w:rsid w:val="00E96DE3"/>
    <w:rsid w:val="00EA0F56"/>
    <w:rsid w:val="00EA1170"/>
    <w:rsid w:val="00EA234B"/>
    <w:rsid w:val="00EA25AD"/>
    <w:rsid w:val="00EA38D2"/>
    <w:rsid w:val="00EA396F"/>
    <w:rsid w:val="00EA3D06"/>
    <w:rsid w:val="00EA3EB1"/>
    <w:rsid w:val="00EA415D"/>
    <w:rsid w:val="00EA5B60"/>
    <w:rsid w:val="00EA65D3"/>
    <w:rsid w:val="00EB0CCF"/>
    <w:rsid w:val="00EB0FBA"/>
    <w:rsid w:val="00EB1693"/>
    <w:rsid w:val="00EB17C4"/>
    <w:rsid w:val="00EB3F66"/>
    <w:rsid w:val="00EB433B"/>
    <w:rsid w:val="00EB49F4"/>
    <w:rsid w:val="00EB5BA1"/>
    <w:rsid w:val="00EB779D"/>
    <w:rsid w:val="00EB7B53"/>
    <w:rsid w:val="00EC1A64"/>
    <w:rsid w:val="00EC4001"/>
    <w:rsid w:val="00EC4635"/>
    <w:rsid w:val="00EC74F8"/>
    <w:rsid w:val="00ED0211"/>
    <w:rsid w:val="00ED273F"/>
    <w:rsid w:val="00ED4351"/>
    <w:rsid w:val="00ED49FD"/>
    <w:rsid w:val="00ED56EA"/>
    <w:rsid w:val="00ED59D0"/>
    <w:rsid w:val="00ED6007"/>
    <w:rsid w:val="00ED712A"/>
    <w:rsid w:val="00ED75F6"/>
    <w:rsid w:val="00EE0EEC"/>
    <w:rsid w:val="00EE1699"/>
    <w:rsid w:val="00EE1824"/>
    <w:rsid w:val="00EE35AD"/>
    <w:rsid w:val="00EE5BF5"/>
    <w:rsid w:val="00EE67A2"/>
    <w:rsid w:val="00EE7198"/>
    <w:rsid w:val="00EE7CBC"/>
    <w:rsid w:val="00EE7EC3"/>
    <w:rsid w:val="00EF0FC7"/>
    <w:rsid w:val="00EF2F07"/>
    <w:rsid w:val="00EF3100"/>
    <w:rsid w:val="00EF35E7"/>
    <w:rsid w:val="00EF464B"/>
    <w:rsid w:val="00EF534C"/>
    <w:rsid w:val="00EF5439"/>
    <w:rsid w:val="00EF5D49"/>
    <w:rsid w:val="00EF5F37"/>
    <w:rsid w:val="00EF6BFD"/>
    <w:rsid w:val="00EF75BF"/>
    <w:rsid w:val="00F013B0"/>
    <w:rsid w:val="00F01670"/>
    <w:rsid w:val="00F02164"/>
    <w:rsid w:val="00F030A4"/>
    <w:rsid w:val="00F038C4"/>
    <w:rsid w:val="00F039AB"/>
    <w:rsid w:val="00F0508E"/>
    <w:rsid w:val="00F05152"/>
    <w:rsid w:val="00F066C7"/>
    <w:rsid w:val="00F07F9F"/>
    <w:rsid w:val="00F10ED8"/>
    <w:rsid w:val="00F117B7"/>
    <w:rsid w:val="00F1182C"/>
    <w:rsid w:val="00F12DBF"/>
    <w:rsid w:val="00F132E1"/>
    <w:rsid w:val="00F15F8D"/>
    <w:rsid w:val="00F16F4B"/>
    <w:rsid w:val="00F2205B"/>
    <w:rsid w:val="00F23E9B"/>
    <w:rsid w:val="00F24693"/>
    <w:rsid w:val="00F25CF5"/>
    <w:rsid w:val="00F27371"/>
    <w:rsid w:val="00F27F57"/>
    <w:rsid w:val="00F3195D"/>
    <w:rsid w:val="00F319BB"/>
    <w:rsid w:val="00F348D2"/>
    <w:rsid w:val="00F359EF"/>
    <w:rsid w:val="00F35B02"/>
    <w:rsid w:val="00F35D7C"/>
    <w:rsid w:val="00F36AAF"/>
    <w:rsid w:val="00F41907"/>
    <w:rsid w:val="00F41A69"/>
    <w:rsid w:val="00F431DF"/>
    <w:rsid w:val="00F43C2F"/>
    <w:rsid w:val="00F44E6D"/>
    <w:rsid w:val="00F4593D"/>
    <w:rsid w:val="00F45C90"/>
    <w:rsid w:val="00F4682D"/>
    <w:rsid w:val="00F471AE"/>
    <w:rsid w:val="00F50BB8"/>
    <w:rsid w:val="00F516EF"/>
    <w:rsid w:val="00F5279E"/>
    <w:rsid w:val="00F53B6D"/>
    <w:rsid w:val="00F54AA1"/>
    <w:rsid w:val="00F555B5"/>
    <w:rsid w:val="00F57078"/>
    <w:rsid w:val="00F57086"/>
    <w:rsid w:val="00F62D7A"/>
    <w:rsid w:val="00F631C6"/>
    <w:rsid w:val="00F64D54"/>
    <w:rsid w:val="00F66105"/>
    <w:rsid w:val="00F664DD"/>
    <w:rsid w:val="00F71339"/>
    <w:rsid w:val="00F717F8"/>
    <w:rsid w:val="00F7187A"/>
    <w:rsid w:val="00F71FCA"/>
    <w:rsid w:val="00F723DE"/>
    <w:rsid w:val="00F7388E"/>
    <w:rsid w:val="00F73ECB"/>
    <w:rsid w:val="00F77583"/>
    <w:rsid w:val="00F778B9"/>
    <w:rsid w:val="00F77B14"/>
    <w:rsid w:val="00F80B81"/>
    <w:rsid w:val="00F81C32"/>
    <w:rsid w:val="00F81CD9"/>
    <w:rsid w:val="00F81E3E"/>
    <w:rsid w:val="00F8381E"/>
    <w:rsid w:val="00F8575E"/>
    <w:rsid w:val="00F85A3A"/>
    <w:rsid w:val="00F85C9C"/>
    <w:rsid w:val="00F91F08"/>
    <w:rsid w:val="00F923A8"/>
    <w:rsid w:val="00F92631"/>
    <w:rsid w:val="00F94FA1"/>
    <w:rsid w:val="00F973D0"/>
    <w:rsid w:val="00FA0807"/>
    <w:rsid w:val="00FA1278"/>
    <w:rsid w:val="00FA45E5"/>
    <w:rsid w:val="00FA6898"/>
    <w:rsid w:val="00FA700F"/>
    <w:rsid w:val="00FB0381"/>
    <w:rsid w:val="00FB0745"/>
    <w:rsid w:val="00FB0787"/>
    <w:rsid w:val="00FB1271"/>
    <w:rsid w:val="00FB151F"/>
    <w:rsid w:val="00FB345D"/>
    <w:rsid w:val="00FB3771"/>
    <w:rsid w:val="00FB40EC"/>
    <w:rsid w:val="00FB4F52"/>
    <w:rsid w:val="00FB64EE"/>
    <w:rsid w:val="00FC156D"/>
    <w:rsid w:val="00FC1F21"/>
    <w:rsid w:val="00FC3005"/>
    <w:rsid w:val="00FC4F66"/>
    <w:rsid w:val="00FC6596"/>
    <w:rsid w:val="00FC6EF8"/>
    <w:rsid w:val="00FD148B"/>
    <w:rsid w:val="00FD1EDF"/>
    <w:rsid w:val="00FD2865"/>
    <w:rsid w:val="00FD29BD"/>
    <w:rsid w:val="00FD5EC9"/>
    <w:rsid w:val="00FD69A5"/>
    <w:rsid w:val="00FD76FD"/>
    <w:rsid w:val="00FE004E"/>
    <w:rsid w:val="00FE1375"/>
    <w:rsid w:val="00FE1927"/>
    <w:rsid w:val="00FE2F5E"/>
    <w:rsid w:val="00FE49C4"/>
    <w:rsid w:val="00FF0461"/>
    <w:rsid w:val="00FF1301"/>
    <w:rsid w:val="00FF3A17"/>
    <w:rsid w:val="00FF4931"/>
    <w:rsid w:val="00FF52F5"/>
    <w:rsid w:val="00FF79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3"/>
    <o:shapelayout v:ext="edit">
      <o:idmap v:ext="edit" data="1"/>
    </o:shapelayout>
  </w:shapeDefaults>
  <w:decimalSymbol w:val="."/>
  <w:listSeparator w:val=","/>
  <w14:docId w14:val="084C9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C87"/>
    <w:pPr>
      <w:spacing w:line="360" w:lineRule="auto"/>
      <w:ind w:firstLine="270"/>
      <w:jc w:val="both"/>
    </w:pPr>
    <w:rPr>
      <w:rFonts w:ascii="Times New Roman" w:hAnsi="Times New Roman" w:cs="Times New Roman"/>
    </w:rPr>
  </w:style>
  <w:style w:type="paragraph" w:styleId="Heading1">
    <w:name w:val="heading 1"/>
    <w:basedOn w:val="ChapterTitleStyle"/>
    <w:next w:val="Normal"/>
    <w:link w:val="Heading1Char"/>
    <w:uiPriority w:val="9"/>
    <w:qFormat/>
    <w:rsid w:val="00A62B9B"/>
    <w:pPr>
      <w:outlineLvl w:val="0"/>
    </w:pPr>
  </w:style>
  <w:style w:type="paragraph" w:styleId="Heading2">
    <w:name w:val="heading 2"/>
    <w:basedOn w:val="ChapterSub-HeadingStyle"/>
    <w:next w:val="Normal"/>
    <w:link w:val="Heading2Char"/>
    <w:uiPriority w:val="9"/>
    <w:unhideWhenUsed/>
    <w:qFormat/>
    <w:rsid w:val="00CB1A5B"/>
    <w:pPr>
      <w:spacing w:before="720"/>
      <w:ind w:firstLine="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65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6524"/>
    <w:rPr>
      <w:rFonts w:ascii="Tahoma" w:hAnsi="Tahoma" w:cs="Tahoma"/>
      <w:sz w:val="16"/>
      <w:szCs w:val="16"/>
    </w:rPr>
  </w:style>
  <w:style w:type="table" w:styleId="TableGrid">
    <w:name w:val="Table Grid"/>
    <w:basedOn w:val="TableNormal"/>
    <w:uiPriority w:val="59"/>
    <w:rsid w:val="00EE7E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EE7EC3"/>
    <w:pPr>
      <w:ind w:left="720"/>
      <w:contextualSpacing/>
    </w:pPr>
  </w:style>
  <w:style w:type="character" w:styleId="PlaceholderText">
    <w:name w:val="Placeholder Text"/>
    <w:basedOn w:val="DefaultParagraphFont"/>
    <w:uiPriority w:val="99"/>
    <w:semiHidden/>
    <w:rsid w:val="007B49B1"/>
    <w:rPr>
      <w:color w:val="808080"/>
    </w:rPr>
  </w:style>
  <w:style w:type="numbering" w:customStyle="1" w:styleId="Style1">
    <w:name w:val="Style1"/>
    <w:uiPriority w:val="99"/>
    <w:rsid w:val="0080694E"/>
    <w:pPr>
      <w:numPr>
        <w:numId w:val="2"/>
      </w:numPr>
    </w:pPr>
  </w:style>
  <w:style w:type="numbering" w:customStyle="1" w:styleId="Style2">
    <w:name w:val="Style2"/>
    <w:uiPriority w:val="99"/>
    <w:rsid w:val="00FD76FD"/>
    <w:pPr>
      <w:numPr>
        <w:numId w:val="5"/>
      </w:numPr>
    </w:pPr>
  </w:style>
  <w:style w:type="character" w:styleId="Hyperlink">
    <w:name w:val="Hyperlink"/>
    <w:basedOn w:val="DefaultParagraphFont"/>
    <w:uiPriority w:val="99"/>
    <w:unhideWhenUsed/>
    <w:rsid w:val="008A0C57"/>
    <w:rPr>
      <w:color w:val="0000FF" w:themeColor="hyperlink"/>
      <w:u w:val="single"/>
    </w:rPr>
  </w:style>
  <w:style w:type="numbering" w:customStyle="1" w:styleId="Style3">
    <w:name w:val="Style3"/>
    <w:uiPriority w:val="99"/>
    <w:rsid w:val="000D76AE"/>
    <w:pPr>
      <w:numPr>
        <w:numId w:val="8"/>
      </w:numPr>
    </w:pPr>
  </w:style>
  <w:style w:type="paragraph" w:customStyle="1" w:styleId="EqnParStyle">
    <w:name w:val="Eqn Par Style"/>
    <w:basedOn w:val="Normal"/>
    <w:link w:val="EqnParStyleChar"/>
    <w:qFormat/>
    <w:rsid w:val="00723398"/>
    <w:pPr>
      <w:tabs>
        <w:tab w:val="center" w:pos="4680"/>
        <w:tab w:val="right" w:pos="9360"/>
      </w:tabs>
    </w:pPr>
  </w:style>
  <w:style w:type="paragraph" w:customStyle="1" w:styleId="FigTitleStyle">
    <w:name w:val="Fig Title Style"/>
    <w:basedOn w:val="Normal"/>
    <w:link w:val="FigTitleStyleChar"/>
    <w:qFormat/>
    <w:rsid w:val="007B6F26"/>
    <w:pPr>
      <w:spacing w:after="720"/>
      <w:ind w:left="720" w:right="720" w:firstLine="0"/>
    </w:pPr>
    <w:rPr>
      <w:b/>
      <w:sz w:val="20"/>
    </w:rPr>
  </w:style>
  <w:style w:type="character" w:customStyle="1" w:styleId="EqnParStyleChar">
    <w:name w:val="Eqn Par Style Char"/>
    <w:basedOn w:val="DefaultParagraphFont"/>
    <w:link w:val="EqnParStyle"/>
    <w:rsid w:val="00723398"/>
    <w:rPr>
      <w:rFonts w:ascii="Times New Roman" w:hAnsi="Times New Roman" w:cs="Times New Roman"/>
    </w:rPr>
  </w:style>
  <w:style w:type="paragraph" w:customStyle="1" w:styleId="numberedeqnstyle">
    <w:name w:val="numbered eqn style"/>
    <w:basedOn w:val="Normal"/>
    <w:link w:val="numberedeqnstyleChar"/>
    <w:qFormat/>
    <w:rsid w:val="008D3322"/>
    <w:pPr>
      <w:tabs>
        <w:tab w:val="center" w:pos="4680"/>
        <w:tab w:val="right" w:pos="9360"/>
      </w:tabs>
    </w:pPr>
  </w:style>
  <w:style w:type="character" w:customStyle="1" w:styleId="FigTitleStyleChar">
    <w:name w:val="Fig Title Style Char"/>
    <w:basedOn w:val="DefaultParagraphFont"/>
    <w:link w:val="FigTitleStyle"/>
    <w:rsid w:val="007B6F26"/>
    <w:rPr>
      <w:rFonts w:ascii="Times New Roman" w:hAnsi="Times New Roman" w:cs="Times New Roman"/>
      <w:b/>
      <w:sz w:val="20"/>
    </w:rPr>
  </w:style>
  <w:style w:type="character" w:customStyle="1" w:styleId="numberedeqnstyleChar">
    <w:name w:val="numbered eqn style Char"/>
    <w:basedOn w:val="DefaultParagraphFont"/>
    <w:link w:val="numberedeqnstyle"/>
    <w:rsid w:val="008D3322"/>
    <w:rPr>
      <w:rFonts w:ascii="Times New Roman" w:hAnsi="Times New Roman" w:cs="Times New Roman"/>
    </w:rPr>
  </w:style>
  <w:style w:type="paragraph" w:customStyle="1" w:styleId="ChapterTitleStyle">
    <w:name w:val="Chapter Title Style"/>
    <w:basedOn w:val="ListParagraph"/>
    <w:link w:val="ChapterTitleStyleChar"/>
    <w:qFormat/>
    <w:rsid w:val="0073527E"/>
    <w:pPr>
      <w:ind w:left="0"/>
      <w:jc w:val="center"/>
    </w:pPr>
    <w:rPr>
      <w:b/>
      <w:sz w:val="24"/>
    </w:rPr>
  </w:style>
  <w:style w:type="paragraph" w:customStyle="1" w:styleId="ChapterSub-HeadingStyle">
    <w:name w:val="Chapter Sub-Heading Style"/>
    <w:basedOn w:val="Normal"/>
    <w:link w:val="ChapterSub-HeadingStyleChar"/>
    <w:qFormat/>
    <w:rsid w:val="0073527E"/>
    <w:rPr>
      <w:b/>
    </w:rPr>
  </w:style>
  <w:style w:type="character" w:customStyle="1" w:styleId="ListParagraphChar">
    <w:name w:val="List Paragraph Char"/>
    <w:basedOn w:val="DefaultParagraphFont"/>
    <w:link w:val="ListParagraph"/>
    <w:uiPriority w:val="34"/>
    <w:rsid w:val="0073527E"/>
  </w:style>
  <w:style w:type="character" w:customStyle="1" w:styleId="ChapterTitleStyleChar">
    <w:name w:val="Chapter Title Style Char"/>
    <w:basedOn w:val="ListParagraphChar"/>
    <w:link w:val="ChapterTitleStyle"/>
    <w:rsid w:val="0073527E"/>
    <w:rPr>
      <w:rFonts w:ascii="Times New Roman" w:hAnsi="Times New Roman" w:cs="Times New Roman"/>
      <w:b/>
      <w:sz w:val="24"/>
    </w:rPr>
  </w:style>
  <w:style w:type="paragraph" w:styleId="EndnoteText">
    <w:name w:val="endnote text"/>
    <w:basedOn w:val="Normal"/>
    <w:link w:val="EndnoteTextChar"/>
    <w:uiPriority w:val="99"/>
    <w:unhideWhenUsed/>
    <w:rsid w:val="00884C00"/>
    <w:pPr>
      <w:spacing w:after="0" w:line="240" w:lineRule="auto"/>
    </w:pPr>
    <w:rPr>
      <w:sz w:val="20"/>
      <w:szCs w:val="20"/>
    </w:rPr>
  </w:style>
  <w:style w:type="character" w:customStyle="1" w:styleId="ChapterSub-HeadingStyleChar">
    <w:name w:val="Chapter Sub-Heading Style Char"/>
    <w:basedOn w:val="DefaultParagraphFont"/>
    <w:link w:val="ChapterSub-HeadingStyle"/>
    <w:rsid w:val="0073527E"/>
    <w:rPr>
      <w:rFonts w:ascii="Times New Roman" w:hAnsi="Times New Roman" w:cs="Times New Roman"/>
      <w:b/>
    </w:rPr>
  </w:style>
  <w:style w:type="character" w:customStyle="1" w:styleId="EndnoteTextChar">
    <w:name w:val="Endnote Text Char"/>
    <w:basedOn w:val="DefaultParagraphFont"/>
    <w:link w:val="EndnoteText"/>
    <w:uiPriority w:val="99"/>
    <w:rsid w:val="00884C00"/>
    <w:rPr>
      <w:sz w:val="20"/>
      <w:szCs w:val="20"/>
    </w:rPr>
  </w:style>
  <w:style w:type="character" w:styleId="EndnoteReference">
    <w:name w:val="endnote reference"/>
    <w:basedOn w:val="DefaultParagraphFont"/>
    <w:uiPriority w:val="99"/>
    <w:unhideWhenUsed/>
    <w:rsid w:val="00884C00"/>
    <w:rPr>
      <w:vertAlign w:val="superscript"/>
    </w:rPr>
  </w:style>
  <w:style w:type="character" w:customStyle="1" w:styleId="Heading1Char">
    <w:name w:val="Heading 1 Char"/>
    <w:basedOn w:val="DefaultParagraphFont"/>
    <w:link w:val="Heading1"/>
    <w:uiPriority w:val="9"/>
    <w:rsid w:val="00A62B9B"/>
    <w:rPr>
      <w:rFonts w:ascii="Times New Roman" w:hAnsi="Times New Roman" w:cs="Times New Roman"/>
      <w:b/>
      <w:sz w:val="24"/>
    </w:rPr>
  </w:style>
  <w:style w:type="character" w:customStyle="1" w:styleId="Heading2Char">
    <w:name w:val="Heading 2 Char"/>
    <w:basedOn w:val="DefaultParagraphFont"/>
    <w:link w:val="Heading2"/>
    <w:uiPriority w:val="9"/>
    <w:rsid w:val="00CB1A5B"/>
    <w:rPr>
      <w:rFonts w:ascii="Times New Roman" w:hAnsi="Times New Roman" w:cs="Times New Roman"/>
      <w:b/>
    </w:rPr>
  </w:style>
  <w:style w:type="paragraph" w:customStyle="1" w:styleId="BodyText1">
    <w:name w:val="Body Text1"/>
    <w:basedOn w:val="Normal"/>
    <w:link w:val="BodytextChar"/>
    <w:rsid w:val="00DE5C91"/>
    <w:pPr>
      <w:spacing w:after="0" w:line="240" w:lineRule="auto"/>
    </w:pPr>
    <w:rPr>
      <w:rFonts w:eastAsia="Times New Roman"/>
      <w:sz w:val="20"/>
      <w:szCs w:val="20"/>
    </w:rPr>
  </w:style>
  <w:style w:type="character" w:customStyle="1" w:styleId="BodytextChar">
    <w:name w:val="Body text Char"/>
    <w:link w:val="BodyText1"/>
    <w:rsid w:val="00DE5C91"/>
    <w:rPr>
      <w:rFonts w:ascii="Times New Roman" w:eastAsia="Times New Roman" w:hAnsi="Times New Roman" w:cs="Times New Roman"/>
      <w:sz w:val="20"/>
      <w:szCs w:val="20"/>
    </w:rPr>
  </w:style>
  <w:style w:type="paragraph" w:customStyle="1" w:styleId="PictureSytel">
    <w:name w:val="Picture Sytel"/>
    <w:basedOn w:val="Normal"/>
    <w:qFormat/>
    <w:rsid w:val="007B6F26"/>
    <w:pPr>
      <w:keepNext/>
      <w:spacing w:before="720" w:after="0" w:line="240" w:lineRule="auto"/>
      <w:ind w:firstLine="0"/>
      <w:jc w:val="center"/>
    </w:pPr>
  </w:style>
  <w:style w:type="paragraph" w:customStyle="1" w:styleId="PlotStyle">
    <w:name w:val="Plot Style"/>
    <w:basedOn w:val="PictureSytel"/>
    <w:qFormat/>
    <w:rsid w:val="00067CD7"/>
    <w:pPr>
      <w:spacing w:after="120"/>
    </w:pPr>
  </w:style>
  <w:style w:type="paragraph" w:customStyle="1" w:styleId="Nomenclature">
    <w:name w:val="Nomenclature"/>
    <w:basedOn w:val="Normal"/>
    <w:link w:val="NomenclatureChar"/>
    <w:qFormat/>
    <w:rsid w:val="00AD799C"/>
    <w:pPr>
      <w:tabs>
        <w:tab w:val="left" w:pos="540"/>
        <w:tab w:val="right" w:pos="4320"/>
      </w:tabs>
      <w:spacing w:after="80" w:line="240" w:lineRule="auto"/>
      <w:ind w:firstLine="0"/>
    </w:pPr>
  </w:style>
  <w:style w:type="character" w:customStyle="1" w:styleId="NomenclatureChar">
    <w:name w:val="Nomenclature Char"/>
    <w:basedOn w:val="DefaultParagraphFont"/>
    <w:link w:val="Nomenclature"/>
    <w:rsid w:val="00AD799C"/>
    <w:rPr>
      <w:rFonts w:ascii="Times New Roman" w:hAnsi="Times New Roman" w:cs="Times New Roman"/>
    </w:rPr>
  </w:style>
  <w:style w:type="paragraph" w:styleId="TOCHeading">
    <w:name w:val="TOC Heading"/>
    <w:basedOn w:val="Heading1"/>
    <w:next w:val="Normal"/>
    <w:uiPriority w:val="39"/>
    <w:unhideWhenUsed/>
    <w:qFormat/>
    <w:rsid w:val="000C3216"/>
    <w:pPr>
      <w:keepNext/>
      <w:keepLines/>
      <w:spacing w:before="480" w:after="0" w:line="276" w:lineRule="auto"/>
      <w:ind w:firstLine="0"/>
      <w:contextualSpacing w:val="0"/>
      <w:jc w:val="left"/>
      <w:outlineLvl w:val="9"/>
    </w:pPr>
    <w:rPr>
      <w:rFonts w:asciiTheme="majorHAnsi" w:eastAsiaTheme="majorEastAsia" w:hAnsiTheme="majorHAnsi" w:cstheme="majorBidi"/>
      <w:bCs/>
      <w:color w:val="365F91" w:themeColor="accent1" w:themeShade="BF"/>
      <w:sz w:val="28"/>
      <w:szCs w:val="28"/>
      <w:lang w:eastAsia="ja-JP"/>
    </w:rPr>
  </w:style>
  <w:style w:type="paragraph" w:styleId="TOC1">
    <w:name w:val="toc 1"/>
    <w:basedOn w:val="Normal"/>
    <w:next w:val="Normal"/>
    <w:autoRedefine/>
    <w:uiPriority w:val="39"/>
    <w:unhideWhenUsed/>
    <w:rsid w:val="000C3216"/>
    <w:pPr>
      <w:spacing w:after="100"/>
    </w:pPr>
  </w:style>
  <w:style w:type="paragraph" w:styleId="TOC2">
    <w:name w:val="toc 2"/>
    <w:basedOn w:val="Normal"/>
    <w:next w:val="Normal"/>
    <w:autoRedefine/>
    <w:uiPriority w:val="39"/>
    <w:unhideWhenUsed/>
    <w:rsid w:val="000C3216"/>
    <w:pPr>
      <w:spacing w:after="100"/>
      <w:ind w:left="220"/>
    </w:pPr>
  </w:style>
  <w:style w:type="paragraph" w:styleId="Header">
    <w:name w:val="header"/>
    <w:basedOn w:val="Normal"/>
    <w:link w:val="HeaderChar"/>
    <w:uiPriority w:val="99"/>
    <w:unhideWhenUsed/>
    <w:rsid w:val="000C3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216"/>
    <w:rPr>
      <w:rFonts w:ascii="Times New Roman" w:hAnsi="Times New Roman" w:cs="Times New Roman"/>
    </w:rPr>
  </w:style>
  <w:style w:type="paragraph" w:styleId="Footer">
    <w:name w:val="footer"/>
    <w:basedOn w:val="Normal"/>
    <w:link w:val="FooterChar"/>
    <w:uiPriority w:val="99"/>
    <w:unhideWhenUsed/>
    <w:rsid w:val="000C3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216"/>
    <w:rPr>
      <w:rFonts w:ascii="Times New Roman" w:hAnsi="Times New Roman" w:cs="Times New Roman"/>
    </w:rPr>
  </w:style>
  <w:style w:type="paragraph" w:styleId="Subtitle">
    <w:name w:val="Subtitle"/>
    <w:aliases w:val="Normal Inviso"/>
    <w:next w:val="BodyText1"/>
    <w:link w:val="SubtitleChar"/>
    <w:uiPriority w:val="11"/>
    <w:qFormat/>
    <w:rsid w:val="00F359EF"/>
    <w:pPr>
      <w:spacing w:after="0"/>
      <w:jc w:val="center"/>
    </w:pPr>
    <w:rPr>
      <w:rFonts w:ascii="Times New Roman" w:hAnsi="Times New Roman" w:cs="Times New Roman"/>
      <w:b/>
      <w:color w:val="FFFFFF" w:themeColor="background1"/>
      <w:sz w:val="4"/>
    </w:rPr>
  </w:style>
  <w:style w:type="character" w:customStyle="1" w:styleId="SubtitleChar">
    <w:name w:val="Subtitle Char"/>
    <w:aliases w:val="Normal Inviso Char"/>
    <w:basedOn w:val="DefaultParagraphFont"/>
    <w:link w:val="Subtitle"/>
    <w:uiPriority w:val="11"/>
    <w:rsid w:val="00F359EF"/>
    <w:rPr>
      <w:rFonts w:ascii="Times New Roman" w:hAnsi="Times New Roman" w:cs="Times New Roman"/>
      <w:b/>
      <w:color w:val="FFFFFF" w:themeColor="background1"/>
      <w:sz w:val="4"/>
    </w:rPr>
  </w:style>
  <w:style w:type="paragraph" w:styleId="TableofFigures">
    <w:name w:val="table of figures"/>
    <w:basedOn w:val="Normal"/>
    <w:next w:val="Normal"/>
    <w:uiPriority w:val="99"/>
    <w:unhideWhenUsed/>
    <w:rsid w:val="008B6304"/>
    <w:pPr>
      <w:spacing w:before="120" w:after="120"/>
    </w:pPr>
  </w:style>
  <w:style w:type="paragraph" w:styleId="Title">
    <w:name w:val="Title"/>
    <w:aliases w:val="Fig Caption Style"/>
    <w:basedOn w:val="Normal"/>
    <w:next w:val="Normal"/>
    <w:link w:val="TitleChar"/>
    <w:uiPriority w:val="10"/>
    <w:qFormat/>
    <w:rsid w:val="008B6304"/>
    <w:rPr>
      <w:b/>
      <w:sz w:val="20"/>
    </w:rPr>
  </w:style>
  <w:style w:type="character" w:customStyle="1" w:styleId="TitleChar">
    <w:name w:val="Title Char"/>
    <w:aliases w:val="Fig Caption Style Char"/>
    <w:basedOn w:val="DefaultParagraphFont"/>
    <w:link w:val="Title"/>
    <w:uiPriority w:val="10"/>
    <w:rsid w:val="008B6304"/>
    <w:rPr>
      <w:rFonts w:ascii="Times New Roman" w:hAnsi="Times New Roman" w:cs="Times New Roman"/>
      <w:b/>
      <w:sz w:val="20"/>
    </w:rPr>
  </w:style>
  <w:style w:type="paragraph" w:styleId="NoSpacing">
    <w:name w:val="No Spacing"/>
    <w:aliases w:val="Table Title Style"/>
    <w:basedOn w:val="Normal"/>
    <w:uiPriority w:val="1"/>
    <w:qFormat/>
    <w:rsid w:val="00F066C7"/>
    <w:pPr>
      <w:keepNext/>
      <w:spacing w:after="0" w:line="240" w:lineRule="auto"/>
      <w:ind w:firstLine="0"/>
      <w:jc w:val="center"/>
    </w:pPr>
    <w:rPr>
      <w:rFonts w:eastAsia="Times New Roman"/>
      <w:color w:val="000000"/>
    </w:rPr>
  </w:style>
  <w:style w:type="paragraph" w:styleId="Caption">
    <w:name w:val="caption"/>
    <w:basedOn w:val="Normal"/>
    <w:next w:val="Normal"/>
    <w:uiPriority w:val="35"/>
    <w:unhideWhenUsed/>
    <w:qFormat/>
    <w:rsid w:val="00A85ADE"/>
    <w:pPr>
      <w:spacing w:line="240" w:lineRule="auto"/>
    </w:pPr>
    <w:rPr>
      <w:b/>
      <w:bCs/>
      <w:color w:val="4F81BD" w:themeColor="accent1"/>
      <w:sz w:val="18"/>
      <w:szCs w:val="18"/>
    </w:rPr>
  </w:style>
  <w:style w:type="paragraph" w:customStyle="1" w:styleId="MainHeadings">
    <w:name w:val="Main Headings"/>
    <w:basedOn w:val="Normal"/>
    <w:link w:val="MainHeadingsCharChar"/>
    <w:rsid w:val="00BF0867"/>
    <w:pPr>
      <w:spacing w:after="0" w:line="240" w:lineRule="auto"/>
      <w:ind w:firstLine="0"/>
    </w:pPr>
    <w:rPr>
      <w:rFonts w:eastAsia="Times New Roman"/>
      <w:b/>
      <w:szCs w:val="20"/>
    </w:rPr>
  </w:style>
  <w:style w:type="character" w:customStyle="1" w:styleId="MainHeadingsCharChar">
    <w:name w:val="Main Headings Char Char"/>
    <w:link w:val="MainHeadings"/>
    <w:rsid w:val="00BF0867"/>
    <w:rPr>
      <w:rFonts w:ascii="Times New Roman" w:eastAsia="Times New Roman" w:hAnsi="Times New Roman" w:cs="Times New Roman"/>
      <w:b/>
      <w:szCs w:val="20"/>
    </w:rPr>
  </w:style>
  <w:style w:type="paragraph" w:customStyle="1" w:styleId="Subsectionheadings">
    <w:name w:val="Subsection headings"/>
    <w:basedOn w:val="BodyText1"/>
    <w:rsid w:val="00BF0867"/>
    <w:pPr>
      <w:ind w:firstLine="0"/>
    </w:pPr>
    <w:rPr>
      <w:b/>
      <w:bCs/>
    </w:rPr>
  </w:style>
  <w:style w:type="paragraph" w:customStyle="1" w:styleId="TableFirstLineStyle">
    <w:name w:val="Table First Line Style"/>
    <w:basedOn w:val="Normal"/>
    <w:link w:val="TableFirstLineStyleChar"/>
    <w:qFormat/>
    <w:rsid w:val="00AD0103"/>
    <w:pPr>
      <w:spacing w:before="520" w:after="0" w:line="276" w:lineRule="auto"/>
      <w:ind w:firstLine="0"/>
      <w:jc w:val="left"/>
    </w:pPr>
  </w:style>
  <w:style w:type="paragraph" w:customStyle="1" w:styleId="NormalBeforeTable">
    <w:name w:val="Normal (Before Table)"/>
    <w:basedOn w:val="Normal"/>
    <w:link w:val="NormalBeforeTableChar"/>
    <w:autoRedefine/>
    <w:qFormat/>
    <w:rsid w:val="00943003"/>
    <w:pPr>
      <w:spacing w:after="720"/>
      <w:ind w:firstLine="274"/>
    </w:pPr>
  </w:style>
  <w:style w:type="character" w:customStyle="1" w:styleId="TableFirstLineStyleChar">
    <w:name w:val="Table First Line Style Char"/>
    <w:basedOn w:val="DefaultParagraphFont"/>
    <w:link w:val="TableFirstLineStyle"/>
    <w:rsid w:val="00AD0103"/>
    <w:rPr>
      <w:rFonts w:ascii="Times New Roman" w:hAnsi="Times New Roman" w:cs="Times New Roman"/>
    </w:rPr>
  </w:style>
  <w:style w:type="paragraph" w:customStyle="1" w:styleId="NormalAfterTable">
    <w:name w:val="Normal (After Table)"/>
    <w:basedOn w:val="Normal"/>
    <w:link w:val="NormalAfterTableChar"/>
    <w:qFormat/>
    <w:rsid w:val="00AD0103"/>
    <w:pPr>
      <w:spacing w:before="720"/>
      <w:ind w:firstLine="274"/>
    </w:pPr>
  </w:style>
  <w:style w:type="character" w:customStyle="1" w:styleId="NormalBeforeTableChar">
    <w:name w:val="Normal (Before Table) Char"/>
    <w:basedOn w:val="DefaultParagraphFont"/>
    <w:link w:val="NormalBeforeTable"/>
    <w:rsid w:val="00943003"/>
    <w:rPr>
      <w:rFonts w:ascii="Times New Roman" w:hAnsi="Times New Roman" w:cs="Times New Roman"/>
    </w:rPr>
  </w:style>
  <w:style w:type="character" w:customStyle="1" w:styleId="NormalAfterTableChar">
    <w:name w:val="Normal (After Table) Char"/>
    <w:basedOn w:val="DefaultParagraphFont"/>
    <w:link w:val="NormalAfterTable"/>
    <w:rsid w:val="00AD0103"/>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C87"/>
    <w:pPr>
      <w:spacing w:line="360" w:lineRule="auto"/>
      <w:ind w:firstLine="270"/>
      <w:jc w:val="both"/>
    </w:pPr>
    <w:rPr>
      <w:rFonts w:ascii="Times New Roman" w:hAnsi="Times New Roman" w:cs="Times New Roman"/>
    </w:rPr>
  </w:style>
  <w:style w:type="paragraph" w:styleId="Heading1">
    <w:name w:val="heading 1"/>
    <w:basedOn w:val="ChapterTitleStyle"/>
    <w:next w:val="Normal"/>
    <w:link w:val="Heading1Char"/>
    <w:uiPriority w:val="9"/>
    <w:qFormat/>
    <w:rsid w:val="00A62B9B"/>
    <w:pPr>
      <w:outlineLvl w:val="0"/>
    </w:pPr>
  </w:style>
  <w:style w:type="paragraph" w:styleId="Heading2">
    <w:name w:val="heading 2"/>
    <w:basedOn w:val="ChapterSub-HeadingStyle"/>
    <w:next w:val="Normal"/>
    <w:link w:val="Heading2Char"/>
    <w:uiPriority w:val="9"/>
    <w:unhideWhenUsed/>
    <w:qFormat/>
    <w:rsid w:val="00CB1A5B"/>
    <w:pPr>
      <w:spacing w:before="720"/>
      <w:ind w:firstLine="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65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6524"/>
    <w:rPr>
      <w:rFonts w:ascii="Tahoma" w:hAnsi="Tahoma" w:cs="Tahoma"/>
      <w:sz w:val="16"/>
      <w:szCs w:val="16"/>
    </w:rPr>
  </w:style>
  <w:style w:type="table" w:styleId="TableGrid">
    <w:name w:val="Table Grid"/>
    <w:basedOn w:val="TableNormal"/>
    <w:uiPriority w:val="59"/>
    <w:rsid w:val="00EE7E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EE7EC3"/>
    <w:pPr>
      <w:ind w:left="720"/>
      <w:contextualSpacing/>
    </w:pPr>
  </w:style>
  <w:style w:type="character" w:styleId="PlaceholderText">
    <w:name w:val="Placeholder Text"/>
    <w:basedOn w:val="DefaultParagraphFont"/>
    <w:uiPriority w:val="99"/>
    <w:semiHidden/>
    <w:rsid w:val="007B49B1"/>
    <w:rPr>
      <w:color w:val="808080"/>
    </w:rPr>
  </w:style>
  <w:style w:type="numbering" w:customStyle="1" w:styleId="Style1">
    <w:name w:val="Style1"/>
    <w:uiPriority w:val="99"/>
    <w:rsid w:val="0080694E"/>
    <w:pPr>
      <w:numPr>
        <w:numId w:val="2"/>
      </w:numPr>
    </w:pPr>
  </w:style>
  <w:style w:type="numbering" w:customStyle="1" w:styleId="Style2">
    <w:name w:val="Style2"/>
    <w:uiPriority w:val="99"/>
    <w:rsid w:val="00FD76FD"/>
    <w:pPr>
      <w:numPr>
        <w:numId w:val="5"/>
      </w:numPr>
    </w:pPr>
  </w:style>
  <w:style w:type="character" w:styleId="Hyperlink">
    <w:name w:val="Hyperlink"/>
    <w:basedOn w:val="DefaultParagraphFont"/>
    <w:uiPriority w:val="99"/>
    <w:unhideWhenUsed/>
    <w:rsid w:val="008A0C57"/>
    <w:rPr>
      <w:color w:val="0000FF" w:themeColor="hyperlink"/>
      <w:u w:val="single"/>
    </w:rPr>
  </w:style>
  <w:style w:type="numbering" w:customStyle="1" w:styleId="Style3">
    <w:name w:val="Style3"/>
    <w:uiPriority w:val="99"/>
    <w:rsid w:val="000D76AE"/>
    <w:pPr>
      <w:numPr>
        <w:numId w:val="8"/>
      </w:numPr>
    </w:pPr>
  </w:style>
  <w:style w:type="paragraph" w:customStyle="1" w:styleId="EqnParStyle">
    <w:name w:val="Eqn Par Style"/>
    <w:basedOn w:val="Normal"/>
    <w:link w:val="EqnParStyleChar"/>
    <w:qFormat/>
    <w:rsid w:val="00723398"/>
    <w:pPr>
      <w:tabs>
        <w:tab w:val="center" w:pos="4680"/>
        <w:tab w:val="right" w:pos="9360"/>
      </w:tabs>
    </w:pPr>
  </w:style>
  <w:style w:type="paragraph" w:customStyle="1" w:styleId="FigTitleStyle">
    <w:name w:val="Fig Title Style"/>
    <w:basedOn w:val="Normal"/>
    <w:link w:val="FigTitleStyleChar"/>
    <w:qFormat/>
    <w:rsid w:val="007B6F26"/>
    <w:pPr>
      <w:spacing w:after="720"/>
      <w:ind w:left="720" w:right="720" w:firstLine="0"/>
    </w:pPr>
    <w:rPr>
      <w:b/>
      <w:sz w:val="20"/>
    </w:rPr>
  </w:style>
  <w:style w:type="character" w:customStyle="1" w:styleId="EqnParStyleChar">
    <w:name w:val="Eqn Par Style Char"/>
    <w:basedOn w:val="DefaultParagraphFont"/>
    <w:link w:val="EqnParStyle"/>
    <w:rsid w:val="00723398"/>
    <w:rPr>
      <w:rFonts w:ascii="Times New Roman" w:hAnsi="Times New Roman" w:cs="Times New Roman"/>
    </w:rPr>
  </w:style>
  <w:style w:type="paragraph" w:customStyle="1" w:styleId="numberedeqnstyle">
    <w:name w:val="numbered eqn style"/>
    <w:basedOn w:val="Normal"/>
    <w:link w:val="numberedeqnstyleChar"/>
    <w:qFormat/>
    <w:rsid w:val="008D3322"/>
    <w:pPr>
      <w:tabs>
        <w:tab w:val="center" w:pos="4680"/>
        <w:tab w:val="right" w:pos="9360"/>
      </w:tabs>
    </w:pPr>
  </w:style>
  <w:style w:type="character" w:customStyle="1" w:styleId="FigTitleStyleChar">
    <w:name w:val="Fig Title Style Char"/>
    <w:basedOn w:val="DefaultParagraphFont"/>
    <w:link w:val="FigTitleStyle"/>
    <w:rsid w:val="007B6F26"/>
    <w:rPr>
      <w:rFonts w:ascii="Times New Roman" w:hAnsi="Times New Roman" w:cs="Times New Roman"/>
      <w:b/>
      <w:sz w:val="20"/>
    </w:rPr>
  </w:style>
  <w:style w:type="character" w:customStyle="1" w:styleId="numberedeqnstyleChar">
    <w:name w:val="numbered eqn style Char"/>
    <w:basedOn w:val="DefaultParagraphFont"/>
    <w:link w:val="numberedeqnstyle"/>
    <w:rsid w:val="008D3322"/>
    <w:rPr>
      <w:rFonts w:ascii="Times New Roman" w:hAnsi="Times New Roman" w:cs="Times New Roman"/>
    </w:rPr>
  </w:style>
  <w:style w:type="paragraph" w:customStyle="1" w:styleId="ChapterTitleStyle">
    <w:name w:val="Chapter Title Style"/>
    <w:basedOn w:val="ListParagraph"/>
    <w:link w:val="ChapterTitleStyleChar"/>
    <w:qFormat/>
    <w:rsid w:val="0073527E"/>
    <w:pPr>
      <w:ind w:left="0"/>
      <w:jc w:val="center"/>
    </w:pPr>
    <w:rPr>
      <w:b/>
      <w:sz w:val="24"/>
    </w:rPr>
  </w:style>
  <w:style w:type="paragraph" w:customStyle="1" w:styleId="ChapterSub-HeadingStyle">
    <w:name w:val="Chapter Sub-Heading Style"/>
    <w:basedOn w:val="Normal"/>
    <w:link w:val="ChapterSub-HeadingStyleChar"/>
    <w:qFormat/>
    <w:rsid w:val="0073527E"/>
    <w:rPr>
      <w:b/>
    </w:rPr>
  </w:style>
  <w:style w:type="character" w:customStyle="1" w:styleId="ListParagraphChar">
    <w:name w:val="List Paragraph Char"/>
    <w:basedOn w:val="DefaultParagraphFont"/>
    <w:link w:val="ListParagraph"/>
    <w:uiPriority w:val="34"/>
    <w:rsid w:val="0073527E"/>
  </w:style>
  <w:style w:type="character" w:customStyle="1" w:styleId="ChapterTitleStyleChar">
    <w:name w:val="Chapter Title Style Char"/>
    <w:basedOn w:val="ListParagraphChar"/>
    <w:link w:val="ChapterTitleStyle"/>
    <w:rsid w:val="0073527E"/>
    <w:rPr>
      <w:rFonts w:ascii="Times New Roman" w:hAnsi="Times New Roman" w:cs="Times New Roman"/>
      <w:b/>
      <w:sz w:val="24"/>
    </w:rPr>
  </w:style>
  <w:style w:type="paragraph" w:styleId="EndnoteText">
    <w:name w:val="endnote text"/>
    <w:basedOn w:val="Normal"/>
    <w:link w:val="EndnoteTextChar"/>
    <w:uiPriority w:val="99"/>
    <w:unhideWhenUsed/>
    <w:rsid w:val="00884C00"/>
    <w:pPr>
      <w:spacing w:after="0" w:line="240" w:lineRule="auto"/>
    </w:pPr>
    <w:rPr>
      <w:sz w:val="20"/>
      <w:szCs w:val="20"/>
    </w:rPr>
  </w:style>
  <w:style w:type="character" w:customStyle="1" w:styleId="ChapterSub-HeadingStyleChar">
    <w:name w:val="Chapter Sub-Heading Style Char"/>
    <w:basedOn w:val="DefaultParagraphFont"/>
    <w:link w:val="ChapterSub-HeadingStyle"/>
    <w:rsid w:val="0073527E"/>
    <w:rPr>
      <w:rFonts w:ascii="Times New Roman" w:hAnsi="Times New Roman" w:cs="Times New Roman"/>
      <w:b/>
    </w:rPr>
  </w:style>
  <w:style w:type="character" w:customStyle="1" w:styleId="EndnoteTextChar">
    <w:name w:val="Endnote Text Char"/>
    <w:basedOn w:val="DefaultParagraphFont"/>
    <w:link w:val="EndnoteText"/>
    <w:uiPriority w:val="99"/>
    <w:rsid w:val="00884C00"/>
    <w:rPr>
      <w:sz w:val="20"/>
      <w:szCs w:val="20"/>
    </w:rPr>
  </w:style>
  <w:style w:type="character" w:styleId="EndnoteReference">
    <w:name w:val="endnote reference"/>
    <w:basedOn w:val="DefaultParagraphFont"/>
    <w:uiPriority w:val="99"/>
    <w:unhideWhenUsed/>
    <w:rsid w:val="00884C00"/>
    <w:rPr>
      <w:vertAlign w:val="superscript"/>
    </w:rPr>
  </w:style>
  <w:style w:type="character" w:customStyle="1" w:styleId="Heading1Char">
    <w:name w:val="Heading 1 Char"/>
    <w:basedOn w:val="DefaultParagraphFont"/>
    <w:link w:val="Heading1"/>
    <w:uiPriority w:val="9"/>
    <w:rsid w:val="00A62B9B"/>
    <w:rPr>
      <w:rFonts w:ascii="Times New Roman" w:hAnsi="Times New Roman" w:cs="Times New Roman"/>
      <w:b/>
      <w:sz w:val="24"/>
    </w:rPr>
  </w:style>
  <w:style w:type="character" w:customStyle="1" w:styleId="Heading2Char">
    <w:name w:val="Heading 2 Char"/>
    <w:basedOn w:val="DefaultParagraphFont"/>
    <w:link w:val="Heading2"/>
    <w:uiPriority w:val="9"/>
    <w:rsid w:val="00CB1A5B"/>
    <w:rPr>
      <w:rFonts w:ascii="Times New Roman" w:hAnsi="Times New Roman" w:cs="Times New Roman"/>
      <w:b/>
    </w:rPr>
  </w:style>
  <w:style w:type="paragraph" w:customStyle="1" w:styleId="BodyText1">
    <w:name w:val="Body Text1"/>
    <w:basedOn w:val="Normal"/>
    <w:link w:val="BodytextChar"/>
    <w:rsid w:val="00DE5C91"/>
    <w:pPr>
      <w:spacing w:after="0" w:line="240" w:lineRule="auto"/>
    </w:pPr>
    <w:rPr>
      <w:rFonts w:eastAsia="Times New Roman"/>
      <w:sz w:val="20"/>
      <w:szCs w:val="20"/>
    </w:rPr>
  </w:style>
  <w:style w:type="character" w:customStyle="1" w:styleId="BodytextChar">
    <w:name w:val="Body text Char"/>
    <w:link w:val="BodyText1"/>
    <w:rsid w:val="00DE5C91"/>
    <w:rPr>
      <w:rFonts w:ascii="Times New Roman" w:eastAsia="Times New Roman" w:hAnsi="Times New Roman" w:cs="Times New Roman"/>
      <w:sz w:val="20"/>
      <w:szCs w:val="20"/>
    </w:rPr>
  </w:style>
  <w:style w:type="paragraph" w:customStyle="1" w:styleId="PictureSytel">
    <w:name w:val="Picture Sytel"/>
    <w:basedOn w:val="Normal"/>
    <w:qFormat/>
    <w:rsid w:val="007B6F26"/>
    <w:pPr>
      <w:keepNext/>
      <w:spacing w:before="720" w:after="0" w:line="240" w:lineRule="auto"/>
      <w:ind w:firstLine="0"/>
      <w:jc w:val="center"/>
    </w:pPr>
  </w:style>
  <w:style w:type="paragraph" w:customStyle="1" w:styleId="PlotStyle">
    <w:name w:val="Plot Style"/>
    <w:basedOn w:val="PictureSytel"/>
    <w:qFormat/>
    <w:rsid w:val="00067CD7"/>
    <w:pPr>
      <w:spacing w:after="120"/>
    </w:pPr>
  </w:style>
  <w:style w:type="paragraph" w:customStyle="1" w:styleId="Nomenclature">
    <w:name w:val="Nomenclature"/>
    <w:basedOn w:val="Normal"/>
    <w:link w:val="NomenclatureChar"/>
    <w:qFormat/>
    <w:rsid w:val="00AD799C"/>
    <w:pPr>
      <w:tabs>
        <w:tab w:val="left" w:pos="540"/>
        <w:tab w:val="right" w:pos="4320"/>
      </w:tabs>
      <w:spacing w:after="80" w:line="240" w:lineRule="auto"/>
      <w:ind w:firstLine="0"/>
    </w:pPr>
  </w:style>
  <w:style w:type="character" w:customStyle="1" w:styleId="NomenclatureChar">
    <w:name w:val="Nomenclature Char"/>
    <w:basedOn w:val="DefaultParagraphFont"/>
    <w:link w:val="Nomenclature"/>
    <w:rsid w:val="00AD799C"/>
    <w:rPr>
      <w:rFonts w:ascii="Times New Roman" w:hAnsi="Times New Roman" w:cs="Times New Roman"/>
    </w:rPr>
  </w:style>
  <w:style w:type="paragraph" w:styleId="TOCHeading">
    <w:name w:val="TOC Heading"/>
    <w:basedOn w:val="Heading1"/>
    <w:next w:val="Normal"/>
    <w:uiPriority w:val="39"/>
    <w:unhideWhenUsed/>
    <w:qFormat/>
    <w:rsid w:val="000C3216"/>
    <w:pPr>
      <w:keepNext/>
      <w:keepLines/>
      <w:spacing w:before="480" w:after="0" w:line="276" w:lineRule="auto"/>
      <w:ind w:firstLine="0"/>
      <w:contextualSpacing w:val="0"/>
      <w:jc w:val="left"/>
      <w:outlineLvl w:val="9"/>
    </w:pPr>
    <w:rPr>
      <w:rFonts w:asciiTheme="majorHAnsi" w:eastAsiaTheme="majorEastAsia" w:hAnsiTheme="majorHAnsi" w:cstheme="majorBidi"/>
      <w:bCs/>
      <w:color w:val="365F91" w:themeColor="accent1" w:themeShade="BF"/>
      <w:sz w:val="28"/>
      <w:szCs w:val="28"/>
      <w:lang w:eastAsia="ja-JP"/>
    </w:rPr>
  </w:style>
  <w:style w:type="paragraph" w:styleId="TOC1">
    <w:name w:val="toc 1"/>
    <w:basedOn w:val="Normal"/>
    <w:next w:val="Normal"/>
    <w:autoRedefine/>
    <w:uiPriority w:val="39"/>
    <w:unhideWhenUsed/>
    <w:rsid w:val="000C3216"/>
    <w:pPr>
      <w:spacing w:after="100"/>
    </w:pPr>
  </w:style>
  <w:style w:type="paragraph" w:styleId="TOC2">
    <w:name w:val="toc 2"/>
    <w:basedOn w:val="Normal"/>
    <w:next w:val="Normal"/>
    <w:autoRedefine/>
    <w:uiPriority w:val="39"/>
    <w:unhideWhenUsed/>
    <w:rsid w:val="000C3216"/>
    <w:pPr>
      <w:spacing w:after="100"/>
      <w:ind w:left="220"/>
    </w:pPr>
  </w:style>
  <w:style w:type="paragraph" w:styleId="Header">
    <w:name w:val="header"/>
    <w:basedOn w:val="Normal"/>
    <w:link w:val="HeaderChar"/>
    <w:uiPriority w:val="99"/>
    <w:unhideWhenUsed/>
    <w:rsid w:val="000C3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216"/>
    <w:rPr>
      <w:rFonts w:ascii="Times New Roman" w:hAnsi="Times New Roman" w:cs="Times New Roman"/>
    </w:rPr>
  </w:style>
  <w:style w:type="paragraph" w:styleId="Footer">
    <w:name w:val="footer"/>
    <w:basedOn w:val="Normal"/>
    <w:link w:val="FooterChar"/>
    <w:uiPriority w:val="99"/>
    <w:unhideWhenUsed/>
    <w:rsid w:val="000C3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216"/>
    <w:rPr>
      <w:rFonts w:ascii="Times New Roman" w:hAnsi="Times New Roman" w:cs="Times New Roman"/>
    </w:rPr>
  </w:style>
  <w:style w:type="paragraph" w:styleId="Subtitle">
    <w:name w:val="Subtitle"/>
    <w:aliases w:val="Normal Inviso"/>
    <w:next w:val="BodyText1"/>
    <w:link w:val="SubtitleChar"/>
    <w:uiPriority w:val="11"/>
    <w:qFormat/>
    <w:rsid w:val="00F359EF"/>
    <w:pPr>
      <w:spacing w:after="0"/>
      <w:jc w:val="center"/>
    </w:pPr>
    <w:rPr>
      <w:rFonts w:ascii="Times New Roman" w:hAnsi="Times New Roman" w:cs="Times New Roman"/>
      <w:b/>
      <w:color w:val="FFFFFF" w:themeColor="background1"/>
      <w:sz w:val="4"/>
    </w:rPr>
  </w:style>
  <w:style w:type="character" w:customStyle="1" w:styleId="SubtitleChar">
    <w:name w:val="Subtitle Char"/>
    <w:aliases w:val="Normal Inviso Char"/>
    <w:basedOn w:val="DefaultParagraphFont"/>
    <w:link w:val="Subtitle"/>
    <w:uiPriority w:val="11"/>
    <w:rsid w:val="00F359EF"/>
    <w:rPr>
      <w:rFonts w:ascii="Times New Roman" w:hAnsi="Times New Roman" w:cs="Times New Roman"/>
      <w:b/>
      <w:color w:val="FFFFFF" w:themeColor="background1"/>
      <w:sz w:val="4"/>
    </w:rPr>
  </w:style>
  <w:style w:type="paragraph" w:styleId="TableofFigures">
    <w:name w:val="table of figures"/>
    <w:basedOn w:val="Normal"/>
    <w:next w:val="Normal"/>
    <w:uiPriority w:val="99"/>
    <w:unhideWhenUsed/>
    <w:rsid w:val="008B6304"/>
    <w:pPr>
      <w:spacing w:before="120" w:after="120"/>
    </w:pPr>
  </w:style>
  <w:style w:type="paragraph" w:styleId="Title">
    <w:name w:val="Title"/>
    <w:aliases w:val="Fig Caption Style"/>
    <w:basedOn w:val="Normal"/>
    <w:next w:val="Normal"/>
    <w:link w:val="TitleChar"/>
    <w:uiPriority w:val="10"/>
    <w:qFormat/>
    <w:rsid w:val="008B6304"/>
    <w:rPr>
      <w:b/>
      <w:sz w:val="20"/>
    </w:rPr>
  </w:style>
  <w:style w:type="character" w:customStyle="1" w:styleId="TitleChar">
    <w:name w:val="Title Char"/>
    <w:aliases w:val="Fig Caption Style Char"/>
    <w:basedOn w:val="DefaultParagraphFont"/>
    <w:link w:val="Title"/>
    <w:uiPriority w:val="10"/>
    <w:rsid w:val="008B6304"/>
    <w:rPr>
      <w:rFonts w:ascii="Times New Roman" w:hAnsi="Times New Roman" w:cs="Times New Roman"/>
      <w:b/>
      <w:sz w:val="20"/>
    </w:rPr>
  </w:style>
  <w:style w:type="paragraph" w:styleId="NoSpacing">
    <w:name w:val="No Spacing"/>
    <w:aliases w:val="Table Title Style"/>
    <w:basedOn w:val="Normal"/>
    <w:uiPriority w:val="1"/>
    <w:qFormat/>
    <w:rsid w:val="00F066C7"/>
    <w:pPr>
      <w:keepNext/>
      <w:spacing w:after="0" w:line="240" w:lineRule="auto"/>
      <w:ind w:firstLine="0"/>
      <w:jc w:val="center"/>
    </w:pPr>
    <w:rPr>
      <w:rFonts w:eastAsia="Times New Roman"/>
      <w:color w:val="000000"/>
    </w:rPr>
  </w:style>
  <w:style w:type="paragraph" w:styleId="Caption">
    <w:name w:val="caption"/>
    <w:basedOn w:val="Normal"/>
    <w:next w:val="Normal"/>
    <w:uiPriority w:val="35"/>
    <w:unhideWhenUsed/>
    <w:qFormat/>
    <w:rsid w:val="00A85ADE"/>
    <w:pPr>
      <w:spacing w:line="240" w:lineRule="auto"/>
    </w:pPr>
    <w:rPr>
      <w:b/>
      <w:bCs/>
      <w:color w:val="4F81BD" w:themeColor="accent1"/>
      <w:sz w:val="18"/>
      <w:szCs w:val="18"/>
    </w:rPr>
  </w:style>
  <w:style w:type="paragraph" w:customStyle="1" w:styleId="MainHeadings">
    <w:name w:val="Main Headings"/>
    <w:basedOn w:val="Normal"/>
    <w:link w:val="MainHeadingsCharChar"/>
    <w:rsid w:val="00BF0867"/>
    <w:pPr>
      <w:spacing w:after="0" w:line="240" w:lineRule="auto"/>
      <w:ind w:firstLine="0"/>
    </w:pPr>
    <w:rPr>
      <w:rFonts w:eastAsia="Times New Roman"/>
      <w:b/>
      <w:szCs w:val="20"/>
    </w:rPr>
  </w:style>
  <w:style w:type="character" w:customStyle="1" w:styleId="MainHeadingsCharChar">
    <w:name w:val="Main Headings Char Char"/>
    <w:link w:val="MainHeadings"/>
    <w:rsid w:val="00BF0867"/>
    <w:rPr>
      <w:rFonts w:ascii="Times New Roman" w:eastAsia="Times New Roman" w:hAnsi="Times New Roman" w:cs="Times New Roman"/>
      <w:b/>
      <w:szCs w:val="20"/>
    </w:rPr>
  </w:style>
  <w:style w:type="paragraph" w:customStyle="1" w:styleId="Subsectionheadings">
    <w:name w:val="Subsection headings"/>
    <w:basedOn w:val="BodyText1"/>
    <w:rsid w:val="00BF0867"/>
    <w:pPr>
      <w:ind w:firstLine="0"/>
    </w:pPr>
    <w:rPr>
      <w:b/>
      <w:bCs/>
    </w:rPr>
  </w:style>
  <w:style w:type="paragraph" w:customStyle="1" w:styleId="TableFirstLineStyle">
    <w:name w:val="Table First Line Style"/>
    <w:basedOn w:val="Normal"/>
    <w:link w:val="TableFirstLineStyleChar"/>
    <w:qFormat/>
    <w:rsid w:val="00AD0103"/>
    <w:pPr>
      <w:spacing w:before="520" w:after="0" w:line="276" w:lineRule="auto"/>
      <w:ind w:firstLine="0"/>
      <w:jc w:val="left"/>
    </w:pPr>
  </w:style>
  <w:style w:type="paragraph" w:customStyle="1" w:styleId="NormalBeforeTable">
    <w:name w:val="Normal (Before Table)"/>
    <w:basedOn w:val="Normal"/>
    <w:link w:val="NormalBeforeTableChar"/>
    <w:autoRedefine/>
    <w:qFormat/>
    <w:rsid w:val="00943003"/>
    <w:pPr>
      <w:spacing w:after="720"/>
      <w:ind w:firstLine="274"/>
    </w:pPr>
  </w:style>
  <w:style w:type="character" w:customStyle="1" w:styleId="TableFirstLineStyleChar">
    <w:name w:val="Table First Line Style Char"/>
    <w:basedOn w:val="DefaultParagraphFont"/>
    <w:link w:val="TableFirstLineStyle"/>
    <w:rsid w:val="00AD0103"/>
    <w:rPr>
      <w:rFonts w:ascii="Times New Roman" w:hAnsi="Times New Roman" w:cs="Times New Roman"/>
    </w:rPr>
  </w:style>
  <w:style w:type="paragraph" w:customStyle="1" w:styleId="NormalAfterTable">
    <w:name w:val="Normal (After Table)"/>
    <w:basedOn w:val="Normal"/>
    <w:link w:val="NormalAfterTableChar"/>
    <w:qFormat/>
    <w:rsid w:val="00AD0103"/>
    <w:pPr>
      <w:spacing w:before="720"/>
      <w:ind w:firstLine="274"/>
    </w:pPr>
  </w:style>
  <w:style w:type="character" w:customStyle="1" w:styleId="NormalBeforeTableChar">
    <w:name w:val="Normal (Before Table) Char"/>
    <w:basedOn w:val="DefaultParagraphFont"/>
    <w:link w:val="NormalBeforeTable"/>
    <w:rsid w:val="00943003"/>
    <w:rPr>
      <w:rFonts w:ascii="Times New Roman" w:hAnsi="Times New Roman" w:cs="Times New Roman"/>
    </w:rPr>
  </w:style>
  <w:style w:type="character" w:customStyle="1" w:styleId="NormalAfterTableChar">
    <w:name w:val="Normal (After Table) Char"/>
    <w:basedOn w:val="DefaultParagraphFont"/>
    <w:link w:val="NormalAfterTable"/>
    <w:rsid w:val="00AD010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77875">
      <w:bodyDiv w:val="1"/>
      <w:marLeft w:val="0"/>
      <w:marRight w:val="0"/>
      <w:marTop w:val="0"/>
      <w:marBottom w:val="0"/>
      <w:divBdr>
        <w:top w:val="none" w:sz="0" w:space="0" w:color="auto"/>
        <w:left w:val="none" w:sz="0" w:space="0" w:color="auto"/>
        <w:bottom w:val="none" w:sz="0" w:space="0" w:color="auto"/>
        <w:right w:val="none" w:sz="0" w:space="0" w:color="auto"/>
      </w:divBdr>
    </w:div>
    <w:div w:id="185020050">
      <w:bodyDiv w:val="1"/>
      <w:marLeft w:val="0"/>
      <w:marRight w:val="0"/>
      <w:marTop w:val="0"/>
      <w:marBottom w:val="0"/>
      <w:divBdr>
        <w:top w:val="none" w:sz="0" w:space="0" w:color="auto"/>
        <w:left w:val="none" w:sz="0" w:space="0" w:color="auto"/>
        <w:bottom w:val="none" w:sz="0" w:space="0" w:color="auto"/>
        <w:right w:val="none" w:sz="0" w:space="0" w:color="auto"/>
      </w:divBdr>
    </w:div>
    <w:div w:id="190345813">
      <w:bodyDiv w:val="1"/>
      <w:marLeft w:val="0"/>
      <w:marRight w:val="0"/>
      <w:marTop w:val="0"/>
      <w:marBottom w:val="0"/>
      <w:divBdr>
        <w:top w:val="none" w:sz="0" w:space="0" w:color="auto"/>
        <w:left w:val="none" w:sz="0" w:space="0" w:color="auto"/>
        <w:bottom w:val="none" w:sz="0" w:space="0" w:color="auto"/>
        <w:right w:val="none" w:sz="0" w:space="0" w:color="auto"/>
      </w:divBdr>
    </w:div>
    <w:div w:id="359936616">
      <w:bodyDiv w:val="1"/>
      <w:marLeft w:val="0"/>
      <w:marRight w:val="0"/>
      <w:marTop w:val="0"/>
      <w:marBottom w:val="0"/>
      <w:divBdr>
        <w:top w:val="none" w:sz="0" w:space="0" w:color="auto"/>
        <w:left w:val="none" w:sz="0" w:space="0" w:color="auto"/>
        <w:bottom w:val="none" w:sz="0" w:space="0" w:color="auto"/>
        <w:right w:val="none" w:sz="0" w:space="0" w:color="auto"/>
      </w:divBdr>
    </w:div>
    <w:div w:id="578557199">
      <w:bodyDiv w:val="1"/>
      <w:marLeft w:val="0"/>
      <w:marRight w:val="0"/>
      <w:marTop w:val="0"/>
      <w:marBottom w:val="0"/>
      <w:divBdr>
        <w:top w:val="none" w:sz="0" w:space="0" w:color="auto"/>
        <w:left w:val="none" w:sz="0" w:space="0" w:color="auto"/>
        <w:bottom w:val="none" w:sz="0" w:space="0" w:color="auto"/>
        <w:right w:val="none" w:sz="0" w:space="0" w:color="auto"/>
      </w:divBdr>
    </w:div>
    <w:div w:id="628897811">
      <w:bodyDiv w:val="1"/>
      <w:marLeft w:val="0"/>
      <w:marRight w:val="0"/>
      <w:marTop w:val="0"/>
      <w:marBottom w:val="0"/>
      <w:divBdr>
        <w:top w:val="none" w:sz="0" w:space="0" w:color="auto"/>
        <w:left w:val="none" w:sz="0" w:space="0" w:color="auto"/>
        <w:bottom w:val="none" w:sz="0" w:space="0" w:color="auto"/>
        <w:right w:val="none" w:sz="0" w:space="0" w:color="auto"/>
      </w:divBdr>
    </w:div>
    <w:div w:id="856506722">
      <w:bodyDiv w:val="1"/>
      <w:marLeft w:val="0"/>
      <w:marRight w:val="0"/>
      <w:marTop w:val="0"/>
      <w:marBottom w:val="0"/>
      <w:divBdr>
        <w:top w:val="none" w:sz="0" w:space="0" w:color="auto"/>
        <w:left w:val="none" w:sz="0" w:space="0" w:color="auto"/>
        <w:bottom w:val="none" w:sz="0" w:space="0" w:color="auto"/>
        <w:right w:val="none" w:sz="0" w:space="0" w:color="auto"/>
      </w:divBdr>
    </w:div>
    <w:div w:id="902176520">
      <w:bodyDiv w:val="1"/>
      <w:marLeft w:val="0"/>
      <w:marRight w:val="0"/>
      <w:marTop w:val="0"/>
      <w:marBottom w:val="0"/>
      <w:divBdr>
        <w:top w:val="none" w:sz="0" w:space="0" w:color="auto"/>
        <w:left w:val="none" w:sz="0" w:space="0" w:color="auto"/>
        <w:bottom w:val="none" w:sz="0" w:space="0" w:color="auto"/>
        <w:right w:val="none" w:sz="0" w:space="0" w:color="auto"/>
      </w:divBdr>
    </w:div>
    <w:div w:id="936406382">
      <w:bodyDiv w:val="1"/>
      <w:marLeft w:val="0"/>
      <w:marRight w:val="0"/>
      <w:marTop w:val="0"/>
      <w:marBottom w:val="0"/>
      <w:divBdr>
        <w:top w:val="none" w:sz="0" w:space="0" w:color="auto"/>
        <w:left w:val="none" w:sz="0" w:space="0" w:color="auto"/>
        <w:bottom w:val="none" w:sz="0" w:space="0" w:color="auto"/>
        <w:right w:val="none" w:sz="0" w:space="0" w:color="auto"/>
      </w:divBdr>
    </w:div>
    <w:div w:id="968709553">
      <w:bodyDiv w:val="1"/>
      <w:marLeft w:val="0"/>
      <w:marRight w:val="0"/>
      <w:marTop w:val="0"/>
      <w:marBottom w:val="0"/>
      <w:divBdr>
        <w:top w:val="none" w:sz="0" w:space="0" w:color="auto"/>
        <w:left w:val="none" w:sz="0" w:space="0" w:color="auto"/>
        <w:bottom w:val="none" w:sz="0" w:space="0" w:color="auto"/>
        <w:right w:val="none" w:sz="0" w:space="0" w:color="auto"/>
      </w:divBdr>
    </w:div>
    <w:div w:id="1023045745">
      <w:bodyDiv w:val="1"/>
      <w:marLeft w:val="0"/>
      <w:marRight w:val="0"/>
      <w:marTop w:val="0"/>
      <w:marBottom w:val="0"/>
      <w:divBdr>
        <w:top w:val="none" w:sz="0" w:space="0" w:color="auto"/>
        <w:left w:val="none" w:sz="0" w:space="0" w:color="auto"/>
        <w:bottom w:val="none" w:sz="0" w:space="0" w:color="auto"/>
        <w:right w:val="none" w:sz="0" w:space="0" w:color="auto"/>
      </w:divBdr>
    </w:div>
    <w:div w:id="1441874733">
      <w:bodyDiv w:val="1"/>
      <w:marLeft w:val="0"/>
      <w:marRight w:val="0"/>
      <w:marTop w:val="0"/>
      <w:marBottom w:val="0"/>
      <w:divBdr>
        <w:top w:val="none" w:sz="0" w:space="0" w:color="auto"/>
        <w:left w:val="none" w:sz="0" w:space="0" w:color="auto"/>
        <w:bottom w:val="none" w:sz="0" w:space="0" w:color="auto"/>
        <w:right w:val="none" w:sz="0" w:space="0" w:color="auto"/>
      </w:divBdr>
    </w:div>
    <w:div w:id="1479686671">
      <w:bodyDiv w:val="1"/>
      <w:marLeft w:val="0"/>
      <w:marRight w:val="0"/>
      <w:marTop w:val="0"/>
      <w:marBottom w:val="0"/>
      <w:divBdr>
        <w:top w:val="none" w:sz="0" w:space="0" w:color="auto"/>
        <w:left w:val="none" w:sz="0" w:space="0" w:color="auto"/>
        <w:bottom w:val="none" w:sz="0" w:space="0" w:color="auto"/>
        <w:right w:val="none" w:sz="0" w:space="0" w:color="auto"/>
      </w:divBdr>
    </w:div>
    <w:div w:id="1503860104">
      <w:bodyDiv w:val="1"/>
      <w:marLeft w:val="0"/>
      <w:marRight w:val="0"/>
      <w:marTop w:val="0"/>
      <w:marBottom w:val="0"/>
      <w:divBdr>
        <w:top w:val="none" w:sz="0" w:space="0" w:color="auto"/>
        <w:left w:val="none" w:sz="0" w:space="0" w:color="auto"/>
        <w:bottom w:val="none" w:sz="0" w:space="0" w:color="auto"/>
        <w:right w:val="none" w:sz="0" w:space="0" w:color="auto"/>
      </w:divBdr>
    </w:div>
    <w:div w:id="1598902377">
      <w:bodyDiv w:val="1"/>
      <w:marLeft w:val="0"/>
      <w:marRight w:val="0"/>
      <w:marTop w:val="0"/>
      <w:marBottom w:val="0"/>
      <w:divBdr>
        <w:top w:val="none" w:sz="0" w:space="0" w:color="auto"/>
        <w:left w:val="none" w:sz="0" w:space="0" w:color="auto"/>
        <w:bottom w:val="none" w:sz="0" w:space="0" w:color="auto"/>
        <w:right w:val="none" w:sz="0" w:space="0" w:color="auto"/>
      </w:divBdr>
    </w:div>
    <w:div w:id="1705322835">
      <w:bodyDiv w:val="1"/>
      <w:marLeft w:val="0"/>
      <w:marRight w:val="0"/>
      <w:marTop w:val="0"/>
      <w:marBottom w:val="0"/>
      <w:divBdr>
        <w:top w:val="none" w:sz="0" w:space="0" w:color="auto"/>
        <w:left w:val="none" w:sz="0" w:space="0" w:color="auto"/>
        <w:bottom w:val="none" w:sz="0" w:space="0" w:color="auto"/>
        <w:right w:val="none" w:sz="0" w:space="0" w:color="auto"/>
      </w:divBdr>
    </w:div>
    <w:div w:id="1729111866">
      <w:bodyDiv w:val="1"/>
      <w:marLeft w:val="0"/>
      <w:marRight w:val="0"/>
      <w:marTop w:val="0"/>
      <w:marBottom w:val="0"/>
      <w:divBdr>
        <w:top w:val="none" w:sz="0" w:space="0" w:color="auto"/>
        <w:left w:val="none" w:sz="0" w:space="0" w:color="auto"/>
        <w:bottom w:val="none" w:sz="0" w:space="0" w:color="auto"/>
        <w:right w:val="none" w:sz="0" w:space="0" w:color="auto"/>
      </w:divBdr>
    </w:div>
    <w:div w:id="1747527871">
      <w:bodyDiv w:val="1"/>
      <w:marLeft w:val="0"/>
      <w:marRight w:val="0"/>
      <w:marTop w:val="0"/>
      <w:marBottom w:val="0"/>
      <w:divBdr>
        <w:top w:val="none" w:sz="0" w:space="0" w:color="auto"/>
        <w:left w:val="none" w:sz="0" w:space="0" w:color="auto"/>
        <w:bottom w:val="none" w:sz="0" w:space="0" w:color="auto"/>
        <w:right w:val="none" w:sz="0" w:space="0" w:color="auto"/>
      </w:divBdr>
    </w:div>
    <w:div w:id="1785732482">
      <w:bodyDiv w:val="1"/>
      <w:marLeft w:val="0"/>
      <w:marRight w:val="0"/>
      <w:marTop w:val="0"/>
      <w:marBottom w:val="0"/>
      <w:divBdr>
        <w:top w:val="none" w:sz="0" w:space="0" w:color="auto"/>
        <w:left w:val="none" w:sz="0" w:space="0" w:color="auto"/>
        <w:bottom w:val="none" w:sz="0" w:space="0" w:color="auto"/>
        <w:right w:val="none" w:sz="0" w:space="0" w:color="auto"/>
      </w:divBdr>
    </w:div>
    <w:div w:id="1900241829">
      <w:bodyDiv w:val="1"/>
      <w:marLeft w:val="0"/>
      <w:marRight w:val="0"/>
      <w:marTop w:val="0"/>
      <w:marBottom w:val="0"/>
      <w:divBdr>
        <w:top w:val="none" w:sz="0" w:space="0" w:color="auto"/>
        <w:left w:val="none" w:sz="0" w:space="0" w:color="auto"/>
        <w:bottom w:val="none" w:sz="0" w:space="0" w:color="auto"/>
        <w:right w:val="none" w:sz="0" w:space="0" w:color="auto"/>
      </w:divBdr>
    </w:div>
    <w:div w:id="1977031149">
      <w:bodyDiv w:val="1"/>
      <w:marLeft w:val="0"/>
      <w:marRight w:val="0"/>
      <w:marTop w:val="0"/>
      <w:marBottom w:val="0"/>
      <w:divBdr>
        <w:top w:val="none" w:sz="0" w:space="0" w:color="auto"/>
        <w:left w:val="none" w:sz="0" w:space="0" w:color="auto"/>
        <w:bottom w:val="none" w:sz="0" w:space="0" w:color="auto"/>
        <w:right w:val="none" w:sz="0" w:space="0" w:color="auto"/>
      </w:divBdr>
    </w:div>
    <w:div w:id="2092040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0.emf"/><Relationship Id="rId299" Type="http://schemas.openxmlformats.org/officeDocument/2006/relationships/image" Target="media/image159.wmf"/><Relationship Id="rId21" Type="http://schemas.openxmlformats.org/officeDocument/2006/relationships/image" Target="media/image6.wmf"/><Relationship Id="rId63" Type="http://schemas.openxmlformats.org/officeDocument/2006/relationships/image" Target="media/image29.wmf"/><Relationship Id="rId159" Type="http://schemas.openxmlformats.org/officeDocument/2006/relationships/image" Target="media/image86.wmf"/><Relationship Id="rId324" Type="http://schemas.openxmlformats.org/officeDocument/2006/relationships/image" Target="media/image172.wmf"/><Relationship Id="rId366" Type="http://schemas.openxmlformats.org/officeDocument/2006/relationships/oleObject" Target="embeddings/oleObject158.bin"/><Relationship Id="rId170" Type="http://schemas.openxmlformats.org/officeDocument/2006/relationships/image" Target="media/image92.wmf"/><Relationship Id="rId226" Type="http://schemas.openxmlformats.org/officeDocument/2006/relationships/oleObject" Target="embeddings/oleObject95.bin"/><Relationship Id="rId433" Type="http://schemas.openxmlformats.org/officeDocument/2006/relationships/image" Target="media/image228.wmf"/><Relationship Id="rId268" Type="http://schemas.openxmlformats.org/officeDocument/2006/relationships/oleObject" Target="embeddings/oleObject119.bin"/><Relationship Id="rId32" Type="http://schemas.openxmlformats.org/officeDocument/2006/relationships/oleObject" Target="embeddings/oleObject11.bin"/><Relationship Id="rId74" Type="http://schemas.openxmlformats.org/officeDocument/2006/relationships/oleObject" Target="embeddings/oleObject28.bin"/><Relationship Id="rId128" Type="http://schemas.openxmlformats.org/officeDocument/2006/relationships/oleObject" Target="embeddings/oleObject53.bin"/><Relationship Id="rId335" Type="http://schemas.openxmlformats.org/officeDocument/2006/relationships/image" Target="media/image178.wmf"/><Relationship Id="rId377" Type="http://schemas.openxmlformats.org/officeDocument/2006/relationships/oleObject" Target="embeddings/oleObject164.bin"/><Relationship Id="rId5" Type="http://schemas.openxmlformats.org/officeDocument/2006/relationships/settings" Target="settings.xml"/><Relationship Id="rId181" Type="http://schemas.openxmlformats.org/officeDocument/2006/relationships/image" Target="media/image97.wmf"/><Relationship Id="rId237" Type="http://schemas.openxmlformats.org/officeDocument/2006/relationships/image" Target="media/image125.wmf"/><Relationship Id="rId402" Type="http://schemas.openxmlformats.org/officeDocument/2006/relationships/image" Target="media/image212.wmf"/><Relationship Id="rId279" Type="http://schemas.openxmlformats.org/officeDocument/2006/relationships/image" Target="media/image145.png"/><Relationship Id="rId444" Type="http://schemas.openxmlformats.org/officeDocument/2006/relationships/chart" Target="charts/chart9.xml"/><Relationship Id="rId43" Type="http://schemas.openxmlformats.org/officeDocument/2006/relationships/image" Target="media/image17.wmf"/><Relationship Id="rId139" Type="http://schemas.openxmlformats.org/officeDocument/2006/relationships/image" Target="media/image71.wmf"/><Relationship Id="rId290" Type="http://schemas.openxmlformats.org/officeDocument/2006/relationships/image" Target="media/image153.wmf"/><Relationship Id="rId304" Type="http://schemas.openxmlformats.org/officeDocument/2006/relationships/oleObject" Target="embeddings/oleObject131.bin"/><Relationship Id="rId346" Type="http://schemas.openxmlformats.org/officeDocument/2006/relationships/oleObject" Target="embeddings/oleObject151.bin"/><Relationship Id="rId388" Type="http://schemas.openxmlformats.org/officeDocument/2006/relationships/image" Target="media/image205.wmf"/><Relationship Id="rId85" Type="http://schemas.openxmlformats.org/officeDocument/2006/relationships/image" Target="media/image44.wmf"/><Relationship Id="rId150" Type="http://schemas.openxmlformats.org/officeDocument/2006/relationships/image" Target="media/image79.png"/><Relationship Id="rId192" Type="http://schemas.openxmlformats.org/officeDocument/2006/relationships/oleObject" Target="embeddings/oleObject78.bin"/><Relationship Id="rId206" Type="http://schemas.openxmlformats.org/officeDocument/2006/relationships/oleObject" Target="embeddings/oleObject85.bin"/><Relationship Id="rId413" Type="http://schemas.openxmlformats.org/officeDocument/2006/relationships/oleObject" Target="embeddings/oleObject184.bin"/><Relationship Id="rId248" Type="http://schemas.openxmlformats.org/officeDocument/2006/relationships/oleObject" Target="embeddings/oleObject107.bin"/><Relationship Id="rId455" Type="http://schemas.openxmlformats.org/officeDocument/2006/relationships/image" Target="media/image239.png"/><Relationship Id="rId12" Type="http://schemas.openxmlformats.org/officeDocument/2006/relationships/oleObject" Target="embeddings/oleObject1.bin"/><Relationship Id="rId108" Type="http://schemas.openxmlformats.org/officeDocument/2006/relationships/oleObject" Target="embeddings/oleObject43.bin"/><Relationship Id="rId315" Type="http://schemas.openxmlformats.org/officeDocument/2006/relationships/oleObject" Target="embeddings/oleObject136.bin"/><Relationship Id="rId357" Type="http://schemas.openxmlformats.org/officeDocument/2006/relationships/image" Target="media/image190.png"/><Relationship Id="rId54" Type="http://schemas.openxmlformats.org/officeDocument/2006/relationships/oleObject" Target="embeddings/oleObject20.bin"/><Relationship Id="rId96" Type="http://schemas.openxmlformats.org/officeDocument/2006/relationships/oleObject" Target="embeddings/oleObject37.bin"/><Relationship Id="rId161" Type="http://schemas.openxmlformats.org/officeDocument/2006/relationships/image" Target="media/image87.png"/><Relationship Id="rId217" Type="http://schemas.openxmlformats.org/officeDocument/2006/relationships/image" Target="media/image115.wmf"/><Relationship Id="rId399" Type="http://schemas.openxmlformats.org/officeDocument/2006/relationships/oleObject" Target="embeddings/oleObject177.bin"/><Relationship Id="rId259" Type="http://schemas.openxmlformats.org/officeDocument/2006/relationships/image" Target="media/image134.wmf"/><Relationship Id="rId424" Type="http://schemas.openxmlformats.org/officeDocument/2006/relationships/image" Target="media/image223.wmf"/><Relationship Id="rId466" Type="http://schemas.openxmlformats.org/officeDocument/2006/relationships/fontTable" Target="fontTable.xml"/><Relationship Id="rId23" Type="http://schemas.openxmlformats.org/officeDocument/2006/relationships/image" Target="media/image7.wmf"/><Relationship Id="rId119" Type="http://schemas.openxmlformats.org/officeDocument/2006/relationships/image" Target="media/image61.emf"/><Relationship Id="rId270" Type="http://schemas.openxmlformats.org/officeDocument/2006/relationships/oleObject" Target="embeddings/oleObject120.bin"/><Relationship Id="rId326" Type="http://schemas.openxmlformats.org/officeDocument/2006/relationships/image" Target="media/image173.wmf"/><Relationship Id="rId44" Type="http://schemas.openxmlformats.org/officeDocument/2006/relationships/oleObject" Target="embeddings/oleObject17.bin"/><Relationship Id="rId65" Type="http://schemas.openxmlformats.org/officeDocument/2006/relationships/image" Target="media/image30.wmf"/><Relationship Id="rId86" Type="http://schemas.openxmlformats.org/officeDocument/2006/relationships/oleObject" Target="embeddings/oleObject32.bin"/><Relationship Id="rId130" Type="http://schemas.openxmlformats.org/officeDocument/2006/relationships/oleObject" Target="embeddings/oleObject54.bin"/><Relationship Id="rId151" Type="http://schemas.openxmlformats.org/officeDocument/2006/relationships/image" Target="media/image80.png"/><Relationship Id="rId368" Type="http://schemas.openxmlformats.org/officeDocument/2006/relationships/oleObject" Target="embeddings/oleObject159.bin"/><Relationship Id="rId389" Type="http://schemas.openxmlformats.org/officeDocument/2006/relationships/oleObject" Target="embeddings/oleObject172.bin"/><Relationship Id="rId172" Type="http://schemas.openxmlformats.org/officeDocument/2006/relationships/image" Target="media/image93.wmf"/><Relationship Id="rId193" Type="http://schemas.openxmlformats.org/officeDocument/2006/relationships/image" Target="media/image103.wmf"/><Relationship Id="rId207" Type="http://schemas.openxmlformats.org/officeDocument/2006/relationships/image" Target="media/image110.wmf"/><Relationship Id="rId228" Type="http://schemas.openxmlformats.org/officeDocument/2006/relationships/oleObject" Target="embeddings/oleObject96.bin"/><Relationship Id="rId249" Type="http://schemas.openxmlformats.org/officeDocument/2006/relationships/oleObject" Target="embeddings/oleObject108.bin"/><Relationship Id="rId414" Type="http://schemas.openxmlformats.org/officeDocument/2006/relationships/image" Target="media/image218.wmf"/><Relationship Id="rId435" Type="http://schemas.openxmlformats.org/officeDocument/2006/relationships/chart" Target="charts/chart3.xml"/><Relationship Id="rId456" Type="http://schemas.openxmlformats.org/officeDocument/2006/relationships/image" Target="media/image240.png"/><Relationship Id="rId13" Type="http://schemas.openxmlformats.org/officeDocument/2006/relationships/image" Target="media/image2.wmf"/><Relationship Id="rId109" Type="http://schemas.openxmlformats.org/officeDocument/2006/relationships/image" Target="media/image56.wmf"/><Relationship Id="rId260" Type="http://schemas.openxmlformats.org/officeDocument/2006/relationships/oleObject" Target="embeddings/oleObject114.bin"/><Relationship Id="rId281" Type="http://schemas.openxmlformats.org/officeDocument/2006/relationships/oleObject" Target="embeddings/oleObject123.bin"/><Relationship Id="rId316" Type="http://schemas.openxmlformats.org/officeDocument/2006/relationships/image" Target="media/image168.wmf"/><Relationship Id="rId337" Type="http://schemas.openxmlformats.org/officeDocument/2006/relationships/image" Target="media/image179.wmf"/><Relationship Id="rId34" Type="http://schemas.openxmlformats.org/officeDocument/2006/relationships/oleObject" Target="embeddings/oleObject12.bin"/><Relationship Id="rId55" Type="http://schemas.openxmlformats.org/officeDocument/2006/relationships/image" Target="media/image25.wmf"/><Relationship Id="rId76" Type="http://schemas.openxmlformats.org/officeDocument/2006/relationships/oleObject" Target="embeddings/oleObject29.bin"/><Relationship Id="rId97" Type="http://schemas.openxmlformats.org/officeDocument/2006/relationships/image" Target="media/image50.emf"/><Relationship Id="rId120" Type="http://schemas.openxmlformats.org/officeDocument/2006/relationships/oleObject" Target="embeddings/oleObject49.bin"/><Relationship Id="rId141" Type="http://schemas.openxmlformats.org/officeDocument/2006/relationships/image" Target="media/image72.png"/><Relationship Id="rId358" Type="http://schemas.openxmlformats.org/officeDocument/2006/relationships/image" Target="media/image191.png"/><Relationship Id="rId379" Type="http://schemas.openxmlformats.org/officeDocument/2006/relationships/oleObject" Target="embeddings/oleObject166.bin"/><Relationship Id="rId7" Type="http://schemas.openxmlformats.org/officeDocument/2006/relationships/footnotes" Target="footnotes.xml"/><Relationship Id="rId162" Type="http://schemas.openxmlformats.org/officeDocument/2006/relationships/image" Target="media/image88.wmf"/><Relationship Id="rId183" Type="http://schemas.openxmlformats.org/officeDocument/2006/relationships/image" Target="media/image98.wmf"/><Relationship Id="rId218" Type="http://schemas.openxmlformats.org/officeDocument/2006/relationships/oleObject" Target="embeddings/oleObject91.bin"/><Relationship Id="rId239" Type="http://schemas.openxmlformats.org/officeDocument/2006/relationships/oleObject" Target="embeddings/oleObject102.bin"/><Relationship Id="rId390" Type="http://schemas.openxmlformats.org/officeDocument/2006/relationships/image" Target="media/image206.wmf"/><Relationship Id="rId404" Type="http://schemas.openxmlformats.org/officeDocument/2006/relationships/image" Target="media/image213.wmf"/><Relationship Id="rId425" Type="http://schemas.openxmlformats.org/officeDocument/2006/relationships/oleObject" Target="embeddings/oleObject190.bin"/><Relationship Id="rId446" Type="http://schemas.openxmlformats.org/officeDocument/2006/relationships/chart" Target="charts/chart11.xml"/><Relationship Id="rId467" Type="http://schemas.openxmlformats.org/officeDocument/2006/relationships/theme" Target="theme/theme1.xml"/><Relationship Id="rId250" Type="http://schemas.openxmlformats.org/officeDocument/2006/relationships/image" Target="media/image130.wmf"/><Relationship Id="rId271" Type="http://schemas.openxmlformats.org/officeDocument/2006/relationships/image" Target="media/image139.wmf"/><Relationship Id="rId292" Type="http://schemas.openxmlformats.org/officeDocument/2006/relationships/image" Target="media/image154.png"/><Relationship Id="rId306" Type="http://schemas.openxmlformats.org/officeDocument/2006/relationships/oleObject" Target="embeddings/oleObject132.bin"/><Relationship Id="rId24" Type="http://schemas.openxmlformats.org/officeDocument/2006/relationships/oleObject" Target="embeddings/oleObject7.bin"/><Relationship Id="rId45" Type="http://schemas.openxmlformats.org/officeDocument/2006/relationships/image" Target="media/image18.wmf"/><Relationship Id="rId66" Type="http://schemas.openxmlformats.org/officeDocument/2006/relationships/image" Target="media/image31.png"/><Relationship Id="rId87" Type="http://schemas.openxmlformats.org/officeDocument/2006/relationships/image" Target="media/image45.wmf"/><Relationship Id="rId110" Type="http://schemas.openxmlformats.org/officeDocument/2006/relationships/oleObject" Target="embeddings/oleObject44.bin"/><Relationship Id="rId131" Type="http://schemas.openxmlformats.org/officeDocument/2006/relationships/image" Target="media/image67.wmf"/><Relationship Id="rId327" Type="http://schemas.openxmlformats.org/officeDocument/2006/relationships/oleObject" Target="embeddings/oleObject142.bin"/><Relationship Id="rId348" Type="http://schemas.openxmlformats.org/officeDocument/2006/relationships/oleObject" Target="embeddings/oleObject152.bin"/><Relationship Id="rId369" Type="http://schemas.openxmlformats.org/officeDocument/2006/relationships/image" Target="media/image198.wmf"/><Relationship Id="rId152" Type="http://schemas.openxmlformats.org/officeDocument/2006/relationships/image" Target="media/image81.png"/><Relationship Id="rId173" Type="http://schemas.openxmlformats.org/officeDocument/2006/relationships/oleObject" Target="embeddings/oleObject68.bin"/><Relationship Id="rId194" Type="http://schemas.openxmlformats.org/officeDocument/2006/relationships/oleObject" Target="embeddings/oleObject79.bin"/><Relationship Id="rId208" Type="http://schemas.openxmlformats.org/officeDocument/2006/relationships/oleObject" Target="embeddings/oleObject86.bin"/><Relationship Id="rId229" Type="http://schemas.openxmlformats.org/officeDocument/2006/relationships/image" Target="media/image121.wmf"/><Relationship Id="rId380" Type="http://schemas.openxmlformats.org/officeDocument/2006/relationships/image" Target="media/image202.wmf"/><Relationship Id="rId415" Type="http://schemas.openxmlformats.org/officeDocument/2006/relationships/oleObject" Target="embeddings/oleObject185.bin"/><Relationship Id="rId436" Type="http://schemas.openxmlformats.org/officeDocument/2006/relationships/chart" Target="charts/chart4.xml"/><Relationship Id="rId457" Type="http://schemas.openxmlformats.org/officeDocument/2006/relationships/image" Target="media/image241.png"/><Relationship Id="rId240" Type="http://schemas.openxmlformats.org/officeDocument/2006/relationships/image" Target="media/image126.wmf"/><Relationship Id="rId261" Type="http://schemas.openxmlformats.org/officeDocument/2006/relationships/oleObject" Target="embeddings/oleObject115.bin"/><Relationship Id="rId14" Type="http://schemas.openxmlformats.org/officeDocument/2006/relationships/oleObject" Target="embeddings/oleObject2.bin"/><Relationship Id="rId35" Type="http://schemas.openxmlformats.org/officeDocument/2006/relationships/image" Target="media/image13.wmf"/><Relationship Id="rId56" Type="http://schemas.openxmlformats.org/officeDocument/2006/relationships/oleObject" Target="embeddings/oleObject21.bin"/><Relationship Id="rId77" Type="http://schemas.openxmlformats.org/officeDocument/2006/relationships/image" Target="media/image38.wmf"/><Relationship Id="rId100" Type="http://schemas.openxmlformats.org/officeDocument/2006/relationships/oleObject" Target="embeddings/oleObject39.bin"/><Relationship Id="rId282" Type="http://schemas.openxmlformats.org/officeDocument/2006/relationships/image" Target="media/image147.wmf"/><Relationship Id="rId317" Type="http://schemas.openxmlformats.org/officeDocument/2006/relationships/oleObject" Target="embeddings/oleObject137.bin"/><Relationship Id="rId338" Type="http://schemas.openxmlformats.org/officeDocument/2006/relationships/oleObject" Target="embeddings/oleObject147.bin"/><Relationship Id="rId359" Type="http://schemas.openxmlformats.org/officeDocument/2006/relationships/image" Target="media/image192.png"/><Relationship Id="rId8" Type="http://schemas.openxmlformats.org/officeDocument/2006/relationships/endnotes" Target="endnotes.xml"/><Relationship Id="rId98" Type="http://schemas.openxmlformats.org/officeDocument/2006/relationships/oleObject" Target="embeddings/oleObject38.bin"/><Relationship Id="rId121" Type="http://schemas.openxmlformats.org/officeDocument/2006/relationships/image" Target="media/image62.wmf"/><Relationship Id="rId142" Type="http://schemas.openxmlformats.org/officeDocument/2006/relationships/image" Target="media/image73.png"/><Relationship Id="rId163" Type="http://schemas.openxmlformats.org/officeDocument/2006/relationships/oleObject" Target="embeddings/oleObject63.bin"/><Relationship Id="rId184" Type="http://schemas.openxmlformats.org/officeDocument/2006/relationships/oleObject" Target="embeddings/oleObject74.bin"/><Relationship Id="rId219" Type="http://schemas.openxmlformats.org/officeDocument/2006/relationships/image" Target="media/image116.wmf"/><Relationship Id="rId370" Type="http://schemas.openxmlformats.org/officeDocument/2006/relationships/oleObject" Target="embeddings/oleObject160.bin"/><Relationship Id="rId391" Type="http://schemas.openxmlformats.org/officeDocument/2006/relationships/oleObject" Target="embeddings/oleObject173.bin"/><Relationship Id="rId405" Type="http://schemas.openxmlformats.org/officeDocument/2006/relationships/oleObject" Target="embeddings/oleObject180.bin"/><Relationship Id="rId426" Type="http://schemas.openxmlformats.org/officeDocument/2006/relationships/image" Target="media/image224.wmf"/><Relationship Id="rId447" Type="http://schemas.openxmlformats.org/officeDocument/2006/relationships/image" Target="media/image231.png"/><Relationship Id="rId230" Type="http://schemas.openxmlformats.org/officeDocument/2006/relationships/oleObject" Target="embeddings/oleObject97.bin"/><Relationship Id="rId251" Type="http://schemas.openxmlformats.org/officeDocument/2006/relationships/oleObject" Target="embeddings/oleObject109.bin"/><Relationship Id="rId25" Type="http://schemas.openxmlformats.org/officeDocument/2006/relationships/image" Target="media/image8.wmf"/><Relationship Id="rId46" Type="http://schemas.openxmlformats.org/officeDocument/2006/relationships/oleObject" Target="embeddings/oleObject18.bin"/><Relationship Id="rId67" Type="http://schemas.openxmlformats.org/officeDocument/2006/relationships/image" Target="media/image32.png"/><Relationship Id="rId272" Type="http://schemas.openxmlformats.org/officeDocument/2006/relationships/oleObject" Target="embeddings/oleObject121.bin"/><Relationship Id="rId293" Type="http://schemas.openxmlformats.org/officeDocument/2006/relationships/image" Target="media/image155.wmf"/><Relationship Id="rId307" Type="http://schemas.openxmlformats.org/officeDocument/2006/relationships/image" Target="media/image163.png"/><Relationship Id="rId328" Type="http://schemas.openxmlformats.org/officeDocument/2006/relationships/image" Target="media/image174.wmf"/><Relationship Id="rId349" Type="http://schemas.openxmlformats.org/officeDocument/2006/relationships/image" Target="media/image185.wmf"/><Relationship Id="rId88" Type="http://schemas.openxmlformats.org/officeDocument/2006/relationships/oleObject" Target="embeddings/oleObject33.bin"/><Relationship Id="rId111" Type="http://schemas.openxmlformats.org/officeDocument/2006/relationships/image" Target="media/image57.emf"/><Relationship Id="rId132" Type="http://schemas.openxmlformats.org/officeDocument/2006/relationships/oleObject" Target="embeddings/oleObject55.bin"/><Relationship Id="rId153" Type="http://schemas.openxmlformats.org/officeDocument/2006/relationships/image" Target="media/image82.png"/><Relationship Id="rId174" Type="http://schemas.openxmlformats.org/officeDocument/2006/relationships/image" Target="media/image94.wmf"/><Relationship Id="rId195" Type="http://schemas.openxmlformats.org/officeDocument/2006/relationships/image" Target="media/image104.wmf"/><Relationship Id="rId209" Type="http://schemas.openxmlformats.org/officeDocument/2006/relationships/image" Target="media/image111.wmf"/><Relationship Id="rId360" Type="http://schemas.openxmlformats.org/officeDocument/2006/relationships/image" Target="media/image193.png"/><Relationship Id="rId381" Type="http://schemas.openxmlformats.org/officeDocument/2006/relationships/oleObject" Target="embeddings/oleObject167.bin"/><Relationship Id="rId416" Type="http://schemas.openxmlformats.org/officeDocument/2006/relationships/image" Target="media/image219.wmf"/><Relationship Id="rId220" Type="http://schemas.openxmlformats.org/officeDocument/2006/relationships/oleObject" Target="embeddings/oleObject92.bin"/><Relationship Id="rId241" Type="http://schemas.openxmlformats.org/officeDocument/2006/relationships/oleObject" Target="embeddings/oleObject103.bin"/><Relationship Id="rId437" Type="http://schemas.openxmlformats.org/officeDocument/2006/relationships/chart" Target="charts/chart5.xml"/><Relationship Id="rId458" Type="http://schemas.openxmlformats.org/officeDocument/2006/relationships/image" Target="media/image242.png"/><Relationship Id="rId15" Type="http://schemas.openxmlformats.org/officeDocument/2006/relationships/image" Target="media/image3.wmf"/><Relationship Id="rId36" Type="http://schemas.openxmlformats.org/officeDocument/2006/relationships/oleObject" Target="embeddings/oleObject13.bin"/><Relationship Id="rId57" Type="http://schemas.openxmlformats.org/officeDocument/2006/relationships/image" Target="media/image26.wmf"/><Relationship Id="rId262" Type="http://schemas.openxmlformats.org/officeDocument/2006/relationships/image" Target="media/image135.wmf"/><Relationship Id="rId283" Type="http://schemas.openxmlformats.org/officeDocument/2006/relationships/oleObject" Target="embeddings/oleObject124.bin"/><Relationship Id="rId318" Type="http://schemas.openxmlformats.org/officeDocument/2006/relationships/image" Target="media/image169.wmf"/><Relationship Id="rId339" Type="http://schemas.openxmlformats.org/officeDocument/2006/relationships/image" Target="media/image180.wmf"/><Relationship Id="rId78" Type="http://schemas.openxmlformats.org/officeDocument/2006/relationships/oleObject" Target="embeddings/oleObject30.bin"/><Relationship Id="rId99" Type="http://schemas.openxmlformats.org/officeDocument/2006/relationships/image" Target="media/image51.emf"/><Relationship Id="rId101" Type="http://schemas.openxmlformats.org/officeDocument/2006/relationships/image" Target="media/image52.emf"/><Relationship Id="rId122" Type="http://schemas.openxmlformats.org/officeDocument/2006/relationships/oleObject" Target="embeddings/oleObject50.bin"/><Relationship Id="rId143" Type="http://schemas.openxmlformats.org/officeDocument/2006/relationships/image" Target="media/image74.wmf"/><Relationship Id="rId164" Type="http://schemas.openxmlformats.org/officeDocument/2006/relationships/image" Target="media/image89.wmf"/><Relationship Id="rId185" Type="http://schemas.openxmlformats.org/officeDocument/2006/relationships/image" Target="media/image99.wmf"/><Relationship Id="rId350" Type="http://schemas.openxmlformats.org/officeDocument/2006/relationships/oleObject" Target="embeddings/oleObject153.bin"/><Relationship Id="rId371" Type="http://schemas.openxmlformats.org/officeDocument/2006/relationships/image" Target="media/image199.wmf"/><Relationship Id="rId406" Type="http://schemas.openxmlformats.org/officeDocument/2006/relationships/image" Target="media/image214.wmf"/><Relationship Id="rId9" Type="http://schemas.openxmlformats.org/officeDocument/2006/relationships/footer" Target="footer1.xml"/><Relationship Id="rId210" Type="http://schemas.openxmlformats.org/officeDocument/2006/relationships/oleObject" Target="embeddings/oleObject87.bin"/><Relationship Id="rId392" Type="http://schemas.openxmlformats.org/officeDocument/2006/relationships/image" Target="media/image207.wmf"/><Relationship Id="rId427" Type="http://schemas.openxmlformats.org/officeDocument/2006/relationships/oleObject" Target="embeddings/oleObject191.bin"/><Relationship Id="rId448" Type="http://schemas.openxmlformats.org/officeDocument/2006/relationships/image" Target="media/image232.png"/><Relationship Id="rId26" Type="http://schemas.openxmlformats.org/officeDocument/2006/relationships/oleObject" Target="embeddings/oleObject8.bin"/><Relationship Id="rId231" Type="http://schemas.openxmlformats.org/officeDocument/2006/relationships/image" Target="media/image122.wmf"/><Relationship Id="rId252" Type="http://schemas.openxmlformats.org/officeDocument/2006/relationships/image" Target="media/image131.png"/><Relationship Id="rId273" Type="http://schemas.openxmlformats.org/officeDocument/2006/relationships/image" Target="media/image140.wmf"/><Relationship Id="rId294" Type="http://schemas.openxmlformats.org/officeDocument/2006/relationships/oleObject" Target="embeddings/oleObject127.bin"/><Relationship Id="rId308" Type="http://schemas.openxmlformats.org/officeDocument/2006/relationships/image" Target="media/image164.wmf"/><Relationship Id="rId329" Type="http://schemas.openxmlformats.org/officeDocument/2006/relationships/oleObject" Target="embeddings/oleObject143.bin"/><Relationship Id="rId47" Type="http://schemas.openxmlformats.org/officeDocument/2006/relationships/image" Target="media/image19.wmf"/><Relationship Id="rId68" Type="http://schemas.openxmlformats.org/officeDocument/2006/relationships/image" Target="media/image33.wmf"/><Relationship Id="rId89" Type="http://schemas.openxmlformats.org/officeDocument/2006/relationships/image" Target="media/image46.wmf"/><Relationship Id="rId112" Type="http://schemas.openxmlformats.org/officeDocument/2006/relationships/oleObject" Target="embeddings/oleObject45.bin"/><Relationship Id="rId133" Type="http://schemas.openxmlformats.org/officeDocument/2006/relationships/image" Target="media/image68.png"/><Relationship Id="rId154" Type="http://schemas.openxmlformats.org/officeDocument/2006/relationships/image" Target="media/image83.png"/><Relationship Id="rId175" Type="http://schemas.openxmlformats.org/officeDocument/2006/relationships/oleObject" Target="embeddings/oleObject69.bin"/><Relationship Id="rId340" Type="http://schemas.openxmlformats.org/officeDocument/2006/relationships/oleObject" Target="embeddings/oleObject148.bin"/><Relationship Id="rId361" Type="http://schemas.openxmlformats.org/officeDocument/2006/relationships/image" Target="media/image194.wmf"/><Relationship Id="rId196" Type="http://schemas.openxmlformats.org/officeDocument/2006/relationships/oleObject" Target="embeddings/oleObject80.bin"/><Relationship Id="rId200" Type="http://schemas.openxmlformats.org/officeDocument/2006/relationships/oleObject" Target="embeddings/oleObject82.bin"/><Relationship Id="rId382" Type="http://schemas.openxmlformats.org/officeDocument/2006/relationships/image" Target="media/image203.wmf"/><Relationship Id="rId417" Type="http://schemas.openxmlformats.org/officeDocument/2006/relationships/oleObject" Target="embeddings/oleObject186.bin"/><Relationship Id="rId438" Type="http://schemas.openxmlformats.org/officeDocument/2006/relationships/chart" Target="charts/chart6.xml"/><Relationship Id="rId459" Type="http://schemas.openxmlformats.org/officeDocument/2006/relationships/image" Target="media/image243.png"/><Relationship Id="rId16" Type="http://schemas.openxmlformats.org/officeDocument/2006/relationships/oleObject" Target="embeddings/oleObject3.bin"/><Relationship Id="rId221" Type="http://schemas.openxmlformats.org/officeDocument/2006/relationships/image" Target="media/image117.wmf"/><Relationship Id="rId242" Type="http://schemas.openxmlformats.org/officeDocument/2006/relationships/image" Target="media/image127.wmf"/><Relationship Id="rId263" Type="http://schemas.openxmlformats.org/officeDocument/2006/relationships/oleObject" Target="embeddings/oleObject116.bin"/><Relationship Id="rId284" Type="http://schemas.openxmlformats.org/officeDocument/2006/relationships/image" Target="media/image148.wmf"/><Relationship Id="rId319" Type="http://schemas.openxmlformats.org/officeDocument/2006/relationships/oleObject" Target="embeddings/oleObject138.bin"/><Relationship Id="rId37" Type="http://schemas.openxmlformats.org/officeDocument/2006/relationships/image" Target="media/image14.wmf"/><Relationship Id="rId58" Type="http://schemas.openxmlformats.org/officeDocument/2006/relationships/oleObject" Target="embeddings/oleObject22.bin"/><Relationship Id="rId79" Type="http://schemas.openxmlformats.org/officeDocument/2006/relationships/image" Target="media/image39.png"/><Relationship Id="rId102" Type="http://schemas.openxmlformats.org/officeDocument/2006/relationships/oleObject" Target="embeddings/oleObject40.bin"/><Relationship Id="rId123" Type="http://schemas.openxmlformats.org/officeDocument/2006/relationships/image" Target="media/image63.wmf"/><Relationship Id="rId144" Type="http://schemas.openxmlformats.org/officeDocument/2006/relationships/oleObject" Target="embeddings/oleObject58.bin"/><Relationship Id="rId330" Type="http://schemas.openxmlformats.org/officeDocument/2006/relationships/image" Target="media/image175.wmf"/><Relationship Id="rId90" Type="http://schemas.openxmlformats.org/officeDocument/2006/relationships/oleObject" Target="embeddings/oleObject34.bin"/><Relationship Id="rId165" Type="http://schemas.openxmlformats.org/officeDocument/2006/relationships/oleObject" Target="embeddings/oleObject64.bin"/><Relationship Id="rId186" Type="http://schemas.openxmlformats.org/officeDocument/2006/relationships/oleObject" Target="embeddings/oleObject75.bin"/><Relationship Id="rId351" Type="http://schemas.openxmlformats.org/officeDocument/2006/relationships/image" Target="media/image186.wmf"/><Relationship Id="rId372" Type="http://schemas.openxmlformats.org/officeDocument/2006/relationships/oleObject" Target="embeddings/oleObject161.bin"/><Relationship Id="rId393" Type="http://schemas.openxmlformats.org/officeDocument/2006/relationships/oleObject" Target="embeddings/oleObject174.bin"/><Relationship Id="rId407" Type="http://schemas.openxmlformats.org/officeDocument/2006/relationships/oleObject" Target="embeddings/oleObject181.bin"/><Relationship Id="rId428" Type="http://schemas.openxmlformats.org/officeDocument/2006/relationships/image" Target="media/image225.png"/><Relationship Id="rId449" Type="http://schemas.openxmlformats.org/officeDocument/2006/relationships/image" Target="media/image233.png"/><Relationship Id="rId211" Type="http://schemas.openxmlformats.org/officeDocument/2006/relationships/image" Target="media/image112.wmf"/><Relationship Id="rId232" Type="http://schemas.openxmlformats.org/officeDocument/2006/relationships/oleObject" Target="embeddings/oleObject98.bin"/><Relationship Id="rId253" Type="http://schemas.openxmlformats.org/officeDocument/2006/relationships/oleObject" Target="embeddings/oleObject110.bin"/><Relationship Id="rId274" Type="http://schemas.openxmlformats.org/officeDocument/2006/relationships/oleObject" Target="embeddings/oleObject122.bin"/><Relationship Id="rId295" Type="http://schemas.openxmlformats.org/officeDocument/2006/relationships/image" Target="media/image156.png"/><Relationship Id="rId309" Type="http://schemas.openxmlformats.org/officeDocument/2006/relationships/oleObject" Target="embeddings/oleObject133.bin"/><Relationship Id="rId460" Type="http://schemas.openxmlformats.org/officeDocument/2006/relationships/image" Target="media/image244.png"/><Relationship Id="rId27" Type="http://schemas.openxmlformats.org/officeDocument/2006/relationships/image" Target="media/image9.wmf"/><Relationship Id="rId48" Type="http://schemas.openxmlformats.org/officeDocument/2006/relationships/image" Target="media/image20.png"/><Relationship Id="rId69" Type="http://schemas.openxmlformats.org/officeDocument/2006/relationships/oleObject" Target="embeddings/oleObject26.bin"/><Relationship Id="rId113" Type="http://schemas.openxmlformats.org/officeDocument/2006/relationships/image" Target="media/image58.emf"/><Relationship Id="rId134" Type="http://schemas.openxmlformats.org/officeDocument/2006/relationships/image" Target="media/image69.png"/><Relationship Id="rId320" Type="http://schemas.openxmlformats.org/officeDocument/2006/relationships/image" Target="media/image170.wmf"/><Relationship Id="rId80" Type="http://schemas.openxmlformats.org/officeDocument/2006/relationships/image" Target="media/image40.jpeg"/><Relationship Id="rId155" Type="http://schemas.openxmlformats.org/officeDocument/2006/relationships/image" Target="media/image84.wmf"/><Relationship Id="rId176" Type="http://schemas.openxmlformats.org/officeDocument/2006/relationships/oleObject" Target="embeddings/oleObject70.bin"/><Relationship Id="rId197" Type="http://schemas.openxmlformats.org/officeDocument/2006/relationships/image" Target="media/image105.wmf"/><Relationship Id="rId341" Type="http://schemas.openxmlformats.org/officeDocument/2006/relationships/image" Target="media/image181.wmf"/><Relationship Id="rId362" Type="http://schemas.openxmlformats.org/officeDocument/2006/relationships/oleObject" Target="embeddings/oleObject156.bin"/><Relationship Id="rId383" Type="http://schemas.openxmlformats.org/officeDocument/2006/relationships/oleObject" Target="embeddings/oleObject168.bin"/><Relationship Id="rId418" Type="http://schemas.openxmlformats.org/officeDocument/2006/relationships/image" Target="media/image220.wmf"/><Relationship Id="rId439" Type="http://schemas.openxmlformats.org/officeDocument/2006/relationships/chart" Target="charts/chart7.xml"/><Relationship Id="rId201" Type="http://schemas.openxmlformats.org/officeDocument/2006/relationships/image" Target="media/image107.wmf"/><Relationship Id="rId222" Type="http://schemas.openxmlformats.org/officeDocument/2006/relationships/oleObject" Target="embeddings/oleObject93.bin"/><Relationship Id="rId243" Type="http://schemas.openxmlformats.org/officeDocument/2006/relationships/oleObject" Target="embeddings/oleObject104.bin"/><Relationship Id="rId264" Type="http://schemas.openxmlformats.org/officeDocument/2006/relationships/image" Target="media/image136.wmf"/><Relationship Id="rId285" Type="http://schemas.openxmlformats.org/officeDocument/2006/relationships/oleObject" Target="embeddings/oleObject125.bin"/><Relationship Id="rId450" Type="http://schemas.openxmlformats.org/officeDocument/2006/relationships/image" Target="media/image234.png"/><Relationship Id="rId17" Type="http://schemas.openxmlformats.org/officeDocument/2006/relationships/image" Target="media/image4.wmf"/><Relationship Id="rId38" Type="http://schemas.openxmlformats.org/officeDocument/2006/relationships/oleObject" Target="embeddings/oleObject14.bin"/><Relationship Id="rId59" Type="http://schemas.openxmlformats.org/officeDocument/2006/relationships/image" Target="media/image27.wmf"/><Relationship Id="rId103" Type="http://schemas.openxmlformats.org/officeDocument/2006/relationships/image" Target="media/image53.emf"/><Relationship Id="rId124" Type="http://schemas.openxmlformats.org/officeDocument/2006/relationships/oleObject" Target="embeddings/oleObject51.bin"/><Relationship Id="rId310" Type="http://schemas.openxmlformats.org/officeDocument/2006/relationships/image" Target="media/image165.wmf"/><Relationship Id="rId70" Type="http://schemas.openxmlformats.org/officeDocument/2006/relationships/image" Target="media/image34.wmf"/><Relationship Id="rId91" Type="http://schemas.openxmlformats.org/officeDocument/2006/relationships/image" Target="media/image47.wmf"/><Relationship Id="rId145" Type="http://schemas.openxmlformats.org/officeDocument/2006/relationships/image" Target="media/image75.wmf"/><Relationship Id="rId166" Type="http://schemas.openxmlformats.org/officeDocument/2006/relationships/image" Target="media/image90.wmf"/><Relationship Id="rId187" Type="http://schemas.openxmlformats.org/officeDocument/2006/relationships/image" Target="media/image100.wmf"/><Relationship Id="rId331" Type="http://schemas.openxmlformats.org/officeDocument/2006/relationships/oleObject" Target="embeddings/oleObject144.bin"/><Relationship Id="rId352" Type="http://schemas.openxmlformats.org/officeDocument/2006/relationships/oleObject" Target="embeddings/oleObject154.bin"/><Relationship Id="rId373" Type="http://schemas.openxmlformats.org/officeDocument/2006/relationships/image" Target="media/image200.wmf"/><Relationship Id="rId394" Type="http://schemas.openxmlformats.org/officeDocument/2006/relationships/image" Target="media/image208.wmf"/><Relationship Id="rId408" Type="http://schemas.openxmlformats.org/officeDocument/2006/relationships/image" Target="media/image215.wmf"/><Relationship Id="rId429" Type="http://schemas.openxmlformats.org/officeDocument/2006/relationships/image" Target="media/image226.wmf"/><Relationship Id="rId1" Type="http://schemas.openxmlformats.org/officeDocument/2006/relationships/customXml" Target="../customXml/item1.xml"/><Relationship Id="rId212" Type="http://schemas.openxmlformats.org/officeDocument/2006/relationships/oleObject" Target="embeddings/oleObject88.bin"/><Relationship Id="rId233" Type="http://schemas.openxmlformats.org/officeDocument/2006/relationships/image" Target="media/image123.wmf"/><Relationship Id="rId254" Type="http://schemas.openxmlformats.org/officeDocument/2006/relationships/image" Target="media/image132.wmf"/><Relationship Id="rId440" Type="http://schemas.openxmlformats.org/officeDocument/2006/relationships/chart" Target="charts/chart8.xml"/><Relationship Id="rId28" Type="http://schemas.openxmlformats.org/officeDocument/2006/relationships/oleObject" Target="embeddings/oleObject9.bin"/><Relationship Id="rId49" Type="http://schemas.openxmlformats.org/officeDocument/2006/relationships/image" Target="media/image21.png"/><Relationship Id="rId114" Type="http://schemas.openxmlformats.org/officeDocument/2006/relationships/oleObject" Target="embeddings/oleObject46.bin"/><Relationship Id="rId275" Type="http://schemas.openxmlformats.org/officeDocument/2006/relationships/image" Target="media/image141.png"/><Relationship Id="rId296" Type="http://schemas.openxmlformats.org/officeDocument/2006/relationships/image" Target="media/image157.wmf"/><Relationship Id="rId300" Type="http://schemas.openxmlformats.org/officeDocument/2006/relationships/oleObject" Target="embeddings/oleObject129.bin"/><Relationship Id="rId461" Type="http://schemas.openxmlformats.org/officeDocument/2006/relationships/image" Target="media/image245.png"/><Relationship Id="rId60" Type="http://schemas.openxmlformats.org/officeDocument/2006/relationships/oleObject" Target="embeddings/oleObject23.bin"/><Relationship Id="rId81" Type="http://schemas.openxmlformats.org/officeDocument/2006/relationships/image" Target="media/image41.gif"/><Relationship Id="rId135" Type="http://schemas.openxmlformats.org/officeDocument/2006/relationships/chart" Target="charts/chart1.xml"/><Relationship Id="rId156" Type="http://schemas.openxmlformats.org/officeDocument/2006/relationships/oleObject" Target="embeddings/oleObject60.bin"/><Relationship Id="rId177" Type="http://schemas.openxmlformats.org/officeDocument/2006/relationships/image" Target="media/image95.wmf"/><Relationship Id="rId198" Type="http://schemas.openxmlformats.org/officeDocument/2006/relationships/oleObject" Target="embeddings/oleObject81.bin"/><Relationship Id="rId321" Type="http://schemas.openxmlformats.org/officeDocument/2006/relationships/oleObject" Target="embeddings/oleObject139.bin"/><Relationship Id="rId342" Type="http://schemas.openxmlformats.org/officeDocument/2006/relationships/oleObject" Target="embeddings/oleObject149.bin"/><Relationship Id="rId363" Type="http://schemas.openxmlformats.org/officeDocument/2006/relationships/image" Target="media/image195.wmf"/><Relationship Id="rId384" Type="http://schemas.openxmlformats.org/officeDocument/2006/relationships/image" Target="media/image204.wmf"/><Relationship Id="rId419" Type="http://schemas.openxmlformats.org/officeDocument/2006/relationships/oleObject" Target="embeddings/oleObject187.bin"/><Relationship Id="rId202" Type="http://schemas.openxmlformats.org/officeDocument/2006/relationships/oleObject" Target="embeddings/oleObject83.bin"/><Relationship Id="rId223" Type="http://schemas.openxmlformats.org/officeDocument/2006/relationships/image" Target="media/image118.wmf"/><Relationship Id="rId244" Type="http://schemas.openxmlformats.org/officeDocument/2006/relationships/image" Target="media/image128.wmf"/><Relationship Id="rId430" Type="http://schemas.openxmlformats.org/officeDocument/2006/relationships/oleObject" Target="embeddings/oleObject192.bin"/><Relationship Id="rId18" Type="http://schemas.openxmlformats.org/officeDocument/2006/relationships/oleObject" Target="embeddings/oleObject4.bin"/><Relationship Id="rId39" Type="http://schemas.openxmlformats.org/officeDocument/2006/relationships/image" Target="media/image15.wmf"/><Relationship Id="rId265" Type="http://schemas.openxmlformats.org/officeDocument/2006/relationships/oleObject" Target="embeddings/oleObject117.bin"/><Relationship Id="rId286" Type="http://schemas.openxmlformats.org/officeDocument/2006/relationships/image" Target="media/image149.png"/><Relationship Id="rId451" Type="http://schemas.openxmlformats.org/officeDocument/2006/relationships/image" Target="media/image235.png"/><Relationship Id="rId50" Type="http://schemas.openxmlformats.org/officeDocument/2006/relationships/image" Target="media/image22.png"/><Relationship Id="rId104" Type="http://schemas.openxmlformats.org/officeDocument/2006/relationships/oleObject" Target="embeddings/oleObject41.bin"/><Relationship Id="rId125" Type="http://schemas.openxmlformats.org/officeDocument/2006/relationships/image" Target="media/image64.emf"/><Relationship Id="rId146" Type="http://schemas.openxmlformats.org/officeDocument/2006/relationships/oleObject" Target="embeddings/oleObject59.bin"/><Relationship Id="rId167" Type="http://schemas.openxmlformats.org/officeDocument/2006/relationships/oleObject" Target="embeddings/oleObject65.bin"/><Relationship Id="rId188" Type="http://schemas.openxmlformats.org/officeDocument/2006/relationships/oleObject" Target="embeddings/oleObject76.bin"/><Relationship Id="rId311" Type="http://schemas.openxmlformats.org/officeDocument/2006/relationships/oleObject" Target="embeddings/oleObject134.bin"/><Relationship Id="rId332" Type="http://schemas.openxmlformats.org/officeDocument/2006/relationships/image" Target="media/image176.png"/><Relationship Id="rId353" Type="http://schemas.openxmlformats.org/officeDocument/2006/relationships/image" Target="media/image187.wmf"/><Relationship Id="rId374" Type="http://schemas.openxmlformats.org/officeDocument/2006/relationships/oleObject" Target="embeddings/oleObject162.bin"/><Relationship Id="rId395" Type="http://schemas.openxmlformats.org/officeDocument/2006/relationships/oleObject" Target="embeddings/oleObject175.bin"/><Relationship Id="rId409" Type="http://schemas.openxmlformats.org/officeDocument/2006/relationships/oleObject" Target="embeddings/oleObject182.bin"/><Relationship Id="rId71" Type="http://schemas.openxmlformats.org/officeDocument/2006/relationships/oleObject" Target="embeddings/oleObject27.bin"/><Relationship Id="rId92" Type="http://schemas.openxmlformats.org/officeDocument/2006/relationships/oleObject" Target="embeddings/oleObject35.bin"/><Relationship Id="rId213" Type="http://schemas.openxmlformats.org/officeDocument/2006/relationships/image" Target="media/image113.wmf"/><Relationship Id="rId234" Type="http://schemas.openxmlformats.org/officeDocument/2006/relationships/oleObject" Target="embeddings/oleObject99.bin"/><Relationship Id="rId420"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oleObject" Target="embeddings/oleObject111.bin"/><Relationship Id="rId276" Type="http://schemas.openxmlformats.org/officeDocument/2006/relationships/image" Target="media/image142.png"/><Relationship Id="rId297" Type="http://schemas.openxmlformats.org/officeDocument/2006/relationships/oleObject" Target="embeddings/oleObject128.bin"/><Relationship Id="rId441" Type="http://schemas.openxmlformats.org/officeDocument/2006/relationships/image" Target="media/image229.png"/><Relationship Id="rId462" Type="http://schemas.openxmlformats.org/officeDocument/2006/relationships/image" Target="media/image246.png"/><Relationship Id="rId40" Type="http://schemas.openxmlformats.org/officeDocument/2006/relationships/oleObject" Target="embeddings/oleObject15.bin"/><Relationship Id="rId115" Type="http://schemas.openxmlformats.org/officeDocument/2006/relationships/image" Target="media/image59.emf"/><Relationship Id="rId136" Type="http://schemas.openxmlformats.org/officeDocument/2006/relationships/image" Target="media/image70.wmf"/><Relationship Id="rId157" Type="http://schemas.openxmlformats.org/officeDocument/2006/relationships/image" Target="media/image85.wmf"/><Relationship Id="rId178" Type="http://schemas.openxmlformats.org/officeDocument/2006/relationships/oleObject" Target="embeddings/oleObject71.bin"/><Relationship Id="rId301" Type="http://schemas.openxmlformats.org/officeDocument/2006/relationships/image" Target="media/image160.wmf"/><Relationship Id="rId322" Type="http://schemas.openxmlformats.org/officeDocument/2006/relationships/image" Target="media/image171.wmf"/><Relationship Id="rId343" Type="http://schemas.openxmlformats.org/officeDocument/2006/relationships/image" Target="media/image182.wmf"/><Relationship Id="rId364" Type="http://schemas.openxmlformats.org/officeDocument/2006/relationships/oleObject" Target="embeddings/oleObject157.bin"/><Relationship Id="rId61" Type="http://schemas.openxmlformats.org/officeDocument/2006/relationships/image" Target="media/image28.wmf"/><Relationship Id="rId82" Type="http://schemas.openxmlformats.org/officeDocument/2006/relationships/image" Target="media/image42.wmf"/><Relationship Id="rId199" Type="http://schemas.openxmlformats.org/officeDocument/2006/relationships/image" Target="media/image106.wmf"/><Relationship Id="rId203" Type="http://schemas.openxmlformats.org/officeDocument/2006/relationships/image" Target="media/image108.wmf"/><Relationship Id="rId385" Type="http://schemas.openxmlformats.org/officeDocument/2006/relationships/oleObject" Target="embeddings/oleObject169.bin"/><Relationship Id="rId19" Type="http://schemas.openxmlformats.org/officeDocument/2006/relationships/image" Target="media/image5.wmf"/><Relationship Id="rId224" Type="http://schemas.openxmlformats.org/officeDocument/2006/relationships/oleObject" Target="embeddings/oleObject94.bin"/><Relationship Id="rId245" Type="http://schemas.openxmlformats.org/officeDocument/2006/relationships/oleObject" Target="embeddings/oleObject105.bin"/><Relationship Id="rId266" Type="http://schemas.openxmlformats.org/officeDocument/2006/relationships/oleObject" Target="embeddings/oleObject118.bin"/><Relationship Id="rId287" Type="http://schemas.openxmlformats.org/officeDocument/2006/relationships/image" Target="media/image150.png"/><Relationship Id="rId410" Type="http://schemas.openxmlformats.org/officeDocument/2006/relationships/image" Target="media/image216.wmf"/><Relationship Id="rId431" Type="http://schemas.openxmlformats.org/officeDocument/2006/relationships/image" Target="media/image227.wmf"/><Relationship Id="rId452" Type="http://schemas.openxmlformats.org/officeDocument/2006/relationships/image" Target="media/image236.png"/><Relationship Id="rId30" Type="http://schemas.openxmlformats.org/officeDocument/2006/relationships/oleObject" Target="embeddings/oleObject10.bin"/><Relationship Id="rId105" Type="http://schemas.openxmlformats.org/officeDocument/2006/relationships/image" Target="media/image54.emf"/><Relationship Id="rId126" Type="http://schemas.openxmlformats.org/officeDocument/2006/relationships/oleObject" Target="embeddings/oleObject52.bin"/><Relationship Id="rId147" Type="http://schemas.openxmlformats.org/officeDocument/2006/relationships/image" Target="media/image76.png"/><Relationship Id="rId168" Type="http://schemas.openxmlformats.org/officeDocument/2006/relationships/image" Target="media/image91.wmf"/><Relationship Id="rId312" Type="http://schemas.openxmlformats.org/officeDocument/2006/relationships/image" Target="media/image166.wmf"/><Relationship Id="rId333" Type="http://schemas.openxmlformats.org/officeDocument/2006/relationships/image" Target="media/image177.wmf"/><Relationship Id="rId354" Type="http://schemas.openxmlformats.org/officeDocument/2006/relationships/oleObject" Target="embeddings/oleObject155.bin"/><Relationship Id="rId51" Type="http://schemas.openxmlformats.org/officeDocument/2006/relationships/image" Target="media/image23.wmf"/><Relationship Id="rId72" Type="http://schemas.openxmlformats.org/officeDocument/2006/relationships/image" Target="media/image35.png"/><Relationship Id="rId93" Type="http://schemas.openxmlformats.org/officeDocument/2006/relationships/image" Target="media/image48.emf"/><Relationship Id="rId189" Type="http://schemas.openxmlformats.org/officeDocument/2006/relationships/image" Target="media/image101.wmf"/><Relationship Id="rId375" Type="http://schemas.openxmlformats.org/officeDocument/2006/relationships/image" Target="media/image201.wmf"/><Relationship Id="rId396" Type="http://schemas.openxmlformats.org/officeDocument/2006/relationships/image" Target="media/image209.wmf"/><Relationship Id="rId3" Type="http://schemas.openxmlformats.org/officeDocument/2006/relationships/styles" Target="styles.xml"/><Relationship Id="rId214" Type="http://schemas.openxmlformats.org/officeDocument/2006/relationships/oleObject" Target="embeddings/oleObject89.bin"/><Relationship Id="rId235" Type="http://schemas.openxmlformats.org/officeDocument/2006/relationships/image" Target="media/image124.wmf"/><Relationship Id="rId256" Type="http://schemas.openxmlformats.org/officeDocument/2006/relationships/oleObject" Target="embeddings/oleObject112.bin"/><Relationship Id="rId277" Type="http://schemas.openxmlformats.org/officeDocument/2006/relationships/image" Target="media/image143.png"/><Relationship Id="rId298" Type="http://schemas.openxmlformats.org/officeDocument/2006/relationships/image" Target="media/image158.png"/><Relationship Id="rId400" Type="http://schemas.openxmlformats.org/officeDocument/2006/relationships/image" Target="media/image211.wmf"/><Relationship Id="rId421" Type="http://schemas.openxmlformats.org/officeDocument/2006/relationships/oleObject" Target="embeddings/oleObject188.bin"/><Relationship Id="rId442" Type="http://schemas.openxmlformats.org/officeDocument/2006/relationships/image" Target="media/image230.wmf"/><Relationship Id="rId463" Type="http://schemas.openxmlformats.org/officeDocument/2006/relationships/image" Target="media/image247.png"/><Relationship Id="rId116" Type="http://schemas.openxmlformats.org/officeDocument/2006/relationships/oleObject" Target="embeddings/oleObject47.bin"/><Relationship Id="rId137" Type="http://schemas.openxmlformats.org/officeDocument/2006/relationships/oleObject" Target="embeddings/oleObject56.bin"/><Relationship Id="rId158" Type="http://schemas.openxmlformats.org/officeDocument/2006/relationships/oleObject" Target="embeddings/oleObject61.bin"/><Relationship Id="rId302" Type="http://schemas.openxmlformats.org/officeDocument/2006/relationships/oleObject" Target="embeddings/oleObject130.bin"/><Relationship Id="rId323" Type="http://schemas.openxmlformats.org/officeDocument/2006/relationships/oleObject" Target="embeddings/oleObject140.bin"/><Relationship Id="rId344" Type="http://schemas.openxmlformats.org/officeDocument/2006/relationships/oleObject" Target="embeddings/oleObject150.bin"/><Relationship Id="rId20" Type="http://schemas.openxmlformats.org/officeDocument/2006/relationships/oleObject" Target="embeddings/oleObject5.bin"/><Relationship Id="rId41" Type="http://schemas.openxmlformats.org/officeDocument/2006/relationships/image" Target="media/image16.wmf"/><Relationship Id="rId62" Type="http://schemas.openxmlformats.org/officeDocument/2006/relationships/oleObject" Target="embeddings/oleObject24.bin"/><Relationship Id="rId83" Type="http://schemas.openxmlformats.org/officeDocument/2006/relationships/oleObject" Target="embeddings/oleObject31.bin"/><Relationship Id="rId179" Type="http://schemas.openxmlformats.org/officeDocument/2006/relationships/image" Target="media/image96.wmf"/><Relationship Id="rId365" Type="http://schemas.openxmlformats.org/officeDocument/2006/relationships/image" Target="media/image196.wmf"/><Relationship Id="rId386" Type="http://schemas.openxmlformats.org/officeDocument/2006/relationships/oleObject" Target="embeddings/oleObject170.bin"/><Relationship Id="rId190" Type="http://schemas.openxmlformats.org/officeDocument/2006/relationships/oleObject" Target="embeddings/oleObject77.bin"/><Relationship Id="rId204" Type="http://schemas.openxmlformats.org/officeDocument/2006/relationships/oleObject" Target="embeddings/oleObject84.bin"/><Relationship Id="rId225" Type="http://schemas.openxmlformats.org/officeDocument/2006/relationships/image" Target="media/image119.wmf"/><Relationship Id="rId246" Type="http://schemas.openxmlformats.org/officeDocument/2006/relationships/image" Target="media/image129.wmf"/><Relationship Id="rId267" Type="http://schemas.openxmlformats.org/officeDocument/2006/relationships/image" Target="media/image137.wmf"/><Relationship Id="rId288" Type="http://schemas.openxmlformats.org/officeDocument/2006/relationships/image" Target="media/image151.png"/><Relationship Id="rId411" Type="http://schemas.openxmlformats.org/officeDocument/2006/relationships/oleObject" Target="embeddings/oleObject183.bin"/><Relationship Id="rId432" Type="http://schemas.openxmlformats.org/officeDocument/2006/relationships/oleObject" Target="embeddings/oleObject193.bin"/><Relationship Id="rId453" Type="http://schemas.openxmlformats.org/officeDocument/2006/relationships/image" Target="media/image237.png"/><Relationship Id="rId106" Type="http://schemas.openxmlformats.org/officeDocument/2006/relationships/oleObject" Target="embeddings/oleObject42.bin"/><Relationship Id="rId127" Type="http://schemas.openxmlformats.org/officeDocument/2006/relationships/image" Target="media/image65.emf"/><Relationship Id="rId313" Type="http://schemas.openxmlformats.org/officeDocument/2006/relationships/oleObject" Target="embeddings/oleObject135.bin"/><Relationship Id="rId10" Type="http://schemas.openxmlformats.org/officeDocument/2006/relationships/footer" Target="footer2.xml"/><Relationship Id="rId31" Type="http://schemas.openxmlformats.org/officeDocument/2006/relationships/image" Target="media/image11.wmf"/><Relationship Id="rId52" Type="http://schemas.openxmlformats.org/officeDocument/2006/relationships/oleObject" Target="embeddings/oleObject19.bin"/><Relationship Id="rId73" Type="http://schemas.openxmlformats.org/officeDocument/2006/relationships/image" Target="media/image36.wmf"/><Relationship Id="rId94" Type="http://schemas.openxmlformats.org/officeDocument/2006/relationships/oleObject" Target="embeddings/oleObject36.bin"/><Relationship Id="rId148" Type="http://schemas.openxmlformats.org/officeDocument/2006/relationships/image" Target="media/image77.png"/><Relationship Id="rId169" Type="http://schemas.openxmlformats.org/officeDocument/2006/relationships/oleObject" Target="embeddings/oleObject66.bin"/><Relationship Id="rId334" Type="http://schemas.openxmlformats.org/officeDocument/2006/relationships/oleObject" Target="embeddings/oleObject145.bin"/><Relationship Id="rId355" Type="http://schemas.openxmlformats.org/officeDocument/2006/relationships/image" Target="media/image188.png"/><Relationship Id="rId376" Type="http://schemas.openxmlformats.org/officeDocument/2006/relationships/oleObject" Target="embeddings/oleObject163.bin"/><Relationship Id="rId397" Type="http://schemas.openxmlformats.org/officeDocument/2006/relationships/oleObject" Target="embeddings/oleObject176.bin"/><Relationship Id="rId4" Type="http://schemas.microsoft.com/office/2007/relationships/stylesWithEffects" Target="stylesWithEffects.xml"/><Relationship Id="rId180" Type="http://schemas.openxmlformats.org/officeDocument/2006/relationships/oleObject" Target="embeddings/oleObject72.bin"/><Relationship Id="rId215" Type="http://schemas.openxmlformats.org/officeDocument/2006/relationships/image" Target="media/image114.wmf"/><Relationship Id="rId236" Type="http://schemas.openxmlformats.org/officeDocument/2006/relationships/oleObject" Target="embeddings/oleObject100.bin"/><Relationship Id="rId257" Type="http://schemas.openxmlformats.org/officeDocument/2006/relationships/image" Target="media/image133.wmf"/><Relationship Id="rId278" Type="http://schemas.openxmlformats.org/officeDocument/2006/relationships/image" Target="media/image144.png"/><Relationship Id="rId401" Type="http://schemas.openxmlformats.org/officeDocument/2006/relationships/oleObject" Target="embeddings/oleObject178.bin"/><Relationship Id="rId422" Type="http://schemas.openxmlformats.org/officeDocument/2006/relationships/image" Target="media/image222.wmf"/><Relationship Id="rId443" Type="http://schemas.openxmlformats.org/officeDocument/2006/relationships/oleObject" Target="embeddings/oleObject195.bin"/><Relationship Id="rId464" Type="http://schemas.openxmlformats.org/officeDocument/2006/relationships/image" Target="media/image248.png"/><Relationship Id="rId303" Type="http://schemas.openxmlformats.org/officeDocument/2006/relationships/image" Target="media/image161.wmf"/><Relationship Id="rId42" Type="http://schemas.openxmlformats.org/officeDocument/2006/relationships/oleObject" Target="embeddings/oleObject16.bin"/><Relationship Id="rId84" Type="http://schemas.openxmlformats.org/officeDocument/2006/relationships/image" Target="media/image43.png"/><Relationship Id="rId138" Type="http://schemas.openxmlformats.org/officeDocument/2006/relationships/chart" Target="charts/chart2.xml"/><Relationship Id="rId345" Type="http://schemas.openxmlformats.org/officeDocument/2006/relationships/image" Target="media/image183.wmf"/><Relationship Id="rId387" Type="http://schemas.openxmlformats.org/officeDocument/2006/relationships/oleObject" Target="embeddings/oleObject171.bin"/><Relationship Id="rId191" Type="http://schemas.openxmlformats.org/officeDocument/2006/relationships/image" Target="media/image102.wmf"/><Relationship Id="rId205" Type="http://schemas.openxmlformats.org/officeDocument/2006/relationships/image" Target="media/image109.wmf"/><Relationship Id="rId247" Type="http://schemas.openxmlformats.org/officeDocument/2006/relationships/oleObject" Target="embeddings/oleObject106.bin"/><Relationship Id="rId412" Type="http://schemas.openxmlformats.org/officeDocument/2006/relationships/image" Target="media/image217.wmf"/><Relationship Id="rId107" Type="http://schemas.openxmlformats.org/officeDocument/2006/relationships/image" Target="media/image55.wmf"/><Relationship Id="rId289" Type="http://schemas.openxmlformats.org/officeDocument/2006/relationships/image" Target="media/image152.png"/><Relationship Id="rId454" Type="http://schemas.openxmlformats.org/officeDocument/2006/relationships/image" Target="media/image238.png"/><Relationship Id="rId11" Type="http://schemas.openxmlformats.org/officeDocument/2006/relationships/image" Target="media/image1.wmf"/><Relationship Id="rId53" Type="http://schemas.openxmlformats.org/officeDocument/2006/relationships/image" Target="media/image24.wmf"/><Relationship Id="rId149" Type="http://schemas.openxmlformats.org/officeDocument/2006/relationships/image" Target="media/image78.png"/><Relationship Id="rId314" Type="http://schemas.openxmlformats.org/officeDocument/2006/relationships/image" Target="media/image167.wmf"/><Relationship Id="rId356" Type="http://schemas.openxmlformats.org/officeDocument/2006/relationships/image" Target="media/image189.png"/><Relationship Id="rId398" Type="http://schemas.openxmlformats.org/officeDocument/2006/relationships/image" Target="media/image210.wmf"/><Relationship Id="rId95" Type="http://schemas.openxmlformats.org/officeDocument/2006/relationships/image" Target="media/image49.emf"/><Relationship Id="rId160" Type="http://schemas.openxmlformats.org/officeDocument/2006/relationships/oleObject" Target="embeddings/oleObject62.bin"/><Relationship Id="rId216" Type="http://schemas.openxmlformats.org/officeDocument/2006/relationships/oleObject" Target="embeddings/oleObject90.bin"/><Relationship Id="rId423" Type="http://schemas.openxmlformats.org/officeDocument/2006/relationships/oleObject" Target="embeddings/oleObject189.bin"/><Relationship Id="rId258" Type="http://schemas.openxmlformats.org/officeDocument/2006/relationships/oleObject" Target="embeddings/oleObject113.bin"/><Relationship Id="rId465" Type="http://schemas.openxmlformats.org/officeDocument/2006/relationships/footer" Target="footer3.xml"/><Relationship Id="rId22" Type="http://schemas.openxmlformats.org/officeDocument/2006/relationships/oleObject" Target="embeddings/oleObject6.bin"/><Relationship Id="rId64" Type="http://schemas.openxmlformats.org/officeDocument/2006/relationships/oleObject" Target="embeddings/oleObject25.bin"/><Relationship Id="rId118" Type="http://schemas.openxmlformats.org/officeDocument/2006/relationships/oleObject" Target="embeddings/oleObject48.bin"/><Relationship Id="rId325" Type="http://schemas.openxmlformats.org/officeDocument/2006/relationships/oleObject" Target="embeddings/oleObject141.bin"/><Relationship Id="rId367" Type="http://schemas.openxmlformats.org/officeDocument/2006/relationships/image" Target="media/image197.wmf"/><Relationship Id="rId171" Type="http://schemas.openxmlformats.org/officeDocument/2006/relationships/oleObject" Target="embeddings/oleObject67.bin"/><Relationship Id="rId227" Type="http://schemas.openxmlformats.org/officeDocument/2006/relationships/image" Target="media/image120.wmf"/><Relationship Id="rId269" Type="http://schemas.openxmlformats.org/officeDocument/2006/relationships/image" Target="media/image138.wmf"/><Relationship Id="rId434" Type="http://schemas.openxmlformats.org/officeDocument/2006/relationships/oleObject" Target="embeddings/oleObject194.bin"/><Relationship Id="rId33" Type="http://schemas.openxmlformats.org/officeDocument/2006/relationships/image" Target="media/image12.wmf"/><Relationship Id="rId129" Type="http://schemas.openxmlformats.org/officeDocument/2006/relationships/image" Target="media/image66.emf"/><Relationship Id="rId280" Type="http://schemas.openxmlformats.org/officeDocument/2006/relationships/image" Target="media/image146.wmf"/><Relationship Id="rId336" Type="http://schemas.openxmlformats.org/officeDocument/2006/relationships/oleObject" Target="embeddings/oleObject146.bin"/><Relationship Id="rId75" Type="http://schemas.openxmlformats.org/officeDocument/2006/relationships/image" Target="media/image37.emf"/><Relationship Id="rId140" Type="http://schemas.openxmlformats.org/officeDocument/2006/relationships/oleObject" Target="embeddings/oleObject57.bin"/><Relationship Id="rId182" Type="http://schemas.openxmlformats.org/officeDocument/2006/relationships/oleObject" Target="embeddings/oleObject73.bin"/><Relationship Id="rId378" Type="http://schemas.openxmlformats.org/officeDocument/2006/relationships/oleObject" Target="embeddings/oleObject165.bin"/><Relationship Id="rId403" Type="http://schemas.openxmlformats.org/officeDocument/2006/relationships/oleObject" Target="embeddings/oleObject179.bin"/><Relationship Id="rId6" Type="http://schemas.openxmlformats.org/officeDocument/2006/relationships/webSettings" Target="webSettings.xml"/><Relationship Id="rId238" Type="http://schemas.openxmlformats.org/officeDocument/2006/relationships/oleObject" Target="embeddings/oleObject101.bin"/><Relationship Id="rId445" Type="http://schemas.openxmlformats.org/officeDocument/2006/relationships/chart" Target="charts/chart10.xml"/><Relationship Id="rId291" Type="http://schemas.openxmlformats.org/officeDocument/2006/relationships/oleObject" Target="embeddings/oleObject126.bin"/><Relationship Id="rId305" Type="http://schemas.openxmlformats.org/officeDocument/2006/relationships/image" Target="media/image162.wmf"/><Relationship Id="rId347" Type="http://schemas.openxmlformats.org/officeDocument/2006/relationships/image" Target="media/image184.wmf"/></Relationships>
</file>

<file path=word/charts/_rels/chart1.xml.rels><?xml version="1.0" encoding="UTF-8" standalone="yes"?>
<Relationships xmlns="http://schemas.openxmlformats.org/package/2006/relationships"><Relationship Id="rId1" Type="http://schemas.openxmlformats.org/officeDocument/2006/relationships/oleObject" Target="file:///\\fea13\atk\Desktop\Windows%20Desktop\HEU%20IFE%20Contour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d.docs.live.net/53c1c2f9c6ff6963/Thesis/HEU%20IFE%20Contours%20-%20Cop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ttps://d.docs.live.net/53c1c2f9c6ff6963/Thesis/Mesh%20Convergence%20Study.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ttps://d.docs.live.net/53c1c2f9c6ff6963/Thesis/Mesh%20Convergence%20Study.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https://d.docs.live.net/53c1c2f9c6ff6963/Thesis/Mesh%20Convergence%20Study.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https://d.docs.live.net/53c1c2f9c6ff6963/Thesis/Mesh%20Convergence%20Study.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https://d.docs.live.net/53c1c2f9c6ff6963/Thesis/Mesh%20Convergence%20Study.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https://d.docs.live.net/53c1c2f9c6ff6963/Thesis/Mesh%20Convergence%20Study.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https://d.docs.live.net/53c1c2f9c6ff6963/Thesis/Mesh%20Convergence%20Study.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https://d.docs.live.net/53c1c2f9c6ff6963/Thesis/Mesh%20Convergence%20Study.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https://d.docs.live.net/53c1c2f9c6ff6963/Thesis/Mesh%20Convergence%20Stud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scatterChart>
        <c:scatterStyle val="lineMarker"/>
        <c:varyColors val="0"/>
        <c:ser>
          <c:idx val="0"/>
          <c:order val="0"/>
          <c:tx>
            <c:v>LEU Profile</c:v>
          </c:tx>
          <c:marker>
            <c:symbol val="none"/>
          </c:marker>
          <c:trendline>
            <c:name>4th Order Approx.</c:name>
            <c:trendlineType val="poly"/>
            <c:order val="4"/>
            <c:dispRSqr val="1"/>
            <c:dispEq val="1"/>
            <c:trendlineLbl>
              <c:layout>
                <c:manualLayout>
                  <c:x val="3.5807359035139527E-2"/>
                  <c:y val="0.13328266258384369"/>
                </c:manualLayout>
              </c:layout>
              <c:numFmt formatCode="General" sourceLinked="0"/>
            </c:trendlineLbl>
          </c:trendline>
          <c:xVal>
            <c:numRef>
              <c:f>Sheet1!$B$2:$B$36</c:f>
              <c:numCache>
                <c:formatCode>0.000</c:formatCode>
                <c:ptCount val="35"/>
                <c:pt idx="0">
                  <c:v>0.15240000000000001</c:v>
                </c:pt>
                <c:pt idx="1">
                  <c:v>0.254</c:v>
                </c:pt>
                <c:pt idx="2">
                  <c:v>0.31241999999999998</c:v>
                </c:pt>
                <c:pt idx="3">
                  <c:v>0.50800000000000001</c:v>
                </c:pt>
                <c:pt idx="4">
                  <c:v>0.76200000000000001</c:v>
                </c:pt>
                <c:pt idx="5">
                  <c:v>1.016</c:v>
                </c:pt>
                <c:pt idx="6">
                  <c:v>1.27</c:v>
                </c:pt>
                <c:pt idx="7">
                  <c:v>1.524</c:v>
                </c:pt>
                <c:pt idx="8">
                  <c:v>1.7779999999999998</c:v>
                </c:pt>
                <c:pt idx="9">
                  <c:v>2.032</c:v>
                </c:pt>
                <c:pt idx="10">
                  <c:v>2.286</c:v>
                </c:pt>
                <c:pt idx="11">
                  <c:v>2.54</c:v>
                </c:pt>
                <c:pt idx="12">
                  <c:v>2.7940000000000005</c:v>
                </c:pt>
                <c:pt idx="13">
                  <c:v>3.048</c:v>
                </c:pt>
                <c:pt idx="14">
                  <c:v>3.302</c:v>
                </c:pt>
                <c:pt idx="15">
                  <c:v>3.5559999999999996</c:v>
                </c:pt>
                <c:pt idx="16">
                  <c:v>3.81</c:v>
                </c:pt>
                <c:pt idx="17">
                  <c:v>4.0640000000000001</c:v>
                </c:pt>
                <c:pt idx="18">
                  <c:v>4.3179999999999996</c:v>
                </c:pt>
                <c:pt idx="19">
                  <c:v>4.5948599999999997</c:v>
                </c:pt>
                <c:pt idx="20">
                  <c:v>4.8259999999999996</c:v>
                </c:pt>
                <c:pt idx="21">
                  <c:v>5.08</c:v>
                </c:pt>
                <c:pt idx="22">
                  <c:v>5.3340000000000005</c:v>
                </c:pt>
                <c:pt idx="23">
                  <c:v>5.588000000000001</c:v>
                </c:pt>
                <c:pt idx="24">
                  <c:v>5.8419999999999996</c:v>
                </c:pt>
                <c:pt idx="25">
                  <c:v>6.0960000000000001</c:v>
                </c:pt>
                <c:pt idx="26">
                  <c:v>6.35</c:v>
                </c:pt>
                <c:pt idx="27">
                  <c:v>6.6040000000000001</c:v>
                </c:pt>
                <c:pt idx="28">
                  <c:v>6.8580000000000005</c:v>
                </c:pt>
                <c:pt idx="29">
                  <c:v>7.1119999999999992</c:v>
                </c:pt>
                <c:pt idx="30">
                  <c:v>7.3659999999999997</c:v>
                </c:pt>
                <c:pt idx="31">
                  <c:v>7.62</c:v>
                </c:pt>
                <c:pt idx="32">
                  <c:v>7.8740000000000006</c:v>
                </c:pt>
                <c:pt idx="33">
                  <c:v>7.9425799999999995</c:v>
                </c:pt>
                <c:pt idx="34">
                  <c:v>8.1026000000000007</c:v>
                </c:pt>
              </c:numCache>
            </c:numRef>
          </c:xVal>
          <c:yVal>
            <c:numRef>
              <c:f>Sheet1!$F$2:$F$36</c:f>
              <c:numCache>
                <c:formatCode>General</c:formatCode>
                <c:ptCount val="35"/>
                <c:pt idx="0">
                  <c:v>2.4701500000000001E-2</c:v>
                </c:pt>
                <c:pt idx="1">
                  <c:v>2.60985E-2</c:v>
                </c:pt>
                <c:pt idx="2">
                  <c:v>2.6860499999999999E-2</c:v>
                </c:pt>
                <c:pt idx="3">
                  <c:v>2.9527500000000002E-2</c:v>
                </c:pt>
                <c:pt idx="4">
                  <c:v>3.2892999999999999E-2</c:v>
                </c:pt>
                <c:pt idx="5">
                  <c:v>3.6194999999999998E-2</c:v>
                </c:pt>
                <c:pt idx="6">
                  <c:v>3.9370000000000002E-2</c:v>
                </c:pt>
                <c:pt idx="7">
                  <c:v>4.2418000000000011E-2</c:v>
                </c:pt>
                <c:pt idx="8">
                  <c:v>4.5338999999999997E-2</c:v>
                </c:pt>
                <c:pt idx="9">
                  <c:v>4.8133000000000002E-2</c:v>
                </c:pt>
                <c:pt idx="10">
                  <c:v>5.0736499999999997E-2</c:v>
                </c:pt>
                <c:pt idx="11">
                  <c:v>5.3149499999999995E-2</c:v>
                </c:pt>
                <c:pt idx="12">
                  <c:v>5.5371999999999998E-2</c:v>
                </c:pt>
                <c:pt idx="13">
                  <c:v>5.7340500000000003E-2</c:v>
                </c:pt>
                <c:pt idx="14">
                  <c:v>5.9118500000000004E-2</c:v>
                </c:pt>
                <c:pt idx="15">
                  <c:v>6.0642499999999995E-2</c:v>
                </c:pt>
                <c:pt idx="16">
                  <c:v>6.1849000000000001E-2</c:v>
                </c:pt>
                <c:pt idx="17">
                  <c:v>6.2738000000000002E-2</c:v>
                </c:pt>
                <c:pt idx="18">
                  <c:v>6.3309500000000005E-2</c:v>
                </c:pt>
                <c:pt idx="19">
                  <c:v>6.3500000000000001E-2</c:v>
                </c:pt>
                <c:pt idx="20">
                  <c:v>6.3372999999999999E-2</c:v>
                </c:pt>
                <c:pt idx="21">
                  <c:v>6.30555E-2</c:v>
                </c:pt>
                <c:pt idx="22">
                  <c:v>6.2484000000000005E-2</c:v>
                </c:pt>
                <c:pt idx="23">
                  <c:v>6.1722000000000006E-2</c:v>
                </c:pt>
                <c:pt idx="24">
                  <c:v>6.0769499999999997E-2</c:v>
                </c:pt>
                <c:pt idx="25">
                  <c:v>5.9626499999999999E-2</c:v>
                </c:pt>
                <c:pt idx="26">
                  <c:v>5.8356499999999999E-2</c:v>
                </c:pt>
                <c:pt idx="27">
                  <c:v>5.6959500000000003E-2</c:v>
                </c:pt>
                <c:pt idx="28">
                  <c:v>5.5435500000000006E-2</c:v>
                </c:pt>
                <c:pt idx="29">
                  <c:v>5.3784499999999999E-2</c:v>
                </c:pt>
                <c:pt idx="30">
                  <c:v>5.2006500000000004E-2</c:v>
                </c:pt>
                <c:pt idx="31">
                  <c:v>5.0165000000000008E-2</c:v>
                </c:pt>
                <c:pt idx="32">
                  <c:v>4.8260000000000011E-2</c:v>
                </c:pt>
                <c:pt idx="33">
                  <c:v>4.7752000000000003E-2</c:v>
                </c:pt>
                <c:pt idx="34">
                  <c:v>4.6482000000000002E-2</c:v>
                </c:pt>
              </c:numCache>
            </c:numRef>
          </c:yVal>
          <c:smooth val="0"/>
        </c:ser>
        <c:dLbls>
          <c:showLegendKey val="0"/>
          <c:showVal val="0"/>
          <c:showCatName val="0"/>
          <c:showSerName val="0"/>
          <c:showPercent val="0"/>
          <c:showBubbleSize val="0"/>
        </c:dLbls>
        <c:axId val="127736448"/>
        <c:axId val="127738624"/>
      </c:scatterChart>
      <c:valAx>
        <c:axId val="127736448"/>
        <c:scaling>
          <c:orientation val="minMax"/>
        </c:scaling>
        <c:delete val="0"/>
        <c:axPos val="b"/>
        <c:majorGridlines/>
        <c:minorGridlines>
          <c:spPr>
            <a:ln>
              <a:noFill/>
            </a:ln>
          </c:spPr>
        </c:minorGridlines>
        <c:title>
          <c:tx>
            <c:rich>
              <a:bodyPr/>
              <a:lstStyle/>
              <a:p>
                <a:pPr>
                  <a:defRPr/>
                </a:pPr>
                <a:r>
                  <a:rPr lang="en-US"/>
                  <a:t>Arc Length (s) [cm]</a:t>
                </a:r>
              </a:p>
            </c:rich>
          </c:tx>
          <c:layout/>
          <c:overlay val="0"/>
        </c:title>
        <c:numFmt formatCode="0.000" sourceLinked="1"/>
        <c:majorTickMark val="out"/>
        <c:minorTickMark val="none"/>
        <c:tickLblPos val="nextTo"/>
        <c:crossAx val="127738624"/>
        <c:crosses val="autoZero"/>
        <c:crossBetween val="midCat"/>
      </c:valAx>
      <c:valAx>
        <c:axId val="127738624"/>
        <c:scaling>
          <c:orientation val="minMax"/>
        </c:scaling>
        <c:delete val="0"/>
        <c:axPos val="l"/>
        <c:majorGridlines/>
        <c:title>
          <c:tx>
            <c:rich>
              <a:bodyPr rot="-5400000" vert="horz"/>
              <a:lstStyle/>
              <a:p>
                <a:pPr>
                  <a:defRPr/>
                </a:pPr>
                <a:r>
                  <a:rPr lang="en-US"/>
                  <a:t>Thickness (t) [cm]</a:t>
                </a:r>
              </a:p>
            </c:rich>
          </c:tx>
          <c:layout/>
          <c:overlay val="0"/>
        </c:title>
        <c:numFmt formatCode="General" sourceLinked="1"/>
        <c:majorTickMark val="out"/>
        <c:minorTickMark val="none"/>
        <c:tickLblPos val="nextTo"/>
        <c:crossAx val="127736448"/>
        <c:crosses val="autoZero"/>
        <c:crossBetween val="midCat"/>
      </c:valAx>
    </c:plotArea>
    <c:legend>
      <c:legendPos val="r"/>
      <c:layout>
        <c:manualLayout>
          <c:xMode val="edge"/>
          <c:yMode val="edge"/>
          <c:x val="0.63821513230057003"/>
          <c:y val="0.62609361329833768"/>
          <c:w val="0.29959820647419072"/>
          <c:h val="0.16211796442111404"/>
        </c:manualLayout>
      </c:layout>
      <c:overlay val="1"/>
    </c:legend>
    <c:plotVisOnly val="1"/>
    <c:dispBlanksAs val="gap"/>
    <c:showDLblsOverMax val="0"/>
  </c:chart>
  <c:txPr>
    <a:bodyPr/>
    <a:lstStyle/>
    <a:p>
      <a:pPr>
        <a:defRPr sz="105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marker>
            <c:symbol val="none"/>
          </c:marker>
          <c:xVal>
            <c:numRef>
              <c:f>Sheet1!$B$41:$B$44</c:f>
              <c:numCache>
                <c:formatCode>General</c:formatCode>
                <c:ptCount val="4"/>
                <c:pt idx="0">
                  <c:v>0.23088599999999998</c:v>
                </c:pt>
                <c:pt idx="1">
                  <c:v>3.072003</c:v>
                </c:pt>
                <c:pt idx="2">
                  <c:v>6.1099953999999999</c:v>
                </c:pt>
                <c:pt idx="3">
                  <c:v>8.0270095999999995</c:v>
                </c:pt>
              </c:numCache>
            </c:numRef>
          </c:xVal>
          <c:yVal>
            <c:numRef>
              <c:f>Sheet1!$D$41:$D$44</c:f>
              <c:numCache>
                <c:formatCode>General</c:formatCode>
                <c:ptCount val="4"/>
                <c:pt idx="0">
                  <c:v>7.5006200000000004E-3</c:v>
                </c:pt>
                <c:pt idx="1">
                  <c:v>4.0690799999999999E-2</c:v>
                </c:pt>
                <c:pt idx="2">
                  <c:v>4.0690799999999999E-2</c:v>
                </c:pt>
                <c:pt idx="3">
                  <c:v>1.9298920000000001E-2</c:v>
                </c:pt>
              </c:numCache>
            </c:numRef>
          </c:yVal>
          <c:smooth val="0"/>
        </c:ser>
        <c:dLbls>
          <c:showLegendKey val="0"/>
          <c:showVal val="0"/>
          <c:showCatName val="0"/>
          <c:showSerName val="0"/>
          <c:showPercent val="0"/>
          <c:showBubbleSize val="0"/>
        </c:dLbls>
        <c:axId val="127751680"/>
        <c:axId val="127753600"/>
      </c:scatterChart>
      <c:valAx>
        <c:axId val="127751680"/>
        <c:scaling>
          <c:orientation val="minMax"/>
        </c:scaling>
        <c:delete val="0"/>
        <c:axPos val="b"/>
        <c:majorGridlines/>
        <c:minorGridlines/>
        <c:title>
          <c:tx>
            <c:rich>
              <a:bodyPr/>
              <a:lstStyle/>
              <a:p>
                <a:pPr>
                  <a:defRPr/>
                </a:pPr>
                <a:r>
                  <a:rPr lang="en-US"/>
                  <a:t>Arc Length (s) [cm]</a:t>
                </a:r>
              </a:p>
            </c:rich>
          </c:tx>
          <c:layout/>
          <c:overlay val="0"/>
        </c:title>
        <c:numFmt formatCode="General" sourceLinked="1"/>
        <c:majorTickMark val="out"/>
        <c:minorTickMark val="none"/>
        <c:tickLblPos val="nextTo"/>
        <c:crossAx val="127753600"/>
        <c:crosses val="autoZero"/>
        <c:crossBetween val="midCat"/>
      </c:valAx>
      <c:valAx>
        <c:axId val="127753600"/>
        <c:scaling>
          <c:orientation val="minMax"/>
        </c:scaling>
        <c:delete val="0"/>
        <c:axPos val="l"/>
        <c:majorGridlines/>
        <c:title>
          <c:tx>
            <c:rich>
              <a:bodyPr rot="-5400000" vert="horz"/>
              <a:lstStyle/>
              <a:p>
                <a:pPr>
                  <a:defRPr/>
                </a:pPr>
                <a:r>
                  <a:rPr lang="en-US"/>
                  <a:t>Thickness (t) [cm]</a:t>
                </a:r>
              </a:p>
            </c:rich>
          </c:tx>
          <c:layout/>
          <c:overlay val="0"/>
        </c:title>
        <c:numFmt formatCode="General" sourceLinked="1"/>
        <c:majorTickMark val="out"/>
        <c:minorTickMark val="none"/>
        <c:tickLblPos val="nextTo"/>
        <c:crossAx val="127751680"/>
        <c:crosses val="autoZero"/>
        <c:crossBetween val="midCat"/>
      </c:valAx>
    </c:plotArea>
    <c:plotVisOnly val="1"/>
    <c:dispBlanksAs val="gap"/>
    <c:showDLblsOverMax val="0"/>
  </c:chart>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Change in Coolant Enthalpy</c:v>
          </c:tx>
          <c:xVal>
            <c:numRef>
              <c:f>Sheet1!$F$26:$F$31</c:f>
              <c:numCache>
                <c:formatCode>#,##0</c:formatCode>
                <c:ptCount val="6"/>
                <c:pt idx="0">
                  <c:v>162.86799999999999</c:v>
                </c:pt>
                <c:pt idx="1">
                  <c:v>300.75599999999997</c:v>
                </c:pt>
                <c:pt idx="2">
                  <c:v>455.94</c:v>
                </c:pt>
                <c:pt idx="3">
                  <c:v>716.56</c:v>
                </c:pt>
                <c:pt idx="4">
                  <c:v>1034.5999999999999</c:v>
                </c:pt>
                <c:pt idx="5">
                  <c:v>1428.5060000000001</c:v>
                </c:pt>
              </c:numCache>
            </c:numRef>
          </c:xVal>
          <c:yVal>
            <c:numRef>
              <c:f>Sheet1!$H$26:$H$31</c:f>
              <c:numCache>
                <c:formatCode>0.0000</c:formatCode>
                <c:ptCount val="6"/>
                <c:pt idx="0">
                  <c:v>0.84929951129891601</c:v>
                </c:pt>
                <c:pt idx="1">
                  <c:v>0.93008296160205772</c:v>
                </c:pt>
                <c:pt idx="2">
                  <c:v>0.96862289546206137</c:v>
                </c:pt>
                <c:pt idx="3">
                  <c:v>0.98998652030130452</c:v>
                </c:pt>
                <c:pt idx="4">
                  <c:v>0.99714803968399779</c:v>
                </c:pt>
                <c:pt idx="5">
                  <c:v>1.0006135348153593</c:v>
                </c:pt>
              </c:numCache>
            </c:numRef>
          </c:yVal>
          <c:smooth val="0"/>
        </c:ser>
        <c:ser>
          <c:idx val="1"/>
          <c:order val="1"/>
          <c:tx>
            <c:v>Ideal</c:v>
          </c:tx>
          <c:marker>
            <c:symbol val="none"/>
          </c:marker>
          <c:xVal>
            <c:numRef>
              <c:f>Sheet1!$B$84:$B$85</c:f>
              <c:numCache>
                <c:formatCode>0.00E+00</c:formatCode>
                <c:ptCount val="2"/>
                <c:pt idx="0" formatCode="General">
                  <c:v>0</c:v>
                </c:pt>
                <c:pt idx="1">
                  <c:v>1600</c:v>
                </c:pt>
              </c:numCache>
            </c:numRef>
          </c:xVal>
          <c:yVal>
            <c:numRef>
              <c:f>Sheet1!$D$84:$D$85</c:f>
              <c:numCache>
                <c:formatCode>0.00E+00</c:formatCode>
                <c:ptCount val="2"/>
                <c:pt idx="0">
                  <c:v>1</c:v>
                </c:pt>
                <c:pt idx="1">
                  <c:v>1</c:v>
                </c:pt>
              </c:numCache>
            </c:numRef>
          </c:yVal>
          <c:smooth val="0"/>
        </c:ser>
        <c:dLbls>
          <c:showLegendKey val="0"/>
          <c:showVal val="0"/>
          <c:showCatName val="0"/>
          <c:showSerName val="0"/>
          <c:showPercent val="0"/>
          <c:showBubbleSize val="0"/>
        </c:dLbls>
        <c:axId val="152908160"/>
        <c:axId val="152910080"/>
      </c:scatterChart>
      <c:valAx>
        <c:axId val="152908160"/>
        <c:scaling>
          <c:orientation val="minMax"/>
          <c:max val="1600"/>
        </c:scaling>
        <c:delete val="0"/>
        <c:axPos val="b"/>
        <c:majorGridlines/>
        <c:minorGridlines>
          <c:spPr>
            <a:ln>
              <a:noFill/>
            </a:ln>
          </c:spPr>
        </c:minorGridlines>
        <c:title>
          <c:tx>
            <c:rich>
              <a:bodyPr/>
              <a:lstStyle/>
              <a:p>
                <a:pPr algn="ctr" rtl="0">
                  <a:defRPr sz="1100" b="0"/>
                </a:pPr>
                <a:r>
                  <a:rPr lang="en-US" sz="1100" b="0"/>
                  <a:t>Coolant Mesh Elements (in thousands)</a:t>
                </a:r>
              </a:p>
            </c:rich>
          </c:tx>
          <c:layout/>
          <c:overlay val="0"/>
        </c:title>
        <c:numFmt formatCode="#,##0" sourceLinked="1"/>
        <c:majorTickMark val="out"/>
        <c:minorTickMark val="none"/>
        <c:tickLblPos val="nextTo"/>
        <c:crossAx val="152910080"/>
        <c:crosses val="autoZero"/>
        <c:crossBetween val="midCat"/>
      </c:valAx>
      <c:valAx>
        <c:axId val="152910080"/>
        <c:scaling>
          <c:orientation val="minMax"/>
        </c:scaling>
        <c:delete val="0"/>
        <c:axPos val="l"/>
        <c:majorGridlines/>
        <c:title>
          <c:tx>
            <c:rich>
              <a:bodyPr rot="-5400000" vert="horz"/>
              <a:lstStyle/>
              <a:p>
                <a:pPr>
                  <a:defRPr/>
                </a:pPr>
                <a:r>
                  <a:rPr lang="el-GR" sz="1100" b="0"/>
                  <a:t>Δ</a:t>
                </a:r>
                <a:r>
                  <a:rPr lang="en-US" sz="1100" b="0" i="1"/>
                  <a:t>H'</a:t>
                </a:r>
                <a:r>
                  <a:rPr lang="en-US" sz="1100" b="0" i="1" baseline="-25000"/>
                  <a:t>c</a:t>
                </a:r>
                <a:endParaRPr lang="en-US" sz="1100" b="0"/>
              </a:p>
            </c:rich>
          </c:tx>
          <c:layout/>
          <c:overlay val="0"/>
        </c:title>
        <c:numFmt formatCode="0.00" sourceLinked="0"/>
        <c:majorTickMark val="out"/>
        <c:minorTickMark val="none"/>
        <c:tickLblPos val="nextTo"/>
        <c:crossAx val="152908160"/>
        <c:crosses val="autoZero"/>
        <c:crossBetween val="midCat"/>
      </c:valAx>
    </c:plotArea>
    <c:legend>
      <c:legendPos val="r"/>
      <c:layout>
        <c:manualLayout>
          <c:xMode val="edge"/>
          <c:yMode val="edge"/>
          <c:x val="0.68880455407969643"/>
          <c:y val="0.47718358121901427"/>
          <c:w val="0.26565464895635671"/>
          <c:h val="0.25859580052493436"/>
        </c:manualLayout>
      </c:layout>
      <c:overlay val="1"/>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Coolant Error</c:v>
          </c:tx>
          <c:trendline>
            <c:name>Exponential Approx.</c:name>
            <c:trendlineType val="exp"/>
            <c:dispRSqr val="1"/>
            <c:dispEq val="1"/>
            <c:trendlineLbl>
              <c:layout>
                <c:manualLayout>
                  <c:x val="-0.33776586722070828"/>
                  <c:y val="-2.9697069116360456E-2"/>
                </c:manualLayout>
              </c:layout>
              <c:numFmt formatCode="General" sourceLinked="0"/>
            </c:trendlineLbl>
          </c:trendline>
          <c:xVal>
            <c:numRef>
              <c:f>Sheet1!$F$26:$F$31</c:f>
              <c:numCache>
                <c:formatCode>#,##0</c:formatCode>
                <c:ptCount val="6"/>
                <c:pt idx="0">
                  <c:v>162.86799999999999</c:v>
                </c:pt>
                <c:pt idx="1">
                  <c:v>300.75599999999997</c:v>
                </c:pt>
                <c:pt idx="2">
                  <c:v>455.94</c:v>
                </c:pt>
                <c:pt idx="3">
                  <c:v>716.56</c:v>
                </c:pt>
                <c:pt idx="4">
                  <c:v>1034.5999999999999</c:v>
                </c:pt>
                <c:pt idx="5">
                  <c:v>1428.5060000000001</c:v>
                </c:pt>
              </c:numCache>
            </c:numRef>
          </c:xVal>
          <c:yVal>
            <c:numRef>
              <c:f>Sheet1!$J$26:$J$31</c:f>
              <c:numCache>
                <c:formatCode>0.0</c:formatCode>
                <c:ptCount val="6"/>
                <c:pt idx="0">
                  <c:v>15.070048870108399</c:v>
                </c:pt>
                <c:pt idx="1">
                  <c:v>6.9917038397942282</c:v>
                </c:pt>
                <c:pt idx="2">
                  <c:v>3.1377104537938627</c:v>
                </c:pt>
                <c:pt idx="3">
                  <c:v>1.0013479698695482</c:v>
                </c:pt>
                <c:pt idx="4">
                  <c:v>0.28519603160022111</c:v>
                </c:pt>
                <c:pt idx="5">
                  <c:v>6.1353481535930676E-2</c:v>
                </c:pt>
              </c:numCache>
            </c:numRef>
          </c:yVal>
          <c:smooth val="0"/>
        </c:ser>
        <c:dLbls>
          <c:showLegendKey val="0"/>
          <c:showVal val="0"/>
          <c:showCatName val="0"/>
          <c:showSerName val="0"/>
          <c:showPercent val="0"/>
          <c:showBubbleSize val="0"/>
        </c:dLbls>
        <c:axId val="152943616"/>
        <c:axId val="152945792"/>
      </c:scatterChart>
      <c:valAx>
        <c:axId val="152943616"/>
        <c:scaling>
          <c:orientation val="minMax"/>
        </c:scaling>
        <c:delete val="0"/>
        <c:axPos val="b"/>
        <c:majorGridlines/>
        <c:minorGridlines>
          <c:spPr>
            <a:ln>
              <a:noFill/>
            </a:ln>
          </c:spPr>
        </c:minorGridlines>
        <c:title>
          <c:tx>
            <c:rich>
              <a:bodyPr/>
              <a:lstStyle/>
              <a:p>
                <a:pPr>
                  <a:defRPr sz="1100" b="0"/>
                </a:pPr>
                <a:r>
                  <a:rPr lang="en-US" sz="1100" b="0"/>
                  <a:t>Coolant Mesh Elements (in thousands)</a:t>
                </a:r>
              </a:p>
            </c:rich>
          </c:tx>
          <c:layout/>
          <c:overlay val="0"/>
        </c:title>
        <c:numFmt formatCode="#,##0" sourceLinked="0"/>
        <c:majorTickMark val="out"/>
        <c:minorTickMark val="none"/>
        <c:tickLblPos val="low"/>
        <c:crossAx val="152945792"/>
        <c:crosses val="autoZero"/>
        <c:crossBetween val="midCat"/>
      </c:valAx>
      <c:valAx>
        <c:axId val="152945792"/>
        <c:scaling>
          <c:logBase val="10"/>
          <c:orientation val="minMax"/>
        </c:scaling>
        <c:delete val="0"/>
        <c:axPos val="l"/>
        <c:majorGridlines/>
        <c:title>
          <c:tx>
            <c:rich>
              <a:bodyPr rot="-5400000" vert="horz"/>
              <a:lstStyle/>
              <a:p>
                <a:pPr>
                  <a:defRPr sz="1100" b="0"/>
                </a:pPr>
                <a:r>
                  <a:rPr lang="en-US" sz="1100" b="0"/>
                  <a:t>Log(</a:t>
                </a:r>
                <a:r>
                  <a:rPr lang="en-US" sz="1100" b="0" i="1"/>
                  <a:t>e</a:t>
                </a:r>
                <a:r>
                  <a:rPr lang="en-US" sz="1100" b="0" i="1" baseline="-25000"/>
                  <a:t>c</a:t>
                </a:r>
                <a:r>
                  <a:rPr lang="en-US" sz="1100" b="0" i="1" baseline="0"/>
                  <a:t>) </a:t>
                </a:r>
                <a:r>
                  <a:rPr lang="en-US" sz="1100" b="0" i="0" baseline="0"/>
                  <a:t>(%)</a:t>
                </a:r>
                <a:endParaRPr lang="en-US" sz="1100" b="0"/>
              </a:p>
            </c:rich>
          </c:tx>
          <c:layout>
            <c:manualLayout>
              <c:xMode val="edge"/>
              <c:yMode val="edge"/>
              <c:x val="3.0555662249535882E-2"/>
              <c:y val="0.30567913385826773"/>
            </c:manualLayout>
          </c:layout>
          <c:overlay val="0"/>
        </c:title>
        <c:numFmt formatCode="0.0" sourceLinked="1"/>
        <c:majorTickMark val="out"/>
        <c:minorTickMark val="in"/>
        <c:tickLblPos val="nextTo"/>
        <c:crossAx val="152943616"/>
        <c:crosses val="autoZero"/>
        <c:crossBetween val="midCat"/>
      </c:valAx>
    </c:plotArea>
    <c:legend>
      <c:legendPos val="r"/>
      <c:layout>
        <c:manualLayout>
          <c:xMode val="edge"/>
          <c:yMode val="edge"/>
          <c:x val="0.65181818181818185"/>
          <c:y val="7.8869568387284927E-2"/>
          <c:w val="0.2875757575757576"/>
          <c:h val="0.15707567804024497"/>
        </c:manualLayout>
      </c:layout>
      <c:overlay val="1"/>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Max T</c:v>
          </c:tx>
          <c:xVal>
            <c:numRef>
              <c:f>Sheet1!$F$26:$F$31</c:f>
              <c:numCache>
                <c:formatCode>#,##0</c:formatCode>
                <c:ptCount val="6"/>
                <c:pt idx="0">
                  <c:v>162.86799999999999</c:v>
                </c:pt>
                <c:pt idx="1">
                  <c:v>300.75599999999997</c:v>
                </c:pt>
                <c:pt idx="2">
                  <c:v>455.94</c:v>
                </c:pt>
                <c:pt idx="3">
                  <c:v>716.56</c:v>
                </c:pt>
                <c:pt idx="4">
                  <c:v>1034.5999999999999</c:v>
                </c:pt>
                <c:pt idx="5">
                  <c:v>1428.5060000000001</c:v>
                </c:pt>
              </c:numCache>
            </c:numRef>
          </c:xVal>
          <c:yVal>
            <c:numRef>
              <c:f>Sheet1!$K$26:$K$31</c:f>
              <c:numCache>
                <c:formatCode>0.0</c:formatCode>
                <c:ptCount val="6"/>
                <c:pt idx="0">
                  <c:v>425.1</c:v>
                </c:pt>
                <c:pt idx="1">
                  <c:v>427.19472000000002</c:v>
                </c:pt>
                <c:pt idx="2">
                  <c:v>428.18108000000001</c:v>
                </c:pt>
                <c:pt idx="3">
                  <c:v>428.72728000000001</c:v>
                </c:pt>
                <c:pt idx="4">
                  <c:v>428.9</c:v>
                </c:pt>
                <c:pt idx="5">
                  <c:v>428.99831</c:v>
                </c:pt>
              </c:numCache>
            </c:numRef>
          </c:yVal>
          <c:smooth val="0"/>
        </c:ser>
        <c:ser>
          <c:idx val="1"/>
          <c:order val="1"/>
          <c:tx>
            <c:v>3D Model Max T</c:v>
          </c:tx>
          <c:marker>
            <c:symbol val="none"/>
          </c:marker>
          <c:xVal>
            <c:numRef>
              <c:f>Sheet1!$B$89:$B$90</c:f>
              <c:numCache>
                <c:formatCode>General</c:formatCode>
                <c:ptCount val="2"/>
                <c:pt idx="0">
                  <c:v>-10</c:v>
                </c:pt>
                <c:pt idx="1">
                  <c:v>1700</c:v>
                </c:pt>
              </c:numCache>
            </c:numRef>
          </c:xVal>
          <c:yVal>
            <c:numRef>
              <c:f>Sheet1!$A$89:$A$90</c:f>
              <c:numCache>
                <c:formatCode>General</c:formatCode>
                <c:ptCount val="2"/>
                <c:pt idx="0">
                  <c:v>431.8</c:v>
                </c:pt>
                <c:pt idx="1">
                  <c:v>431.8</c:v>
                </c:pt>
              </c:numCache>
            </c:numRef>
          </c:yVal>
          <c:smooth val="0"/>
        </c:ser>
        <c:dLbls>
          <c:showLegendKey val="0"/>
          <c:showVal val="0"/>
          <c:showCatName val="0"/>
          <c:showSerName val="0"/>
          <c:showPercent val="0"/>
          <c:showBubbleSize val="0"/>
        </c:dLbls>
        <c:axId val="153364352"/>
        <c:axId val="153370624"/>
      </c:scatterChart>
      <c:valAx>
        <c:axId val="153364352"/>
        <c:scaling>
          <c:orientation val="minMax"/>
          <c:max val="1600"/>
          <c:min val="0"/>
        </c:scaling>
        <c:delete val="0"/>
        <c:axPos val="b"/>
        <c:majorGridlines/>
        <c:minorGridlines>
          <c:spPr>
            <a:ln>
              <a:noFill/>
            </a:ln>
          </c:spPr>
        </c:minorGridlines>
        <c:title>
          <c:tx>
            <c:rich>
              <a:bodyPr/>
              <a:lstStyle/>
              <a:p>
                <a:pPr algn="ctr" rtl="0">
                  <a:defRPr sz="1100" b="0"/>
                </a:pPr>
                <a:r>
                  <a:rPr lang="en-US" sz="1100" b="0"/>
                  <a:t>Coolant Mesh Elements (in thousands)</a:t>
                </a:r>
              </a:p>
            </c:rich>
          </c:tx>
          <c:layout/>
          <c:overlay val="0"/>
        </c:title>
        <c:numFmt formatCode="#,##0" sourceLinked="1"/>
        <c:majorTickMark val="out"/>
        <c:minorTickMark val="none"/>
        <c:tickLblPos val="nextTo"/>
        <c:crossAx val="153370624"/>
        <c:crosses val="autoZero"/>
        <c:crossBetween val="midCat"/>
      </c:valAx>
      <c:valAx>
        <c:axId val="153370624"/>
        <c:scaling>
          <c:orientation val="minMax"/>
        </c:scaling>
        <c:delete val="0"/>
        <c:axPos val="l"/>
        <c:majorGridlines/>
        <c:title>
          <c:tx>
            <c:rich>
              <a:bodyPr rot="-5400000" vert="horz"/>
              <a:lstStyle/>
              <a:p>
                <a:pPr>
                  <a:defRPr sz="1100" b="0"/>
                </a:pPr>
                <a:r>
                  <a:rPr lang="en-US" sz="1100" b="0"/>
                  <a:t>Max Fuel Meat  T (K)</a:t>
                </a:r>
              </a:p>
            </c:rich>
          </c:tx>
          <c:layout/>
          <c:overlay val="0"/>
        </c:title>
        <c:numFmt formatCode="0.0" sourceLinked="1"/>
        <c:majorTickMark val="out"/>
        <c:minorTickMark val="none"/>
        <c:tickLblPos val="nextTo"/>
        <c:crossAx val="153364352"/>
        <c:crosses val="autoZero"/>
        <c:crossBetween val="midCat"/>
      </c:valAx>
    </c:plotArea>
    <c:legend>
      <c:legendPos val="r"/>
      <c:layout>
        <c:manualLayout>
          <c:xMode val="edge"/>
          <c:yMode val="edge"/>
          <c:x val="0.68930056710775045"/>
          <c:y val="0.61590660542432196"/>
          <c:w val="0.25272841839949589"/>
          <c:h val="0.15707567804024497"/>
        </c:manualLayout>
      </c:layout>
      <c:overlay val="1"/>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xVal>
            <c:numRef>
              <c:f>Sheet1!$F$113:$F$118</c:f>
              <c:numCache>
                <c:formatCode>General</c:formatCode>
                <c:ptCount val="6"/>
                <c:pt idx="0">
                  <c:v>24</c:v>
                </c:pt>
                <c:pt idx="1">
                  <c:v>35</c:v>
                </c:pt>
                <c:pt idx="2">
                  <c:v>51</c:v>
                </c:pt>
                <c:pt idx="3">
                  <c:v>84</c:v>
                </c:pt>
                <c:pt idx="4">
                  <c:v>110</c:v>
                </c:pt>
                <c:pt idx="5" formatCode="#,##0">
                  <c:v>454</c:v>
                </c:pt>
              </c:numCache>
            </c:numRef>
          </c:xVal>
          <c:yVal>
            <c:numRef>
              <c:f>Sheet1!$J$113:$J$118</c:f>
              <c:numCache>
                <c:formatCode>0.000</c:formatCode>
                <c:ptCount val="6"/>
                <c:pt idx="0">
                  <c:v>0.35642109130993305</c:v>
                </c:pt>
                <c:pt idx="1">
                  <c:v>3.2610692632739635E-2</c:v>
                </c:pt>
                <c:pt idx="2">
                  <c:v>1.9750137791674227E-2</c:v>
                </c:pt>
                <c:pt idx="3">
                  <c:v>1.6075693551353964E-2</c:v>
                </c:pt>
                <c:pt idx="4">
                  <c:v>9.1861106007673499E-3</c:v>
                </c:pt>
                <c:pt idx="5">
                  <c:v>8.2674995409925955E-3</c:v>
                </c:pt>
              </c:numCache>
            </c:numRef>
          </c:yVal>
          <c:smooth val="0"/>
        </c:ser>
        <c:dLbls>
          <c:showLegendKey val="0"/>
          <c:showVal val="0"/>
          <c:showCatName val="0"/>
          <c:showSerName val="0"/>
          <c:showPercent val="0"/>
          <c:showBubbleSize val="0"/>
        </c:dLbls>
        <c:axId val="153395584"/>
        <c:axId val="153397504"/>
      </c:scatterChart>
      <c:valAx>
        <c:axId val="153395584"/>
        <c:scaling>
          <c:orientation val="minMax"/>
        </c:scaling>
        <c:delete val="0"/>
        <c:axPos val="b"/>
        <c:majorGridlines/>
        <c:title>
          <c:tx>
            <c:rich>
              <a:bodyPr/>
              <a:lstStyle/>
              <a:p>
                <a:pPr>
                  <a:defRPr/>
                </a:pPr>
                <a:r>
                  <a:rPr lang="en-US"/>
                  <a:t>Fuel Plate Mesh Elements (in thousands)</a:t>
                </a:r>
              </a:p>
            </c:rich>
          </c:tx>
          <c:layout/>
          <c:overlay val="0"/>
        </c:title>
        <c:numFmt formatCode="General" sourceLinked="1"/>
        <c:majorTickMark val="out"/>
        <c:minorTickMark val="none"/>
        <c:tickLblPos val="nextTo"/>
        <c:crossAx val="153397504"/>
        <c:crosses val="autoZero"/>
        <c:crossBetween val="midCat"/>
      </c:valAx>
      <c:valAx>
        <c:axId val="153397504"/>
        <c:scaling>
          <c:orientation val="minMax"/>
        </c:scaling>
        <c:delete val="0"/>
        <c:axPos val="l"/>
        <c:majorGridlines/>
        <c:title>
          <c:tx>
            <c:rich>
              <a:bodyPr rot="-5400000" vert="horz"/>
              <a:lstStyle/>
              <a:p>
                <a:pPr>
                  <a:defRPr/>
                </a:pPr>
                <a:r>
                  <a:rPr lang="en-US" i="1"/>
                  <a:t>e</a:t>
                </a:r>
                <a:r>
                  <a:rPr lang="en-US" i="1" baseline="-25000"/>
                  <a:t>p</a:t>
                </a:r>
                <a:r>
                  <a:rPr lang="en-US"/>
                  <a:t> (%)</a:t>
                </a:r>
              </a:p>
            </c:rich>
          </c:tx>
          <c:layout/>
          <c:overlay val="0"/>
        </c:title>
        <c:numFmt formatCode="0.000" sourceLinked="1"/>
        <c:majorTickMark val="out"/>
        <c:minorTickMark val="none"/>
        <c:tickLblPos val="nextTo"/>
        <c:crossAx val="153395584"/>
        <c:crosses val="autoZero"/>
        <c:crossBetween val="midCat"/>
      </c:valAx>
    </c:plotArea>
    <c:plotVisOnly val="1"/>
    <c:dispBlanksAs val="gap"/>
    <c:showDLblsOverMax val="0"/>
  </c:chart>
  <c:txPr>
    <a:bodyPr/>
    <a:lstStyle/>
    <a:p>
      <a:pPr>
        <a:defRPr sz="1100" b="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xVal>
            <c:numRef>
              <c:f>Sheet1!$F$113:$F$118</c:f>
              <c:numCache>
                <c:formatCode>General</c:formatCode>
                <c:ptCount val="6"/>
                <c:pt idx="0">
                  <c:v>24</c:v>
                </c:pt>
                <c:pt idx="1">
                  <c:v>35</c:v>
                </c:pt>
                <c:pt idx="2">
                  <c:v>51</c:v>
                </c:pt>
                <c:pt idx="3">
                  <c:v>84</c:v>
                </c:pt>
                <c:pt idx="4">
                  <c:v>110</c:v>
                </c:pt>
                <c:pt idx="5" formatCode="#,##0">
                  <c:v>454</c:v>
                </c:pt>
              </c:numCache>
            </c:numRef>
          </c:xVal>
          <c:yVal>
            <c:numRef>
              <c:f>Sheet1!$L$113:$L$118</c:f>
              <c:numCache>
                <c:formatCode>0.000</c:formatCode>
                <c:ptCount val="6"/>
                <c:pt idx="0">
                  <c:v>3.3459424949476402</c:v>
                </c:pt>
                <c:pt idx="1">
                  <c:v>3.2374804335844165</c:v>
                </c:pt>
                <c:pt idx="2">
                  <c:v>3.1898629432298375</c:v>
                </c:pt>
                <c:pt idx="3">
                  <c:v>3.1796591952967135</c:v>
                </c:pt>
                <c:pt idx="4">
                  <c:v>3.1677104537938594</c:v>
                </c:pt>
                <c:pt idx="5">
                  <c:v>3.1377104537938627</c:v>
                </c:pt>
              </c:numCache>
            </c:numRef>
          </c:yVal>
          <c:smooth val="0"/>
        </c:ser>
        <c:dLbls>
          <c:showLegendKey val="0"/>
          <c:showVal val="0"/>
          <c:showCatName val="0"/>
          <c:showSerName val="0"/>
          <c:showPercent val="0"/>
          <c:showBubbleSize val="0"/>
        </c:dLbls>
        <c:axId val="153417216"/>
        <c:axId val="153419136"/>
      </c:scatterChart>
      <c:valAx>
        <c:axId val="153417216"/>
        <c:scaling>
          <c:orientation val="minMax"/>
        </c:scaling>
        <c:delete val="0"/>
        <c:axPos val="b"/>
        <c:majorGridlines/>
        <c:title>
          <c:tx>
            <c:rich>
              <a:bodyPr/>
              <a:lstStyle/>
              <a:p>
                <a:pPr>
                  <a:defRPr b="0"/>
                </a:pPr>
                <a:r>
                  <a:rPr lang="en-US" b="0"/>
                  <a:t>Fuel Plate Mesh Elements (in thousands)</a:t>
                </a:r>
              </a:p>
            </c:rich>
          </c:tx>
          <c:layout/>
          <c:overlay val="0"/>
        </c:title>
        <c:numFmt formatCode="General" sourceLinked="1"/>
        <c:majorTickMark val="out"/>
        <c:minorTickMark val="none"/>
        <c:tickLblPos val="nextTo"/>
        <c:crossAx val="153419136"/>
        <c:crosses val="autoZero"/>
        <c:crossBetween val="midCat"/>
      </c:valAx>
      <c:valAx>
        <c:axId val="153419136"/>
        <c:scaling>
          <c:orientation val="minMax"/>
          <c:max val="3.4"/>
        </c:scaling>
        <c:delete val="0"/>
        <c:axPos val="l"/>
        <c:majorGridlines/>
        <c:title>
          <c:tx>
            <c:rich>
              <a:bodyPr rot="-5400000" vert="horz"/>
              <a:lstStyle/>
              <a:p>
                <a:pPr>
                  <a:defRPr b="0" i="1"/>
                </a:pPr>
                <a:r>
                  <a:rPr lang="en-US" b="0" i="1"/>
                  <a:t>e</a:t>
                </a:r>
                <a:r>
                  <a:rPr lang="en-US" b="0" i="1" baseline="-25000"/>
                  <a:t>g</a:t>
                </a:r>
                <a:r>
                  <a:rPr lang="en-US" b="0" i="0" baseline="0"/>
                  <a:t> (%)</a:t>
                </a:r>
                <a:endParaRPr lang="en-US" b="0" i="1"/>
              </a:p>
            </c:rich>
          </c:tx>
          <c:layout/>
          <c:overlay val="0"/>
        </c:title>
        <c:numFmt formatCode="0.000" sourceLinked="1"/>
        <c:majorTickMark val="out"/>
        <c:minorTickMark val="none"/>
        <c:tickLblPos val="nextTo"/>
        <c:crossAx val="153417216"/>
        <c:crosses val="autoZero"/>
        <c:crossBetween val="midCat"/>
      </c:valAx>
    </c:plotArea>
    <c:plotVisOnly val="1"/>
    <c:dispBlanksAs val="gap"/>
    <c:showDLblsOverMax val="0"/>
  </c:chart>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xVal>
            <c:numRef>
              <c:f>Sheet1!$F$113:$F$118</c:f>
              <c:numCache>
                <c:formatCode>General</c:formatCode>
                <c:ptCount val="6"/>
                <c:pt idx="0">
                  <c:v>24</c:v>
                </c:pt>
                <c:pt idx="1">
                  <c:v>35</c:v>
                </c:pt>
                <c:pt idx="2">
                  <c:v>51</c:v>
                </c:pt>
                <c:pt idx="3">
                  <c:v>84</c:v>
                </c:pt>
                <c:pt idx="4">
                  <c:v>110</c:v>
                </c:pt>
                <c:pt idx="5" formatCode="#,##0">
                  <c:v>454</c:v>
                </c:pt>
              </c:numCache>
            </c:numRef>
          </c:xVal>
          <c:yVal>
            <c:numRef>
              <c:f>Sheet1!$M$113:$M$118</c:f>
              <c:numCache>
                <c:formatCode>0.0</c:formatCode>
                <c:ptCount val="6"/>
                <c:pt idx="0">
                  <c:v>426.94400999999999</c:v>
                </c:pt>
                <c:pt idx="1">
                  <c:v>427.57073000000003</c:v>
                </c:pt>
                <c:pt idx="2">
                  <c:v>427.89670000000001</c:v>
                </c:pt>
                <c:pt idx="3">
                  <c:v>428.21620000000001</c:v>
                </c:pt>
                <c:pt idx="4">
                  <c:v>428.1</c:v>
                </c:pt>
                <c:pt idx="5">
                  <c:v>428.18108000000001</c:v>
                </c:pt>
              </c:numCache>
            </c:numRef>
          </c:yVal>
          <c:smooth val="0"/>
        </c:ser>
        <c:dLbls>
          <c:showLegendKey val="0"/>
          <c:showVal val="0"/>
          <c:showCatName val="0"/>
          <c:showSerName val="0"/>
          <c:showPercent val="0"/>
          <c:showBubbleSize val="0"/>
        </c:dLbls>
        <c:axId val="153177088"/>
        <c:axId val="153203840"/>
      </c:scatterChart>
      <c:valAx>
        <c:axId val="153177088"/>
        <c:scaling>
          <c:orientation val="minMax"/>
        </c:scaling>
        <c:delete val="0"/>
        <c:axPos val="b"/>
        <c:majorGridlines/>
        <c:title>
          <c:tx>
            <c:rich>
              <a:bodyPr/>
              <a:lstStyle/>
              <a:p>
                <a:pPr>
                  <a:defRPr b="0"/>
                </a:pPr>
                <a:r>
                  <a:rPr lang="en-US" b="0"/>
                  <a:t>Fuel Plate Mesh Elements (in thousands)</a:t>
                </a:r>
              </a:p>
            </c:rich>
          </c:tx>
          <c:layout/>
          <c:overlay val="0"/>
        </c:title>
        <c:numFmt formatCode="General" sourceLinked="1"/>
        <c:majorTickMark val="out"/>
        <c:minorTickMark val="none"/>
        <c:tickLblPos val="nextTo"/>
        <c:crossAx val="153203840"/>
        <c:crosses val="autoZero"/>
        <c:crossBetween val="midCat"/>
      </c:valAx>
      <c:valAx>
        <c:axId val="153203840"/>
        <c:scaling>
          <c:orientation val="minMax"/>
        </c:scaling>
        <c:delete val="0"/>
        <c:axPos val="l"/>
        <c:majorGridlines/>
        <c:title>
          <c:tx>
            <c:rich>
              <a:bodyPr rot="-5400000" vert="horz"/>
              <a:lstStyle/>
              <a:p>
                <a:pPr>
                  <a:defRPr b="0"/>
                </a:pPr>
                <a:r>
                  <a:rPr lang="en-US" b="0"/>
                  <a:t>Max Fuel Meat T (K)</a:t>
                </a:r>
              </a:p>
            </c:rich>
          </c:tx>
          <c:layout/>
          <c:overlay val="0"/>
        </c:title>
        <c:numFmt formatCode="0.0" sourceLinked="1"/>
        <c:majorTickMark val="out"/>
        <c:minorTickMark val="none"/>
        <c:tickLblPos val="nextTo"/>
        <c:crossAx val="153177088"/>
        <c:crosses val="autoZero"/>
        <c:crossBetween val="midCat"/>
      </c:valAx>
    </c:plotArea>
    <c:plotVisOnly val="1"/>
    <c:dispBlanksAs val="gap"/>
    <c:showDLblsOverMax val="0"/>
  </c:chart>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xVal>
            <c:numRef>
              <c:f>Sheet1!$F$113:$F$118</c:f>
              <c:numCache>
                <c:formatCode>General</c:formatCode>
                <c:ptCount val="6"/>
                <c:pt idx="0">
                  <c:v>24</c:v>
                </c:pt>
                <c:pt idx="1">
                  <c:v>35</c:v>
                </c:pt>
                <c:pt idx="2">
                  <c:v>51</c:v>
                </c:pt>
                <c:pt idx="3">
                  <c:v>84</c:v>
                </c:pt>
                <c:pt idx="4">
                  <c:v>110</c:v>
                </c:pt>
                <c:pt idx="5" formatCode="#,##0">
                  <c:v>454</c:v>
                </c:pt>
              </c:numCache>
            </c:numRef>
          </c:xVal>
          <c:yVal>
            <c:numRef>
              <c:f>Sheet1!$O$113:$O$118</c:f>
              <c:numCache>
                <c:formatCode>0.000</c:formatCode>
                <c:ptCount val="6"/>
                <c:pt idx="0">
                  <c:v>3.0579282115869142</c:v>
                </c:pt>
                <c:pt idx="1">
                  <c:v>2.6632682619647263</c:v>
                </c:pt>
                <c:pt idx="2">
                  <c:v>2.4579974811083134</c:v>
                </c:pt>
                <c:pt idx="3">
                  <c:v>2.2568010075566725</c:v>
                </c:pt>
                <c:pt idx="4">
                  <c:v>2.3299748110831162</c:v>
                </c:pt>
                <c:pt idx="5">
                  <c:v>2.2789168765743089</c:v>
                </c:pt>
              </c:numCache>
            </c:numRef>
          </c:yVal>
          <c:smooth val="0"/>
        </c:ser>
        <c:dLbls>
          <c:showLegendKey val="0"/>
          <c:showVal val="0"/>
          <c:showCatName val="0"/>
          <c:showSerName val="0"/>
          <c:showPercent val="0"/>
          <c:showBubbleSize val="0"/>
        </c:dLbls>
        <c:axId val="153298048"/>
        <c:axId val="153299968"/>
      </c:scatterChart>
      <c:valAx>
        <c:axId val="153298048"/>
        <c:scaling>
          <c:orientation val="minMax"/>
        </c:scaling>
        <c:delete val="0"/>
        <c:axPos val="b"/>
        <c:majorGridlines/>
        <c:title>
          <c:tx>
            <c:rich>
              <a:bodyPr/>
              <a:lstStyle/>
              <a:p>
                <a:pPr>
                  <a:defRPr b="0"/>
                </a:pPr>
                <a:r>
                  <a:rPr lang="en-US" b="0"/>
                  <a:t>Fuel Plate Mesh Elements (in thousands)</a:t>
                </a:r>
              </a:p>
            </c:rich>
          </c:tx>
          <c:layout/>
          <c:overlay val="0"/>
        </c:title>
        <c:numFmt formatCode="General" sourceLinked="1"/>
        <c:majorTickMark val="out"/>
        <c:minorTickMark val="none"/>
        <c:tickLblPos val="nextTo"/>
        <c:crossAx val="153299968"/>
        <c:crosses val="autoZero"/>
        <c:crossBetween val="midCat"/>
      </c:valAx>
      <c:valAx>
        <c:axId val="153299968"/>
        <c:scaling>
          <c:orientation val="minMax"/>
          <c:min val="2.2000000000000002"/>
        </c:scaling>
        <c:delete val="0"/>
        <c:axPos val="l"/>
        <c:majorGridlines/>
        <c:title>
          <c:tx>
            <c:rich>
              <a:bodyPr rot="-5400000" vert="horz"/>
              <a:lstStyle/>
              <a:p>
                <a:pPr>
                  <a:defRPr b="0" i="1"/>
                </a:pPr>
                <a:r>
                  <a:rPr lang="en-US" b="0" i="1"/>
                  <a:t>e</a:t>
                </a:r>
                <a:r>
                  <a:rPr lang="en-US" b="0" i="1" baseline="-25000"/>
                  <a:t>T</a:t>
                </a:r>
                <a:r>
                  <a:rPr lang="en-US" b="0" i="1" baseline="0"/>
                  <a:t> </a:t>
                </a:r>
                <a:r>
                  <a:rPr lang="en-US" b="0" i="0" baseline="0"/>
                  <a:t>(%)</a:t>
                </a:r>
                <a:endParaRPr lang="en-US" b="0" i="1"/>
              </a:p>
            </c:rich>
          </c:tx>
          <c:layout/>
          <c:overlay val="0"/>
        </c:title>
        <c:numFmt formatCode="0.000" sourceLinked="1"/>
        <c:majorTickMark val="out"/>
        <c:minorTickMark val="none"/>
        <c:tickLblPos val="nextTo"/>
        <c:crossAx val="153298048"/>
        <c:crosses val="autoZero"/>
        <c:crossBetween val="midCat"/>
        <c:majorUnit val="0.2"/>
      </c:valAx>
    </c:plotArea>
    <c:plotVisOnly val="1"/>
    <c:dispBlanksAs val="gap"/>
    <c:showDLblsOverMax val="0"/>
  </c:chart>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2"/>
          <c:order val="0"/>
          <c:tx>
            <c:v>Global Error</c:v>
          </c:tx>
          <c:spPr>
            <a:ln>
              <a:solidFill>
                <a:schemeClr val="accent1"/>
              </a:solidFill>
            </a:ln>
          </c:spPr>
          <c:marker>
            <c:spPr>
              <a:solidFill>
                <a:schemeClr val="accent1"/>
              </a:solidFill>
              <a:ln>
                <a:solidFill>
                  <a:schemeClr val="accent1"/>
                </a:solidFill>
              </a:ln>
            </c:spPr>
          </c:marker>
          <c:xVal>
            <c:numRef>
              <c:f>Sheet1!$F$137:$F$142</c:f>
              <c:numCache>
                <c:formatCode>General</c:formatCode>
                <c:ptCount val="6"/>
                <c:pt idx="0">
                  <c:v>12</c:v>
                </c:pt>
                <c:pt idx="1">
                  <c:v>15</c:v>
                </c:pt>
                <c:pt idx="2">
                  <c:v>21</c:v>
                </c:pt>
                <c:pt idx="3">
                  <c:v>28</c:v>
                </c:pt>
                <c:pt idx="4">
                  <c:v>46</c:v>
                </c:pt>
                <c:pt idx="5">
                  <c:v>71</c:v>
                </c:pt>
              </c:numCache>
            </c:numRef>
          </c:xVal>
          <c:yVal>
            <c:numRef>
              <c:f>Sheet1!$L$137:$L$142</c:f>
              <c:numCache>
                <c:formatCode>0.000</c:formatCode>
                <c:ptCount val="6"/>
                <c:pt idx="0">
                  <c:v>2.5329279808929073</c:v>
                </c:pt>
                <c:pt idx="1">
                  <c:v>3.5090865331618648</c:v>
                </c:pt>
                <c:pt idx="2">
                  <c:v>3.924794782289176</c:v>
                </c:pt>
                <c:pt idx="3">
                  <c:v>3.8900264559985187</c:v>
                </c:pt>
                <c:pt idx="4">
                  <c:v>3.7388598199522338</c:v>
                </c:pt>
                <c:pt idx="5">
                  <c:v>3.4055373874701589</c:v>
                </c:pt>
              </c:numCache>
            </c:numRef>
          </c:yVal>
          <c:smooth val="0"/>
        </c:ser>
        <c:ser>
          <c:idx val="1"/>
          <c:order val="1"/>
          <c:tx>
            <c:v>Mesh p3 Global Error</c:v>
          </c:tx>
          <c:marker>
            <c:symbol val="none"/>
          </c:marker>
          <c:xVal>
            <c:numRef>
              <c:f>Sheet1!$B$152:$B$153</c:f>
              <c:numCache>
                <c:formatCode>General</c:formatCode>
                <c:ptCount val="2"/>
                <c:pt idx="0">
                  <c:v>-10</c:v>
                </c:pt>
                <c:pt idx="1">
                  <c:v>500</c:v>
                </c:pt>
              </c:numCache>
            </c:numRef>
          </c:xVal>
          <c:yVal>
            <c:numRef>
              <c:f>Sheet1!$A$152:$A$153</c:f>
              <c:numCache>
                <c:formatCode>General</c:formatCode>
                <c:ptCount val="2"/>
                <c:pt idx="0">
                  <c:v>3.19</c:v>
                </c:pt>
                <c:pt idx="1">
                  <c:v>3.19</c:v>
                </c:pt>
              </c:numCache>
            </c:numRef>
          </c:yVal>
          <c:smooth val="0"/>
        </c:ser>
        <c:dLbls>
          <c:showLegendKey val="0"/>
          <c:showVal val="0"/>
          <c:showCatName val="0"/>
          <c:showSerName val="0"/>
          <c:showPercent val="0"/>
          <c:showBubbleSize val="0"/>
        </c:dLbls>
        <c:axId val="153324928"/>
        <c:axId val="153327104"/>
      </c:scatterChart>
      <c:valAx>
        <c:axId val="153324928"/>
        <c:scaling>
          <c:orientation val="minMax"/>
          <c:max val="80"/>
          <c:min val="0"/>
        </c:scaling>
        <c:delete val="0"/>
        <c:axPos val="b"/>
        <c:majorGridlines/>
        <c:title>
          <c:tx>
            <c:rich>
              <a:bodyPr/>
              <a:lstStyle/>
              <a:p>
                <a:pPr>
                  <a:defRPr b="0"/>
                </a:pPr>
                <a:r>
                  <a:rPr lang="en-US" b="0"/>
                  <a:t>Coolant Mesh Elements (in thousands)</a:t>
                </a:r>
              </a:p>
            </c:rich>
          </c:tx>
          <c:layout/>
          <c:overlay val="0"/>
        </c:title>
        <c:numFmt formatCode="General" sourceLinked="1"/>
        <c:majorTickMark val="out"/>
        <c:minorTickMark val="none"/>
        <c:tickLblPos val="nextTo"/>
        <c:crossAx val="153327104"/>
        <c:crosses val="autoZero"/>
        <c:crossBetween val="midCat"/>
      </c:valAx>
      <c:valAx>
        <c:axId val="153327104"/>
        <c:scaling>
          <c:orientation val="minMax"/>
        </c:scaling>
        <c:delete val="0"/>
        <c:axPos val="l"/>
        <c:majorGridlines/>
        <c:title>
          <c:tx>
            <c:rich>
              <a:bodyPr rot="-5400000" vert="horz"/>
              <a:lstStyle/>
              <a:p>
                <a:pPr>
                  <a:defRPr b="0"/>
                </a:pPr>
                <a:r>
                  <a:rPr lang="en-US" b="0" i="1"/>
                  <a:t>e</a:t>
                </a:r>
                <a:r>
                  <a:rPr lang="en-US" b="0" i="1" baseline="-25000"/>
                  <a:t>g</a:t>
                </a:r>
                <a:r>
                  <a:rPr lang="en-US" b="0"/>
                  <a:t> (%)</a:t>
                </a:r>
              </a:p>
            </c:rich>
          </c:tx>
          <c:layout/>
          <c:overlay val="0"/>
        </c:title>
        <c:numFmt formatCode="0.000" sourceLinked="1"/>
        <c:majorTickMark val="out"/>
        <c:minorTickMark val="none"/>
        <c:tickLblPos val="nextTo"/>
        <c:crossAx val="153324928"/>
        <c:crosses val="autoZero"/>
        <c:crossBetween val="midCat"/>
      </c:valAx>
    </c:plotArea>
    <c:legend>
      <c:legendPos val="r"/>
      <c:layout>
        <c:manualLayout>
          <c:xMode val="edge"/>
          <c:yMode val="edge"/>
          <c:x val="0.62966727116770005"/>
          <c:y val="0.53676800816564596"/>
          <c:w val="0.32208594845012467"/>
          <c:h val="0.16720472440944881"/>
        </c:manualLayout>
      </c:layout>
      <c:overlay val="1"/>
    </c:legend>
    <c:plotVisOnly val="1"/>
    <c:dispBlanksAs val="gap"/>
    <c:showDLblsOverMax val="0"/>
  </c:chart>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Max T</c:v>
          </c:tx>
          <c:xVal>
            <c:numRef>
              <c:f>Sheet1!$F$137:$F$142</c:f>
              <c:numCache>
                <c:formatCode>General</c:formatCode>
                <c:ptCount val="6"/>
                <c:pt idx="0">
                  <c:v>12</c:v>
                </c:pt>
                <c:pt idx="1">
                  <c:v>15</c:v>
                </c:pt>
                <c:pt idx="2">
                  <c:v>21</c:v>
                </c:pt>
                <c:pt idx="3">
                  <c:v>28</c:v>
                </c:pt>
                <c:pt idx="4">
                  <c:v>46</c:v>
                </c:pt>
                <c:pt idx="5">
                  <c:v>71</c:v>
                </c:pt>
              </c:numCache>
            </c:numRef>
          </c:xVal>
          <c:yVal>
            <c:numRef>
              <c:f>Sheet1!$M$137:$M$142</c:f>
              <c:numCache>
                <c:formatCode>0.0</c:formatCode>
                <c:ptCount val="6"/>
                <c:pt idx="0">
                  <c:v>429.26542000000001</c:v>
                </c:pt>
                <c:pt idx="1">
                  <c:v>429.58600000000001</c:v>
                </c:pt>
                <c:pt idx="2">
                  <c:v>429.71751</c:v>
                </c:pt>
                <c:pt idx="3">
                  <c:v>429.69943000000001</c:v>
                </c:pt>
                <c:pt idx="4">
                  <c:v>429.66534000000001</c:v>
                </c:pt>
                <c:pt idx="5">
                  <c:v>429.58341000000001</c:v>
                </c:pt>
              </c:numCache>
            </c:numRef>
          </c:yVal>
          <c:smooth val="0"/>
        </c:ser>
        <c:ser>
          <c:idx val="1"/>
          <c:order val="1"/>
          <c:tx>
            <c:v>Mesh p3 Max T</c:v>
          </c:tx>
          <c:marker>
            <c:symbol val="none"/>
          </c:marker>
          <c:xVal>
            <c:numRef>
              <c:f>Sheet1!$B$160:$B$161</c:f>
              <c:numCache>
                <c:formatCode>General</c:formatCode>
                <c:ptCount val="2"/>
                <c:pt idx="0">
                  <c:v>-10</c:v>
                </c:pt>
                <c:pt idx="1">
                  <c:v>500</c:v>
                </c:pt>
              </c:numCache>
            </c:numRef>
          </c:xVal>
          <c:yVal>
            <c:numRef>
              <c:f>Sheet1!$A$160:$A$161</c:f>
              <c:numCache>
                <c:formatCode>General</c:formatCode>
                <c:ptCount val="2"/>
                <c:pt idx="0">
                  <c:v>427.9</c:v>
                </c:pt>
                <c:pt idx="1">
                  <c:v>427.9</c:v>
                </c:pt>
              </c:numCache>
            </c:numRef>
          </c:yVal>
          <c:smooth val="0"/>
        </c:ser>
        <c:ser>
          <c:idx val="2"/>
          <c:order val="2"/>
          <c:tx>
            <c:v>3D Model Max T</c:v>
          </c:tx>
          <c:marker>
            <c:symbol val="none"/>
          </c:marker>
          <c:xVal>
            <c:numRef>
              <c:f>Sheet1!$B$164:$B$165</c:f>
              <c:numCache>
                <c:formatCode>General</c:formatCode>
                <c:ptCount val="2"/>
                <c:pt idx="0">
                  <c:v>-10</c:v>
                </c:pt>
                <c:pt idx="1">
                  <c:v>500</c:v>
                </c:pt>
              </c:numCache>
            </c:numRef>
          </c:xVal>
          <c:yVal>
            <c:numRef>
              <c:f>Sheet1!$A$164:$A$165</c:f>
              <c:numCache>
                <c:formatCode>General</c:formatCode>
                <c:ptCount val="2"/>
                <c:pt idx="0">
                  <c:v>431.8</c:v>
                </c:pt>
                <c:pt idx="1">
                  <c:v>431.8</c:v>
                </c:pt>
              </c:numCache>
            </c:numRef>
          </c:yVal>
          <c:smooth val="0"/>
        </c:ser>
        <c:dLbls>
          <c:showLegendKey val="0"/>
          <c:showVal val="0"/>
          <c:showCatName val="0"/>
          <c:showSerName val="0"/>
          <c:showPercent val="0"/>
          <c:showBubbleSize val="0"/>
        </c:dLbls>
        <c:axId val="149031936"/>
        <c:axId val="149058688"/>
      </c:scatterChart>
      <c:valAx>
        <c:axId val="149031936"/>
        <c:scaling>
          <c:orientation val="minMax"/>
          <c:max val="80"/>
          <c:min val="0"/>
        </c:scaling>
        <c:delete val="0"/>
        <c:axPos val="b"/>
        <c:majorGridlines/>
        <c:title>
          <c:tx>
            <c:rich>
              <a:bodyPr/>
              <a:lstStyle/>
              <a:p>
                <a:pPr>
                  <a:defRPr b="0"/>
                </a:pPr>
                <a:r>
                  <a:rPr lang="en-US" b="0"/>
                  <a:t>Coolant Mesh Elements (in thousands)</a:t>
                </a:r>
              </a:p>
            </c:rich>
          </c:tx>
          <c:layout/>
          <c:overlay val="0"/>
        </c:title>
        <c:numFmt formatCode="General" sourceLinked="1"/>
        <c:majorTickMark val="out"/>
        <c:minorTickMark val="none"/>
        <c:tickLblPos val="nextTo"/>
        <c:crossAx val="149058688"/>
        <c:crosses val="autoZero"/>
        <c:crossBetween val="midCat"/>
      </c:valAx>
      <c:valAx>
        <c:axId val="149058688"/>
        <c:scaling>
          <c:orientation val="minMax"/>
        </c:scaling>
        <c:delete val="0"/>
        <c:axPos val="l"/>
        <c:majorGridlines/>
        <c:title>
          <c:tx>
            <c:rich>
              <a:bodyPr rot="-5400000" vert="horz"/>
              <a:lstStyle/>
              <a:p>
                <a:pPr>
                  <a:defRPr b="0"/>
                </a:pPr>
                <a:r>
                  <a:rPr lang="en-US" b="0"/>
                  <a:t>Max</a:t>
                </a:r>
                <a:r>
                  <a:rPr lang="en-US" b="0" baseline="0"/>
                  <a:t> Fueal Meat T </a:t>
                </a:r>
                <a:r>
                  <a:rPr lang="en-US" b="0"/>
                  <a:t>(K)</a:t>
                </a:r>
              </a:p>
            </c:rich>
          </c:tx>
          <c:layout/>
          <c:overlay val="0"/>
        </c:title>
        <c:numFmt formatCode="0.0" sourceLinked="1"/>
        <c:majorTickMark val="out"/>
        <c:minorTickMark val="none"/>
        <c:tickLblPos val="nextTo"/>
        <c:crossAx val="149031936"/>
        <c:crosses val="autoZero"/>
        <c:crossBetween val="midCat"/>
      </c:valAx>
    </c:plotArea>
    <c:legend>
      <c:legendPos val="r"/>
      <c:layout>
        <c:manualLayout>
          <c:xMode val="edge"/>
          <c:yMode val="edge"/>
          <c:x val="0.627593423019432"/>
          <c:y val="0.13399023038786817"/>
          <c:w val="0.32074761955204029"/>
          <c:h val="0.25080708661417322"/>
        </c:manualLayout>
      </c:layout>
      <c:overlay val="1"/>
    </c:legend>
    <c:plotVisOnly val="1"/>
    <c:dispBlanksAs val="gap"/>
    <c:showDLblsOverMax val="0"/>
  </c:chart>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Fra</b:Tag>
    <b:SourceType>Book</b:SourceType>
    <b:Guid>{BCC70D87-F1AC-3B42-A67E-E0633657D8AE}</b:Guid>
    <b:Author>
      <b:Author>
        <b:NameList>
          <b:Person>
            <b:Last>Marshall</b:Last>
            <b:First>Frances</b:First>
            <b:Middle>M.</b:Middle>
          </b:Person>
        </b:NameList>
      </b:Author>
    </b:Author>
    <b:Title>Advanced Test Reactor Capabilities and Future Operating Plans</b:Title>
    <b:City>Idaho Falls</b:City>
    <b:StateProvince>ID</b:StateProvince>
    <b:Publisher>Idao National Laboratory</b:Publisher>
    <b:Pages>2</b:Pages>
    <b:RefOrder>1</b:RefOrder>
  </b:Source>
</b:Sources>
</file>

<file path=customXml/itemProps1.xml><?xml version="1.0" encoding="utf-8"?>
<ds:datastoreItem xmlns:ds="http://schemas.openxmlformats.org/officeDocument/2006/customXml" ds:itemID="{07077BCA-3DD3-43DC-A5F3-A0E7F7B7E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3959</TotalTime>
  <Pages>131</Pages>
  <Words>26294</Words>
  <Characters>149882</Characters>
  <Application>Microsoft Office Word</Application>
  <DocSecurity>0</DocSecurity>
  <Lines>1249</Lines>
  <Paragraphs>351</Paragraphs>
  <ScaleCrop>false</ScaleCrop>
  <HeadingPairs>
    <vt:vector size="2" baseType="variant">
      <vt:variant>
        <vt:lpstr>Title</vt:lpstr>
      </vt:variant>
      <vt:variant>
        <vt:i4>1</vt:i4>
      </vt:variant>
    </vt:vector>
  </HeadingPairs>
  <TitlesOfParts>
    <vt:vector size="1" baseType="lpstr">
      <vt:lpstr/>
    </vt:vector>
  </TitlesOfParts>
  <Company>ORNL</Company>
  <LinksUpToDate>false</LinksUpToDate>
  <CharactersWithSpaces>175825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R. Travis</dc:creator>
  <cp:lastModifiedBy>Adam R. Travis</cp:lastModifiedBy>
  <cp:revision>325</cp:revision>
  <cp:lastPrinted>2014-03-24T16:58:00Z</cp:lastPrinted>
  <dcterms:created xsi:type="dcterms:W3CDTF">2014-03-07T20:28:00Z</dcterms:created>
  <dcterms:modified xsi:type="dcterms:W3CDTF">2014-03-24T16:59:00Z</dcterms:modified>
</cp:coreProperties>
</file>