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7CD3E" w14:textId="1DEDA4F2" w:rsidR="008924E0" w:rsidRPr="008C4867" w:rsidRDefault="008924E0" w:rsidP="0025557A">
      <w:pPr>
        <w:spacing w:line="480" w:lineRule="auto"/>
        <w:jc w:val="center"/>
        <w:rPr>
          <w:rFonts w:ascii="Times New Roman" w:hAnsi="Times New Roman" w:cs="Times New Roman"/>
          <w:b/>
          <w:sz w:val="36"/>
          <w:szCs w:val="36"/>
          <w:lang w:val="en-CA"/>
        </w:rPr>
      </w:pPr>
      <w:bookmarkStart w:id="0" w:name="_Hlk67118751"/>
      <w:r w:rsidRPr="008C4867">
        <w:rPr>
          <w:rFonts w:ascii="Times New Roman" w:hAnsi="Times New Roman" w:cs="Times New Roman"/>
          <w:b/>
          <w:sz w:val="36"/>
          <w:szCs w:val="36"/>
          <w:lang w:val="en-CA"/>
        </w:rPr>
        <w:t>TRANSSACCADIC UPDATING AND FEATURE OVERWRITING</w:t>
      </w:r>
    </w:p>
    <w:p w14:paraId="164982FE" w14:textId="77777777" w:rsidR="008924E0" w:rsidRPr="008C4867" w:rsidRDefault="008924E0" w:rsidP="008924E0">
      <w:pPr>
        <w:spacing w:line="480" w:lineRule="auto"/>
        <w:jc w:val="center"/>
        <w:rPr>
          <w:rFonts w:ascii="Times New Roman" w:hAnsi="Times New Roman" w:cs="Times New Roman"/>
          <w:sz w:val="36"/>
          <w:szCs w:val="36"/>
        </w:rPr>
      </w:pPr>
    </w:p>
    <w:p w14:paraId="1D32F7FB" w14:textId="77777777" w:rsidR="008924E0" w:rsidRPr="008C4867" w:rsidRDefault="008924E0" w:rsidP="008924E0">
      <w:pPr>
        <w:spacing w:line="480" w:lineRule="auto"/>
        <w:jc w:val="center"/>
        <w:rPr>
          <w:rFonts w:ascii="Times New Roman" w:hAnsi="Times New Roman" w:cs="Times New Roman"/>
          <w:sz w:val="36"/>
          <w:szCs w:val="36"/>
        </w:rPr>
      </w:pPr>
    </w:p>
    <w:p w14:paraId="47602A61" w14:textId="77777777" w:rsidR="008924E0" w:rsidRPr="008C4867" w:rsidRDefault="008924E0" w:rsidP="008924E0">
      <w:pPr>
        <w:spacing w:line="480" w:lineRule="auto"/>
        <w:jc w:val="center"/>
        <w:rPr>
          <w:rFonts w:ascii="Times New Roman" w:hAnsi="Times New Roman" w:cs="Times New Roman"/>
          <w:sz w:val="36"/>
          <w:szCs w:val="36"/>
        </w:rPr>
      </w:pPr>
    </w:p>
    <w:p w14:paraId="49A7BFF5" w14:textId="77777777" w:rsidR="008924E0" w:rsidRPr="008C4867" w:rsidRDefault="008924E0" w:rsidP="0025557A">
      <w:pPr>
        <w:spacing w:line="480" w:lineRule="auto"/>
        <w:jc w:val="center"/>
        <w:rPr>
          <w:rFonts w:ascii="Times New Roman" w:hAnsi="Times New Roman" w:cs="Times New Roman"/>
          <w:sz w:val="36"/>
          <w:szCs w:val="36"/>
        </w:rPr>
      </w:pPr>
      <w:r w:rsidRPr="008C4867">
        <w:rPr>
          <w:rFonts w:ascii="Times New Roman" w:hAnsi="Times New Roman" w:cs="Times New Roman"/>
          <w:sz w:val="36"/>
          <w:szCs w:val="36"/>
        </w:rPr>
        <w:t>A Thesis Presented for the</w:t>
      </w:r>
    </w:p>
    <w:p w14:paraId="437C041A" w14:textId="77777777" w:rsidR="008924E0" w:rsidRPr="008C4867" w:rsidRDefault="008924E0" w:rsidP="008924E0">
      <w:pPr>
        <w:spacing w:line="480" w:lineRule="auto"/>
        <w:jc w:val="center"/>
        <w:rPr>
          <w:rFonts w:ascii="Times New Roman" w:hAnsi="Times New Roman" w:cs="Times New Roman"/>
          <w:sz w:val="36"/>
          <w:szCs w:val="36"/>
        </w:rPr>
      </w:pPr>
      <w:r w:rsidRPr="008C4867">
        <w:rPr>
          <w:rFonts w:ascii="Times New Roman" w:hAnsi="Times New Roman" w:cs="Times New Roman"/>
          <w:sz w:val="36"/>
          <w:szCs w:val="36"/>
        </w:rPr>
        <w:t>Master of Arts</w:t>
      </w:r>
    </w:p>
    <w:p w14:paraId="07B63B15" w14:textId="77777777" w:rsidR="008924E0" w:rsidRPr="008C4867" w:rsidRDefault="008924E0" w:rsidP="008924E0">
      <w:pPr>
        <w:spacing w:line="480" w:lineRule="auto"/>
        <w:jc w:val="center"/>
        <w:rPr>
          <w:rFonts w:ascii="Times New Roman" w:hAnsi="Times New Roman" w:cs="Times New Roman"/>
          <w:sz w:val="36"/>
          <w:szCs w:val="36"/>
        </w:rPr>
      </w:pPr>
      <w:r w:rsidRPr="008C4867">
        <w:rPr>
          <w:rFonts w:ascii="Times New Roman" w:hAnsi="Times New Roman" w:cs="Times New Roman"/>
          <w:sz w:val="36"/>
          <w:szCs w:val="36"/>
        </w:rPr>
        <w:t>Degree</w:t>
      </w:r>
    </w:p>
    <w:p w14:paraId="18CB88EC" w14:textId="7BCEB400" w:rsidR="008924E0" w:rsidRPr="008C4867" w:rsidRDefault="008924E0" w:rsidP="0025557A">
      <w:pPr>
        <w:spacing w:line="480" w:lineRule="auto"/>
        <w:jc w:val="center"/>
        <w:rPr>
          <w:rFonts w:ascii="Times New Roman" w:hAnsi="Times New Roman" w:cs="Times New Roman"/>
          <w:sz w:val="36"/>
          <w:szCs w:val="36"/>
        </w:rPr>
      </w:pPr>
      <w:r w:rsidRPr="008C4867">
        <w:rPr>
          <w:rFonts w:ascii="Times New Roman" w:hAnsi="Times New Roman" w:cs="Times New Roman"/>
          <w:sz w:val="36"/>
          <w:szCs w:val="36"/>
        </w:rPr>
        <w:t>The University of Tennessee, Knoxville</w:t>
      </w:r>
    </w:p>
    <w:p w14:paraId="43DC5D4F" w14:textId="77F47C88" w:rsidR="0025557A" w:rsidRPr="008C4867" w:rsidRDefault="0025557A" w:rsidP="0025557A">
      <w:pPr>
        <w:spacing w:line="480" w:lineRule="auto"/>
        <w:jc w:val="center"/>
        <w:rPr>
          <w:rFonts w:ascii="Times New Roman" w:hAnsi="Times New Roman" w:cs="Times New Roman"/>
          <w:sz w:val="36"/>
          <w:szCs w:val="36"/>
        </w:rPr>
      </w:pPr>
    </w:p>
    <w:p w14:paraId="53507457" w14:textId="77777777" w:rsidR="008924E0" w:rsidRPr="008C4867" w:rsidRDefault="008924E0" w:rsidP="008924E0">
      <w:pPr>
        <w:spacing w:line="480" w:lineRule="auto"/>
        <w:jc w:val="center"/>
        <w:rPr>
          <w:rFonts w:ascii="Times New Roman" w:hAnsi="Times New Roman" w:cs="Times New Roman"/>
          <w:sz w:val="36"/>
          <w:szCs w:val="36"/>
        </w:rPr>
      </w:pPr>
    </w:p>
    <w:p w14:paraId="508C06B2" w14:textId="77777777" w:rsidR="008924E0" w:rsidRPr="008C4867" w:rsidRDefault="008924E0" w:rsidP="008924E0">
      <w:pPr>
        <w:spacing w:line="480" w:lineRule="auto"/>
        <w:jc w:val="center"/>
        <w:rPr>
          <w:rFonts w:ascii="Times New Roman" w:hAnsi="Times New Roman" w:cs="Times New Roman"/>
          <w:sz w:val="36"/>
          <w:szCs w:val="36"/>
        </w:rPr>
      </w:pPr>
    </w:p>
    <w:p w14:paraId="26E9B362" w14:textId="77777777" w:rsidR="008924E0" w:rsidRPr="008C4867" w:rsidRDefault="008924E0" w:rsidP="008924E0">
      <w:pPr>
        <w:spacing w:line="480" w:lineRule="auto"/>
        <w:jc w:val="center"/>
        <w:rPr>
          <w:rFonts w:ascii="Times New Roman" w:hAnsi="Times New Roman" w:cs="Times New Roman"/>
          <w:sz w:val="36"/>
          <w:szCs w:val="36"/>
        </w:rPr>
      </w:pPr>
    </w:p>
    <w:p w14:paraId="6E936C79" w14:textId="77777777" w:rsidR="008924E0" w:rsidRPr="008C4867" w:rsidRDefault="008924E0" w:rsidP="008924E0">
      <w:pPr>
        <w:spacing w:line="480" w:lineRule="auto"/>
        <w:jc w:val="center"/>
        <w:rPr>
          <w:rFonts w:ascii="Times New Roman" w:hAnsi="Times New Roman" w:cs="Times New Roman"/>
          <w:sz w:val="36"/>
          <w:szCs w:val="36"/>
        </w:rPr>
      </w:pPr>
      <w:r w:rsidRPr="008C4867">
        <w:rPr>
          <w:rFonts w:ascii="Times New Roman" w:hAnsi="Times New Roman" w:cs="Times New Roman"/>
          <w:sz w:val="36"/>
          <w:szCs w:val="36"/>
        </w:rPr>
        <w:t>Jessica L. Parker</w:t>
      </w:r>
    </w:p>
    <w:p w14:paraId="28B54ECD" w14:textId="77777777" w:rsidR="008924E0" w:rsidRPr="008C4867" w:rsidRDefault="008924E0" w:rsidP="008924E0">
      <w:pPr>
        <w:spacing w:line="480" w:lineRule="auto"/>
        <w:jc w:val="center"/>
        <w:rPr>
          <w:rFonts w:ascii="Times New Roman" w:hAnsi="Times New Roman" w:cs="Times New Roman"/>
          <w:sz w:val="36"/>
          <w:szCs w:val="36"/>
        </w:rPr>
      </w:pPr>
      <w:r w:rsidRPr="008C4867">
        <w:rPr>
          <w:rFonts w:ascii="Times New Roman" w:hAnsi="Times New Roman" w:cs="Times New Roman"/>
          <w:sz w:val="36"/>
          <w:szCs w:val="36"/>
        </w:rPr>
        <w:t>May 2021</w:t>
      </w:r>
    </w:p>
    <w:p w14:paraId="1B1D4682" w14:textId="77777777" w:rsidR="008924E0" w:rsidRPr="008C4867" w:rsidRDefault="008924E0" w:rsidP="008924E0">
      <w:pPr>
        <w:spacing w:line="480" w:lineRule="auto"/>
        <w:jc w:val="center"/>
        <w:rPr>
          <w:rFonts w:ascii="Times New Roman" w:hAnsi="Times New Roman" w:cs="Times New Roman"/>
        </w:rPr>
      </w:pPr>
      <w:r w:rsidRPr="008C4867">
        <w:rPr>
          <w:rFonts w:ascii="Times New Roman" w:hAnsi="Times New Roman" w:cs="Times New Roman"/>
        </w:rPr>
        <w:lastRenderedPageBreak/>
        <w:t>Copyright © 2021 by Jessica L. Parker</w:t>
      </w:r>
    </w:p>
    <w:p w14:paraId="4D26A3BF" w14:textId="77777777" w:rsidR="008924E0" w:rsidRPr="008C4867" w:rsidRDefault="008924E0" w:rsidP="008924E0">
      <w:pPr>
        <w:spacing w:line="480" w:lineRule="auto"/>
        <w:jc w:val="center"/>
        <w:rPr>
          <w:rFonts w:ascii="Times New Roman" w:hAnsi="Times New Roman" w:cs="Times New Roman"/>
        </w:rPr>
      </w:pPr>
      <w:r w:rsidRPr="008C4867">
        <w:rPr>
          <w:rFonts w:ascii="Times New Roman" w:hAnsi="Times New Roman" w:cs="Times New Roman"/>
        </w:rPr>
        <w:t>All rights reserved.</w:t>
      </w:r>
    </w:p>
    <w:p w14:paraId="5E64AAE8" w14:textId="77777777" w:rsidR="008924E0" w:rsidRPr="008C4867" w:rsidRDefault="008924E0" w:rsidP="008924E0">
      <w:pPr>
        <w:spacing w:line="480" w:lineRule="auto"/>
        <w:jc w:val="center"/>
        <w:rPr>
          <w:rFonts w:ascii="Times New Roman" w:hAnsi="Times New Roman" w:cs="Times New Roman"/>
        </w:rPr>
      </w:pPr>
    </w:p>
    <w:p w14:paraId="136C3B8A" w14:textId="77777777" w:rsidR="008924E0" w:rsidRPr="008C4867" w:rsidRDefault="008924E0" w:rsidP="008924E0">
      <w:pPr>
        <w:spacing w:line="480" w:lineRule="auto"/>
        <w:jc w:val="center"/>
        <w:rPr>
          <w:rFonts w:ascii="Times New Roman" w:hAnsi="Times New Roman" w:cs="Times New Roman"/>
        </w:rPr>
      </w:pPr>
    </w:p>
    <w:p w14:paraId="1600302F" w14:textId="2E2BE813" w:rsidR="008924E0" w:rsidRPr="008C4867" w:rsidRDefault="008924E0" w:rsidP="008924E0">
      <w:pPr>
        <w:spacing w:line="480" w:lineRule="auto"/>
        <w:jc w:val="center"/>
        <w:rPr>
          <w:rFonts w:ascii="Times New Roman" w:hAnsi="Times New Roman" w:cs="Times New Roman"/>
          <w:b/>
          <w:sz w:val="28"/>
          <w:szCs w:val="28"/>
        </w:rPr>
      </w:pPr>
      <w:r w:rsidRPr="008C4867">
        <w:rPr>
          <w:rFonts w:ascii="Times New Roman" w:hAnsi="Times New Roman" w:cs="Times New Roman"/>
          <w:sz w:val="36"/>
          <w:szCs w:val="36"/>
        </w:rPr>
        <w:br w:type="page"/>
      </w:r>
      <w:r w:rsidRPr="008C4867">
        <w:rPr>
          <w:rFonts w:ascii="Times New Roman" w:hAnsi="Times New Roman" w:cs="Times New Roman"/>
          <w:b/>
          <w:sz w:val="28"/>
          <w:szCs w:val="28"/>
        </w:rPr>
        <w:lastRenderedPageBreak/>
        <w:t>ACKNOWLEDGEMENTS</w:t>
      </w:r>
    </w:p>
    <w:p w14:paraId="1BDDA8F4" w14:textId="0A37FEAE" w:rsidR="008924E0" w:rsidRPr="008C4867" w:rsidRDefault="008924E0" w:rsidP="008924E0">
      <w:pPr>
        <w:spacing w:line="480" w:lineRule="auto"/>
        <w:jc w:val="center"/>
        <w:rPr>
          <w:rFonts w:ascii="Times New Roman" w:hAnsi="Times New Roman" w:cs="Times New Roman"/>
        </w:rPr>
      </w:pPr>
      <w:r w:rsidRPr="008C4867">
        <w:rPr>
          <w:rFonts w:ascii="Times New Roman" w:hAnsi="Times New Roman" w:cs="Times New Roman"/>
        </w:rPr>
        <w:t xml:space="preserve">I would like to thank my family and my partner for being a great support system for me. Further, I appreciate the guidance from my mentor, who has greatly fostered my academic growth.  </w:t>
      </w:r>
      <w:r w:rsidRPr="008C4867">
        <w:rPr>
          <w:rFonts w:ascii="Times New Roman" w:hAnsi="Times New Roman" w:cs="Times New Roman"/>
          <w:sz w:val="36"/>
          <w:szCs w:val="36"/>
        </w:rPr>
        <w:br w:type="page"/>
      </w:r>
      <w:r w:rsidRPr="008C4867">
        <w:rPr>
          <w:rFonts w:ascii="Times New Roman" w:hAnsi="Times New Roman" w:cs="Times New Roman"/>
          <w:b/>
          <w:bCs/>
          <w:sz w:val="28"/>
          <w:szCs w:val="28"/>
        </w:rPr>
        <w:lastRenderedPageBreak/>
        <w:t>ABSTRACT</w:t>
      </w:r>
    </w:p>
    <w:p w14:paraId="21A75D94" w14:textId="77777777" w:rsidR="008924E0" w:rsidRPr="008C4867" w:rsidRDefault="008924E0" w:rsidP="008924E0">
      <w:pPr>
        <w:spacing w:line="480" w:lineRule="auto"/>
        <w:ind w:firstLine="720"/>
        <w:rPr>
          <w:rFonts w:ascii="Times New Roman" w:hAnsi="Times New Roman" w:cs="Times New Roman"/>
          <w:b/>
          <w:bCs/>
          <w:sz w:val="28"/>
          <w:szCs w:val="28"/>
        </w:rPr>
      </w:pPr>
      <w:r w:rsidRPr="008C4867">
        <w:rPr>
          <w:rFonts w:ascii="Times New Roman" w:hAnsi="Times New Roman" w:cs="Times New Roman"/>
        </w:rPr>
        <w:t xml:space="preserve">The present study investigated mechanisms of transsaccadic object updating. We have previously shown that the pre-saccadic representation of the saccade target object is overwritten by its post-saccadic representation when visual stability is established (Tas, Mordkoff, &amp; Hollingworth, 2021). However, other studies have shown that the pre- and post-saccadic representations are instead integrated across saccades (e.g., Wolf &amp; Schütz, 2015). An important difference between these studies was the task instructions. In our previous experiments, we asked participants to report either the pre- or the post-saccadic feature of the saccade target. However, studies which found integration effects asked participants to report the feature of the target without specifying different states (pre-saccadic or post-saccadic) which may promote an integration mechanism. The present study tested this possibility. Participants executed a saccade to a colored disk. On half of the trials, the target’s color was changed by 15° during the saccade. After each trial, participants were asked to report the color of the target object by clicking on the corresponding color on a color wheel (integration block). Participants also completed two blocks where they saw the target either only pre-saccadically or only post-saccadically. In the current study, when we tested the fit of the response distributions of the integration trials, the results were not conclusive. We also tested whether integration trials resulted in better performance compared to the best single condition (pre-only or post-only block). We found no evidence for cue integration: Color reports were not significantly more precise in the integration block compared to the best single performance. Together, these </w:t>
      </w:r>
      <w:r w:rsidRPr="008C4867">
        <w:rPr>
          <w:rFonts w:ascii="Times New Roman" w:hAnsi="Times New Roman" w:cs="Times New Roman"/>
        </w:rPr>
        <w:lastRenderedPageBreak/>
        <w:t xml:space="preserve">findings fail to show clear support for integration, but are also not fully conclusive and will require further investigation.  </w:t>
      </w:r>
    </w:p>
    <w:p w14:paraId="2CBDAE70" w14:textId="77777777" w:rsidR="008924E0" w:rsidRPr="008C4867" w:rsidRDefault="008924E0" w:rsidP="008924E0">
      <w:pPr>
        <w:numPr>
          <w:ilvl w:val="12"/>
          <w:numId w:val="0"/>
        </w:numPr>
        <w:spacing w:line="480" w:lineRule="auto"/>
        <w:jc w:val="center"/>
        <w:rPr>
          <w:rFonts w:ascii="Times New Roman" w:hAnsi="Times New Roman" w:cs="Times New Roman"/>
        </w:rPr>
      </w:pPr>
      <w:r w:rsidRPr="008C4867">
        <w:rPr>
          <w:rFonts w:ascii="Times New Roman" w:hAnsi="Times New Roman" w:cs="Times New Roman"/>
          <w:b/>
          <w:bCs/>
          <w:sz w:val="28"/>
          <w:szCs w:val="28"/>
        </w:rPr>
        <w:br w:type="page"/>
      </w:r>
    </w:p>
    <w:sdt>
      <w:sdtPr>
        <w:rPr>
          <w:rFonts w:ascii="Times New Roman" w:hAnsi="Times New Roman" w:cs="Times New Roman"/>
          <w:b w:val="0"/>
          <w:caps w:val="0"/>
          <w:sz w:val="24"/>
        </w:rPr>
        <w:id w:val="607165129"/>
        <w:docPartObj>
          <w:docPartGallery w:val="Table of Contents"/>
          <w:docPartUnique/>
        </w:docPartObj>
      </w:sdtPr>
      <w:sdtEndPr>
        <w:rPr>
          <w:bCs/>
          <w:noProof/>
        </w:rPr>
      </w:sdtEndPr>
      <w:sdtContent>
        <w:p w14:paraId="5718276E" w14:textId="63D1AA51" w:rsidR="008924E0" w:rsidRPr="008C4867" w:rsidRDefault="008924E0" w:rsidP="008924E0">
          <w:pPr>
            <w:pStyle w:val="TOCHeading"/>
            <w:spacing w:before="0" w:after="0" w:line="480" w:lineRule="auto"/>
            <w:rPr>
              <w:rFonts w:ascii="Times New Roman" w:hAnsi="Times New Roman" w:cs="Times New Roman"/>
            </w:rPr>
          </w:pPr>
          <w:r w:rsidRPr="008C4867">
            <w:rPr>
              <w:rFonts w:ascii="Times New Roman" w:hAnsi="Times New Roman" w:cs="Times New Roman"/>
            </w:rPr>
            <w:t>Table of Contents</w:t>
          </w:r>
        </w:p>
        <w:p w14:paraId="13444F3B" w14:textId="56D459BA" w:rsidR="00886DEC" w:rsidRPr="008C4867" w:rsidRDefault="008924E0" w:rsidP="00886DEC">
          <w:pPr>
            <w:pStyle w:val="TOC1"/>
            <w:rPr>
              <w:rFonts w:eastAsiaTheme="minorEastAsia"/>
              <w:sz w:val="22"/>
              <w:szCs w:val="22"/>
            </w:rPr>
          </w:pPr>
          <w:r w:rsidRPr="008C4867">
            <w:rPr>
              <w:noProof w:val="0"/>
            </w:rPr>
            <w:fldChar w:fldCharType="begin"/>
          </w:r>
          <w:r w:rsidRPr="008C4867">
            <w:instrText xml:space="preserve"> TOC \o "1-3" \h \z \u </w:instrText>
          </w:r>
          <w:r w:rsidRPr="008C4867">
            <w:rPr>
              <w:noProof w:val="0"/>
            </w:rPr>
            <w:fldChar w:fldCharType="separate"/>
          </w:r>
          <w:hyperlink w:anchor="_Toc69573460" w:history="1">
            <w:r w:rsidR="00886DEC" w:rsidRPr="008C4867">
              <w:rPr>
                <w:rStyle w:val="Hyperlink"/>
                <w:rFonts w:ascii="Times New Roman" w:hAnsi="Times New Roman"/>
              </w:rPr>
              <w:t>Chapter One Introduction</w:t>
            </w:r>
            <w:r w:rsidR="00886DEC" w:rsidRPr="008C4867">
              <w:rPr>
                <w:webHidden/>
              </w:rPr>
              <w:tab/>
            </w:r>
            <w:r w:rsidR="00886DEC" w:rsidRPr="008C4867">
              <w:rPr>
                <w:webHidden/>
              </w:rPr>
              <w:fldChar w:fldCharType="begin"/>
            </w:r>
            <w:r w:rsidR="00886DEC" w:rsidRPr="008C4867">
              <w:rPr>
                <w:webHidden/>
              </w:rPr>
              <w:instrText xml:space="preserve"> PAGEREF _Toc69573460 \h </w:instrText>
            </w:r>
            <w:r w:rsidR="00886DEC" w:rsidRPr="008C4867">
              <w:rPr>
                <w:webHidden/>
              </w:rPr>
            </w:r>
            <w:r w:rsidR="00886DEC" w:rsidRPr="008C4867">
              <w:rPr>
                <w:webHidden/>
              </w:rPr>
              <w:fldChar w:fldCharType="separate"/>
            </w:r>
            <w:r w:rsidR="00617600" w:rsidRPr="008C4867">
              <w:rPr>
                <w:webHidden/>
              </w:rPr>
              <w:t>1</w:t>
            </w:r>
            <w:r w:rsidR="00886DEC" w:rsidRPr="008C4867">
              <w:rPr>
                <w:webHidden/>
              </w:rPr>
              <w:fldChar w:fldCharType="end"/>
            </w:r>
          </w:hyperlink>
        </w:p>
        <w:p w14:paraId="3EA049C0" w14:textId="0B7FF9C9" w:rsidR="00886DEC" w:rsidRPr="008C4867" w:rsidRDefault="007A44A3">
          <w:pPr>
            <w:pStyle w:val="TOC2"/>
            <w:tabs>
              <w:tab w:val="right" w:leader="dot" w:pos="8630"/>
            </w:tabs>
            <w:rPr>
              <w:rFonts w:ascii="Times New Roman" w:eastAsiaTheme="minorEastAsia" w:hAnsi="Times New Roman" w:cs="Times New Roman"/>
              <w:noProof/>
              <w:sz w:val="22"/>
              <w:szCs w:val="22"/>
            </w:rPr>
          </w:pPr>
          <w:hyperlink w:anchor="_Toc69573461" w:history="1">
            <w:r w:rsidR="00886DEC" w:rsidRPr="008C4867">
              <w:rPr>
                <w:rStyle w:val="Hyperlink"/>
                <w:rFonts w:ascii="Times New Roman" w:hAnsi="Times New Roman" w:cs="Times New Roman"/>
                <w:noProof/>
              </w:rPr>
              <w:t>Transsaccadic Updating</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_Toc69573461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2</w:t>
            </w:r>
            <w:r w:rsidR="00886DEC" w:rsidRPr="008C4867">
              <w:rPr>
                <w:rFonts w:ascii="Times New Roman" w:hAnsi="Times New Roman" w:cs="Times New Roman"/>
                <w:noProof/>
                <w:webHidden/>
              </w:rPr>
              <w:fldChar w:fldCharType="end"/>
            </w:r>
          </w:hyperlink>
        </w:p>
        <w:p w14:paraId="263A10E3" w14:textId="213D4160"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62" w:history="1">
            <w:r w:rsidR="00886DEC" w:rsidRPr="008C4867">
              <w:rPr>
                <w:rStyle w:val="Hyperlink"/>
                <w:rFonts w:ascii="Times New Roman" w:hAnsi="Times New Roman" w:cs="Times New Roman"/>
                <w:noProof/>
              </w:rPr>
              <w:t>Feature Averaging</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_Toc69573462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4</w:t>
            </w:r>
            <w:r w:rsidR="00886DEC" w:rsidRPr="008C4867">
              <w:rPr>
                <w:rFonts w:ascii="Times New Roman" w:hAnsi="Times New Roman" w:cs="Times New Roman"/>
                <w:noProof/>
                <w:webHidden/>
              </w:rPr>
              <w:fldChar w:fldCharType="end"/>
            </w:r>
          </w:hyperlink>
        </w:p>
        <w:p w14:paraId="1CA6888B" w14:textId="4D7AB0A3"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63" w:history="1">
            <w:r w:rsidR="00886DEC" w:rsidRPr="008C4867">
              <w:rPr>
                <w:rStyle w:val="Hyperlink"/>
                <w:rFonts w:ascii="Times New Roman" w:hAnsi="Times New Roman" w:cs="Times New Roman"/>
                <w:noProof/>
              </w:rPr>
              <w:t>Cue Integration</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_Toc69573463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6</w:t>
            </w:r>
            <w:r w:rsidR="00886DEC" w:rsidRPr="008C4867">
              <w:rPr>
                <w:rFonts w:ascii="Times New Roman" w:hAnsi="Times New Roman" w:cs="Times New Roman"/>
                <w:noProof/>
                <w:webHidden/>
              </w:rPr>
              <w:fldChar w:fldCharType="end"/>
            </w:r>
          </w:hyperlink>
        </w:p>
        <w:p w14:paraId="3BD0F930" w14:textId="3C2B05F2"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64" w:history="1">
            <w:r w:rsidR="00886DEC" w:rsidRPr="008C4867">
              <w:rPr>
                <w:rStyle w:val="Hyperlink"/>
                <w:rFonts w:ascii="Times New Roman" w:hAnsi="Times New Roman" w:cs="Times New Roman"/>
                <w:noProof/>
              </w:rPr>
              <w:t>Overwriting</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_Toc69573464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7</w:t>
            </w:r>
            <w:r w:rsidR="00886DEC" w:rsidRPr="008C4867">
              <w:rPr>
                <w:rFonts w:ascii="Times New Roman" w:hAnsi="Times New Roman" w:cs="Times New Roman"/>
                <w:noProof/>
                <w:webHidden/>
              </w:rPr>
              <w:fldChar w:fldCharType="end"/>
            </w:r>
          </w:hyperlink>
        </w:p>
        <w:p w14:paraId="5AF48538" w14:textId="7F4350C0" w:rsidR="00886DEC" w:rsidRPr="008C4867" w:rsidRDefault="007A44A3">
          <w:pPr>
            <w:pStyle w:val="TOC2"/>
            <w:tabs>
              <w:tab w:val="right" w:leader="dot" w:pos="8630"/>
            </w:tabs>
            <w:rPr>
              <w:rFonts w:ascii="Times New Roman" w:eastAsiaTheme="minorEastAsia" w:hAnsi="Times New Roman" w:cs="Times New Roman"/>
              <w:noProof/>
              <w:sz w:val="22"/>
              <w:szCs w:val="22"/>
            </w:rPr>
          </w:pPr>
          <w:hyperlink w:anchor="_Toc69573465" w:history="1">
            <w:r w:rsidR="00886DEC" w:rsidRPr="008C4867">
              <w:rPr>
                <w:rStyle w:val="Hyperlink"/>
                <w:rFonts w:ascii="Times New Roman" w:hAnsi="Times New Roman" w:cs="Times New Roman"/>
                <w:noProof/>
              </w:rPr>
              <w:t>Current Study</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_Toc69573465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10</w:t>
            </w:r>
            <w:r w:rsidR="00886DEC" w:rsidRPr="008C4867">
              <w:rPr>
                <w:rFonts w:ascii="Times New Roman" w:hAnsi="Times New Roman" w:cs="Times New Roman"/>
                <w:noProof/>
                <w:webHidden/>
              </w:rPr>
              <w:fldChar w:fldCharType="end"/>
            </w:r>
          </w:hyperlink>
        </w:p>
        <w:p w14:paraId="71A7ACED" w14:textId="7AD08006" w:rsidR="00886DEC" w:rsidRPr="008C4867" w:rsidRDefault="007A44A3" w:rsidP="00886DEC">
          <w:pPr>
            <w:pStyle w:val="TOC1"/>
            <w:rPr>
              <w:rFonts w:eastAsiaTheme="minorEastAsia"/>
              <w:sz w:val="22"/>
              <w:szCs w:val="22"/>
            </w:rPr>
          </w:pPr>
          <w:hyperlink w:anchor="_Toc69573466" w:history="1">
            <w:r w:rsidR="00886DEC" w:rsidRPr="008C4867">
              <w:rPr>
                <w:rStyle w:val="Hyperlink"/>
                <w:rFonts w:ascii="Times New Roman" w:hAnsi="Times New Roman"/>
              </w:rPr>
              <w:t>Chapter Two Experiment 1</w:t>
            </w:r>
            <w:r w:rsidR="00886DEC" w:rsidRPr="008C4867">
              <w:rPr>
                <w:webHidden/>
              </w:rPr>
              <w:tab/>
            </w:r>
            <w:r w:rsidR="00886DEC" w:rsidRPr="008C4867">
              <w:rPr>
                <w:webHidden/>
              </w:rPr>
              <w:fldChar w:fldCharType="begin"/>
            </w:r>
            <w:r w:rsidR="00886DEC" w:rsidRPr="008C4867">
              <w:rPr>
                <w:webHidden/>
              </w:rPr>
              <w:instrText xml:space="preserve"> PAGEREF _Toc69573466 \h </w:instrText>
            </w:r>
            <w:r w:rsidR="00886DEC" w:rsidRPr="008C4867">
              <w:rPr>
                <w:webHidden/>
              </w:rPr>
            </w:r>
            <w:r w:rsidR="00886DEC" w:rsidRPr="008C4867">
              <w:rPr>
                <w:webHidden/>
              </w:rPr>
              <w:fldChar w:fldCharType="separate"/>
            </w:r>
            <w:r w:rsidR="00617600" w:rsidRPr="008C4867">
              <w:rPr>
                <w:webHidden/>
              </w:rPr>
              <w:t>13</w:t>
            </w:r>
            <w:r w:rsidR="00886DEC" w:rsidRPr="008C4867">
              <w:rPr>
                <w:webHidden/>
              </w:rPr>
              <w:fldChar w:fldCharType="end"/>
            </w:r>
          </w:hyperlink>
        </w:p>
        <w:p w14:paraId="48A1FC67" w14:textId="57EB9887" w:rsidR="00886DEC" w:rsidRPr="008C4867" w:rsidRDefault="007A44A3">
          <w:pPr>
            <w:pStyle w:val="TOC2"/>
            <w:tabs>
              <w:tab w:val="right" w:leader="dot" w:pos="8630"/>
            </w:tabs>
            <w:rPr>
              <w:rFonts w:ascii="Times New Roman" w:eastAsiaTheme="minorEastAsia" w:hAnsi="Times New Roman" w:cs="Times New Roman"/>
              <w:noProof/>
              <w:sz w:val="22"/>
              <w:szCs w:val="22"/>
            </w:rPr>
          </w:pPr>
          <w:hyperlink w:anchor="_Toc69573467" w:history="1">
            <w:r w:rsidR="00886DEC" w:rsidRPr="008C4867">
              <w:rPr>
                <w:rStyle w:val="Hyperlink"/>
                <w:rFonts w:ascii="Times New Roman" w:hAnsi="Times New Roman" w:cs="Times New Roman"/>
                <w:noProof/>
              </w:rPr>
              <w:t>Materials and Methods</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_Toc69573467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13</w:t>
            </w:r>
            <w:r w:rsidR="00886DEC" w:rsidRPr="008C4867">
              <w:rPr>
                <w:rFonts w:ascii="Times New Roman" w:hAnsi="Times New Roman" w:cs="Times New Roman"/>
                <w:noProof/>
                <w:webHidden/>
              </w:rPr>
              <w:fldChar w:fldCharType="end"/>
            </w:r>
          </w:hyperlink>
        </w:p>
        <w:p w14:paraId="095CE273" w14:textId="3FD5DAD5"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68" w:history="1">
            <w:r w:rsidR="00886DEC" w:rsidRPr="008C4867">
              <w:rPr>
                <w:rStyle w:val="Hyperlink"/>
                <w:rFonts w:ascii="Times New Roman" w:hAnsi="Times New Roman" w:cs="Times New Roman"/>
                <w:noProof/>
              </w:rPr>
              <w:t>Participants</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_Toc69573468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13</w:t>
            </w:r>
            <w:r w:rsidR="00886DEC" w:rsidRPr="008C4867">
              <w:rPr>
                <w:rFonts w:ascii="Times New Roman" w:hAnsi="Times New Roman" w:cs="Times New Roman"/>
                <w:noProof/>
                <w:webHidden/>
              </w:rPr>
              <w:fldChar w:fldCharType="end"/>
            </w:r>
          </w:hyperlink>
        </w:p>
        <w:p w14:paraId="4B67FFE3" w14:textId="45F55694"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69" w:history="1">
            <w:r w:rsidR="00886DEC" w:rsidRPr="008C4867">
              <w:rPr>
                <w:rStyle w:val="Hyperlink"/>
                <w:rFonts w:ascii="Times New Roman" w:hAnsi="Times New Roman" w:cs="Times New Roman"/>
                <w:noProof/>
              </w:rPr>
              <w:t>Stimuli</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_Toc69573469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13</w:t>
            </w:r>
            <w:r w:rsidR="00886DEC" w:rsidRPr="008C4867">
              <w:rPr>
                <w:rFonts w:ascii="Times New Roman" w:hAnsi="Times New Roman" w:cs="Times New Roman"/>
                <w:noProof/>
                <w:webHidden/>
              </w:rPr>
              <w:fldChar w:fldCharType="end"/>
            </w:r>
          </w:hyperlink>
        </w:p>
        <w:p w14:paraId="6FD08473" w14:textId="5FC456F9"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70" w:history="1">
            <w:r w:rsidR="00886DEC" w:rsidRPr="008C4867">
              <w:rPr>
                <w:rStyle w:val="Hyperlink"/>
                <w:rFonts w:ascii="Times New Roman" w:hAnsi="Times New Roman" w:cs="Times New Roman"/>
                <w:noProof/>
              </w:rPr>
              <w:t>Apparatus</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_Toc69573470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14</w:t>
            </w:r>
            <w:r w:rsidR="00886DEC" w:rsidRPr="008C4867">
              <w:rPr>
                <w:rFonts w:ascii="Times New Roman" w:hAnsi="Times New Roman" w:cs="Times New Roman"/>
                <w:noProof/>
                <w:webHidden/>
              </w:rPr>
              <w:fldChar w:fldCharType="end"/>
            </w:r>
          </w:hyperlink>
        </w:p>
        <w:p w14:paraId="2D761994" w14:textId="408B96BE"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71" w:history="1">
            <w:r w:rsidR="00886DEC" w:rsidRPr="008C4867">
              <w:rPr>
                <w:rStyle w:val="Hyperlink"/>
                <w:rFonts w:ascii="Times New Roman" w:hAnsi="Times New Roman" w:cs="Times New Roman"/>
                <w:noProof/>
              </w:rPr>
              <w:t>Procedure</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_Toc69573471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14</w:t>
            </w:r>
            <w:r w:rsidR="00886DEC" w:rsidRPr="008C4867">
              <w:rPr>
                <w:rFonts w:ascii="Times New Roman" w:hAnsi="Times New Roman" w:cs="Times New Roman"/>
                <w:noProof/>
                <w:webHidden/>
              </w:rPr>
              <w:fldChar w:fldCharType="end"/>
            </w:r>
          </w:hyperlink>
        </w:p>
        <w:p w14:paraId="26C00887" w14:textId="40910182" w:rsidR="00886DEC" w:rsidRPr="008C4867" w:rsidRDefault="007A44A3">
          <w:pPr>
            <w:pStyle w:val="TOC2"/>
            <w:tabs>
              <w:tab w:val="right" w:leader="dot" w:pos="8630"/>
            </w:tabs>
            <w:rPr>
              <w:rFonts w:ascii="Times New Roman" w:eastAsiaTheme="minorEastAsia" w:hAnsi="Times New Roman" w:cs="Times New Roman"/>
              <w:noProof/>
              <w:sz w:val="22"/>
              <w:szCs w:val="22"/>
            </w:rPr>
          </w:pPr>
          <w:hyperlink w:anchor="_Toc69573472" w:history="1">
            <w:r w:rsidR="00886DEC" w:rsidRPr="008C4867">
              <w:rPr>
                <w:rStyle w:val="Hyperlink"/>
                <w:rFonts w:ascii="Times New Roman" w:hAnsi="Times New Roman" w:cs="Times New Roman"/>
                <w:noProof/>
              </w:rPr>
              <w:t>Results</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_Toc69573472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18</w:t>
            </w:r>
            <w:r w:rsidR="00886DEC" w:rsidRPr="008C4867">
              <w:rPr>
                <w:rFonts w:ascii="Times New Roman" w:hAnsi="Times New Roman" w:cs="Times New Roman"/>
                <w:noProof/>
                <w:webHidden/>
              </w:rPr>
              <w:fldChar w:fldCharType="end"/>
            </w:r>
          </w:hyperlink>
        </w:p>
        <w:p w14:paraId="3013DAA4" w14:textId="429B357C"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73" w:history="1">
            <w:r w:rsidR="00886DEC" w:rsidRPr="008C4867">
              <w:rPr>
                <w:rStyle w:val="Hyperlink"/>
                <w:rFonts w:ascii="Times New Roman" w:hAnsi="Times New Roman" w:cs="Times New Roman"/>
                <w:noProof/>
              </w:rPr>
              <w:t>Feature Integration</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_Toc69573473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18</w:t>
            </w:r>
            <w:r w:rsidR="00886DEC" w:rsidRPr="008C4867">
              <w:rPr>
                <w:rFonts w:ascii="Times New Roman" w:hAnsi="Times New Roman" w:cs="Times New Roman"/>
                <w:noProof/>
                <w:webHidden/>
              </w:rPr>
              <w:fldChar w:fldCharType="end"/>
            </w:r>
          </w:hyperlink>
        </w:p>
        <w:p w14:paraId="04B796E1" w14:textId="0B647ABB"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74" w:history="1">
            <w:r w:rsidR="00886DEC" w:rsidRPr="008C4867">
              <w:rPr>
                <w:rStyle w:val="Hyperlink"/>
                <w:rFonts w:ascii="Times New Roman" w:hAnsi="Times New Roman" w:cs="Times New Roman"/>
                <w:noProof/>
              </w:rPr>
              <w:t>Overwriting</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_Toc69573474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19</w:t>
            </w:r>
            <w:r w:rsidR="00886DEC" w:rsidRPr="008C4867">
              <w:rPr>
                <w:rFonts w:ascii="Times New Roman" w:hAnsi="Times New Roman" w:cs="Times New Roman"/>
                <w:noProof/>
                <w:webHidden/>
              </w:rPr>
              <w:fldChar w:fldCharType="end"/>
            </w:r>
          </w:hyperlink>
        </w:p>
        <w:p w14:paraId="1223EC4A" w14:textId="28036776"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75" w:history="1">
            <w:r w:rsidR="00886DEC" w:rsidRPr="008C4867">
              <w:rPr>
                <w:rStyle w:val="Hyperlink"/>
                <w:rFonts w:ascii="Times New Roman" w:hAnsi="Times New Roman" w:cs="Times New Roman"/>
                <w:noProof/>
              </w:rPr>
              <w:t>Cue Integration</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_Toc69573475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19</w:t>
            </w:r>
            <w:r w:rsidR="00886DEC" w:rsidRPr="008C4867">
              <w:rPr>
                <w:rFonts w:ascii="Times New Roman" w:hAnsi="Times New Roman" w:cs="Times New Roman"/>
                <w:noProof/>
                <w:webHidden/>
              </w:rPr>
              <w:fldChar w:fldCharType="end"/>
            </w:r>
          </w:hyperlink>
        </w:p>
        <w:p w14:paraId="072C8F5B" w14:textId="3F12F2E2"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76" w:history="1">
            <w:r w:rsidR="00886DEC" w:rsidRPr="008C4867">
              <w:rPr>
                <w:rStyle w:val="Hyperlink"/>
                <w:rFonts w:ascii="Times New Roman" w:hAnsi="Times New Roman" w:cs="Times New Roman"/>
                <w:noProof/>
              </w:rPr>
              <w:t>Change Detection</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_Toc69573476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19</w:t>
            </w:r>
            <w:r w:rsidR="00886DEC" w:rsidRPr="008C4867">
              <w:rPr>
                <w:rFonts w:ascii="Times New Roman" w:hAnsi="Times New Roman" w:cs="Times New Roman"/>
                <w:noProof/>
                <w:webHidden/>
              </w:rPr>
              <w:fldChar w:fldCharType="end"/>
            </w:r>
          </w:hyperlink>
        </w:p>
        <w:p w14:paraId="53843993" w14:textId="783CCA7B" w:rsidR="00886DEC" w:rsidRPr="008C4867" w:rsidRDefault="007A44A3" w:rsidP="00886DEC">
          <w:pPr>
            <w:pStyle w:val="TOC1"/>
            <w:rPr>
              <w:rFonts w:eastAsiaTheme="minorEastAsia"/>
              <w:sz w:val="22"/>
              <w:szCs w:val="22"/>
            </w:rPr>
          </w:pPr>
          <w:hyperlink w:anchor="_Toc69573477" w:history="1">
            <w:r w:rsidR="00886DEC" w:rsidRPr="008C4867">
              <w:rPr>
                <w:rStyle w:val="Hyperlink"/>
                <w:rFonts w:ascii="Times New Roman" w:hAnsi="Times New Roman"/>
              </w:rPr>
              <w:t>Chapter Three Experiment 2</w:t>
            </w:r>
            <w:r w:rsidR="00886DEC" w:rsidRPr="008C4867">
              <w:rPr>
                <w:webHidden/>
              </w:rPr>
              <w:tab/>
            </w:r>
            <w:r w:rsidR="00886DEC" w:rsidRPr="008C4867">
              <w:rPr>
                <w:webHidden/>
              </w:rPr>
              <w:fldChar w:fldCharType="begin"/>
            </w:r>
            <w:r w:rsidR="00886DEC" w:rsidRPr="008C4867">
              <w:rPr>
                <w:webHidden/>
              </w:rPr>
              <w:instrText xml:space="preserve"> PAGEREF _Toc69573477 \h </w:instrText>
            </w:r>
            <w:r w:rsidR="00886DEC" w:rsidRPr="008C4867">
              <w:rPr>
                <w:webHidden/>
              </w:rPr>
            </w:r>
            <w:r w:rsidR="00886DEC" w:rsidRPr="008C4867">
              <w:rPr>
                <w:webHidden/>
              </w:rPr>
              <w:fldChar w:fldCharType="separate"/>
            </w:r>
            <w:r w:rsidR="00617600" w:rsidRPr="008C4867">
              <w:rPr>
                <w:webHidden/>
              </w:rPr>
              <w:t>21</w:t>
            </w:r>
            <w:r w:rsidR="00886DEC" w:rsidRPr="008C4867">
              <w:rPr>
                <w:webHidden/>
              </w:rPr>
              <w:fldChar w:fldCharType="end"/>
            </w:r>
          </w:hyperlink>
        </w:p>
        <w:p w14:paraId="12A199FE" w14:textId="1F825DF0" w:rsidR="00886DEC" w:rsidRPr="008C4867" w:rsidRDefault="007A44A3">
          <w:pPr>
            <w:pStyle w:val="TOC2"/>
            <w:tabs>
              <w:tab w:val="right" w:leader="dot" w:pos="8630"/>
            </w:tabs>
            <w:rPr>
              <w:rFonts w:ascii="Times New Roman" w:eastAsiaTheme="minorEastAsia" w:hAnsi="Times New Roman" w:cs="Times New Roman"/>
              <w:noProof/>
              <w:sz w:val="22"/>
              <w:szCs w:val="22"/>
            </w:rPr>
          </w:pPr>
          <w:hyperlink w:anchor="_Toc69573478" w:history="1">
            <w:r w:rsidR="00886DEC" w:rsidRPr="008C4867">
              <w:rPr>
                <w:rStyle w:val="Hyperlink"/>
                <w:rFonts w:ascii="Times New Roman" w:hAnsi="Times New Roman" w:cs="Times New Roman"/>
                <w:noProof/>
              </w:rPr>
              <w:t>Materials and Methods</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_Toc69573478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21</w:t>
            </w:r>
            <w:r w:rsidR="00886DEC" w:rsidRPr="008C4867">
              <w:rPr>
                <w:rFonts w:ascii="Times New Roman" w:hAnsi="Times New Roman" w:cs="Times New Roman"/>
                <w:noProof/>
                <w:webHidden/>
              </w:rPr>
              <w:fldChar w:fldCharType="end"/>
            </w:r>
          </w:hyperlink>
        </w:p>
        <w:p w14:paraId="5C9D53BA" w14:textId="15C61EE8"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79" w:history="1">
            <w:r w:rsidR="00886DEC" w:rsidRPr="008C4867">
              <w:rPr>
                <w:rStyle w:val="Hyperlink"/>
                <w:rFonts w:ascii="Times New Roman" w:hAnsi="Times New Roman" w:cs="Times New Roman"/>
                <w:noProof/>
              </w:rPr>
              <w:t>Participants</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_Toc69573479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21</w:t>
            </w:r>
            <w:r w:rsidR="00886DEC" w:rsidRPr="008C4867">
              <w:rPr>
                <w:rFonts w:ascii="Times New Roman" w:hAnsi="Times New Roman" w:cs="Times New Roman"/>
                <w:noProof/>
                <w:webHidden/>
              </w:rPr>
              <w:fldChar w:fldCharType="end"/>
            </w:r>
          </w:hyperlink>
        </w:p>
        <w:p w14:paraId="1AA1F817" w14:textId="446F9C8A" w:rsidR="00886DEC" w:rsidRPr="008C4867" w:rsidRDefault="007A44A3">
          <w:pPr>
            <w:pStyle w:val="TOC2"/>
            <w:tabs>
              <w:tab w:val="right" w:leader="dot" w:pos="8630"/>
            </w:tabs>
            <w:rPr>
              <w:rFonts w:ascii="Times New Roman" w:eastAsiaTheme="minorEastAsia" w:hAnsi="Times New Roman" w:cs="Times New Roman"/>
              <w:noProof/>
              <w:sz w:val="22"/>
              <w:szCs w:val="22"/>
            </w:rPr>
          </w:pPr>
          <w:hyperlink w:anchor="_Toc69573480" w:history="1">
            <w:r w:rsidR="00886DEC" w:rsidRPr="008C4867">
              <w:rPr>
                <w:rStyle w:val="Hyperlink"/>
                <w:rFonts w:ascii="Times New Roman" w:hAnsi="Times New Roman" w:cs="Times New Roman"/>
                <w:noProof/>
              </w:rPr>
              <w:t>Results</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_Toc69573480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21</w:t>
            </w:r>
            <w:r w:rsidR="00886DEC" w:rsidRPr="008C4867">
              <w:rPr>
                <w:rFonts w:ascii="Times New Roman" w:hAnsi="Times New Roman" w:cs="Times New Roman"/>
                <w:noProof/>
                <w:webHidden/>
              </w:rPr>
              <w:fldChar w:fldCharType="end"/>
            </w:r>
          </w:hyperlink>
        </w:p>
        <w:p w14:paraId="52B744F3" w14:textId="74EA3821"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81" w:history="1">
            <w:r w:rsidR="00886DEC" w:rsidRPr="008C4867">
              <w:rPr>
                <w:rStyle w:val="Hyperlink"/>
                <w:rFonts w:ascii="Times New Roman" w:hAnsi="Times New Roman" w:cs="Times New Roman"/>
                <w:noProof/>
              </w:rPr>
              <w:t>Feature Integration</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_Toc69573481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21</w:t>
            </w:r>
            <w:r w:rsidR="00886DEC" w:rsidRPr="008C4867">
              <w:rPr>
                <w:rFonts w:ascii="Times New Roman" w:hAnsi="Times New Roman" w:cs="Times New Roman"/>
                <w:noProof/>
                <w:webHidden/>
              </w:rPr>
              <w:fldChar w:fldCharType="end"/>
            </w:r>
          </w:hyperlink>
        </w:p>
        <w:p w14:paraId="5BDCF9C3" w14:textId="16987005"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82" w:history="1">
            <w:r w:rsidR="00886DEC" w:rsidRPr="008C4867">
              <w:rPr>
                <w:rStyle w:val="Hyperlink"/>
                <w:rFonts w:ascii="Times New Roman" w:hAnsi="Times New Roman" w:cs="Times New Roman"/>
                <w:noProof/>
              </w:rPr>
              <w:t>Overwriting</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_Toc69573482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22</w:t>
            </w:r>
            <w:r w:rsidR="00886DEC" w:rsidRPr="008C4867">
              <w:rPr>
                <w:rFonts w:ascii="Times New Roman" w:hAnsi="Times New Roman" w:cs="Times New Roman"/>
                <w:noProof/>
                <w:webHidden/>
              </w:rPr>
              <w:fldChar w:fldCharType="end"/>
            </w:r>
          </w:hyperlink>
        </w:p>
        <w:p w14:paraId="4766A5BA" w14:textId="49160744"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83" w:history="1">
            <w:r w:rsidR="00886DEC" w:rsidRPr="008C4867">
              <w:rPr>
                <w:rStyle w:val="Hyperlink"/>
                <w:rFonts w:ascii="Times New Roman" w:hAnsi="Times New Roman" w:cs="Times New Roman"/>
                <w:noProof/>
              </w:rPr>
              <w:t>Cue Integration</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_Toc69573483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22</w:t>
            </w:r>
            <w:r w:rsidR="00886DEC" w:rsidRPr="008C4867">
              <w:rPr>
                <w:rFonts w:ascii="Times New Roman" w:hAnsi="Times New Roman" w:cs="Times New Roman"/>
                <w:noProof/>
                <w:webHidden/>
              </w:rPr>
              <w:fldChar w:fldCharType="end"/>
            </w:r>
          </w:hyperlink>
        </w:p>
        <w:p w14:paraId="47F09C06" w14:textId="3F80A3FE" w:rsidR="00886DEC" w:rsidRPr="008C4867" w:rsidRDefault="007A44A3">
          <w:pPr>
            <w:pStyle w:val="TOC3"/>
            <w:tabs>
              <w:tab w:val="right" w:leader="dot" w:pos="8630"/>
            </w:tabs>
            <w:rPr>
              <w:rFonts w:ascii="Times New Roman" w:eastAsiaTheme="minorEastAsia" w:hAnsi="Times New Roman" w:cs="Times New Roman"/>
              <w:noProof/>
              <w:sz w:val="22"/>
              <w:szCs w:val="22"/>
            </w:rPr>
          </w:pPr>
          <w:hyperlink w:anchor="_Toc69573484" w:history="1">
            <w:r w:rsidR="00886DEC" w:rsidRPr="008C4867">
              <w:rPr>
                <w:rStyle w:val="Hyperlink"/>
                <w:rFonts w:ascii="Times New Roman" w:hAnsi="Times New Roman" w:cs="Times New Roman"/>
                <w:noProof/>
              </w:rPr>
              <w:t>Change Detection</w:t>
            </w:r>
            <w:r w:rsidR="00886DEC" w:rsidRPr="008C4867">
              <w:rPr>
                <w:rFonts w:ascii="Times New Roman" w:hAnsi="Times New Roman" w:cs="Times New Roman"/>
                <w:noProof/>
                <w:webHidden/>
              </w:rPr>
              <w:tab/>
            </w:r>
            <w:r w:rsidR="00886DEC" w:rsidRPr="008C4867">
              <w:rPr>
                <w:rFonts w:ascii="Times New Roman" w:hAnsi="Times New Roman" w:cs="Times New Roman"/>
                <w:noProof/>
                <w:webHidden/>
              </w:rPr>
              <w:fldChar w:fldCharType="begin"/>
            </w:r>
            <w:r w:rsidR="00886DEC" w:rsidRPr="008C4867">
              <w:rPr>
                <w:rFonts w:ascii="Times New Roman" w:hAnsi="Times New Roman" w:cs="Times New Roman"/>
                <w:noProof/>
                <w:webHidden/>
              </w:rPr>
              <w:instrText xml:space="preserve"> PAGEREF _Toc69573484 \h </w:instrText>
            </w:r>
            <w:r w:rsidR="00886DEC" w:rsidRPr="008C4867">
              <w:rPr>
                <w:rFonts w:ascii="Times New Roman" w:hAnsi="Times New Roman" w:cs="Times New Roman"/>
                <w:noProof/>
                <w:webHidden/>
              </w:rPr>
            </w:r>
            <w:r w:rsidR="00886DEC" w:rsidRPr="008C4867">
              <w:rPr>
                <w:rFonts w:ascii="Times New Roman" w:hAnsi="Times New Roman" w:cs="Times New Roman"/>
                <w:noProof/>
                <w:webHidden/>
              </w:rPr>
              <w:fldChar w:fldCharType="separate"/>
            </w:r>
            <w:r w:rsidR="00617600" w:rsidRPr="008C4867">
              <w:rPr>
                <w:rFonts w:ascii="Times New Roman" w:hAnsi="Times New Roman" w:cs="Times New Roman"/>
                <w:noProof/>
                <w:webHidden/>
              </w:rPr>
              <w:t>22</w:t>
            </w:r>
            <w:r w:rsidR="00886DEC" w:rsidRPr="008C4867">
              <w:rPr>
                <w:rFonts w:ascii="Times New Roman" w:hAnsi="Times New Roman" w:cs="Times New Roman"/>
                <w:noProof/>
                <w:webHidden/>
              </w:rPr>
              <w:fldChar w:fldCharType="end"/>
            </w:r>
          </w:hyperlink>
        </w:p>
        <w:p w14:paraId="749E68A5" w14:textId="7B55B635" w:rsidR="00886DEC" w:rsidRPr="008C4867" w:rsidRDefault="007A44A3" w:rsidP="00886DEC">
          <w:pPr>
            <w:pStyle w:val="TOC1"/>
            <w:rPr>
              <w:rFonts w:eastAsiaTheme="minorEastAsia"/>
              <w:sz w:val="22"/>
              <w:szCs w:val="22"/>
            </w:rPr>
          </w:pPr>
          <w:hyperlink w:anchor="_Toc69573485" w:history="1">
            <w:r w:rsidR="00886DEC" w:rsidRPr="008C4867">
              <w:rPr>
                <w:rStyle w:val="Hyperlink"/>
                <w:rFonts w:ascii="Times New Roman" w:hAnsi="Times New Roman"/>
              </w:rPr>
              <w:t>Chapter Four Discussion</w:t>
            </w:r>
            <w:r w:rsidR="00886DEC" w:rsidRPr="008C4867">
              <w:rPr>
                <w:webHidden/>
              </w:rPr>
              <w:tab/>
            </w:r>
            <w:r w:rsidR="00886DEC" w:rsidRPr="008C4867">
              <w:rPr>
                <w:webHidden/>
              </w:rPr>
              <w:fldChar w:fldCharType="begin"/>
            </w:r>
            <w:r w:rsidR="00886DEC" w:rsidRPr="008C4867">
              <w:rPr>
                <w:webHidden/>
              </w:rPr>
              <w:instrText xml:space="preserve"> PAGEREF _Toc69573485 \h </w:instrText>
            </w:r>
            <w:r w:rsidR="00886DEC" w:rsidRPr="008C4867">
              <w:rPr>
                <w:webHidden/>
              </w:rPr>
            </w:r>
            <w:r w:rsidR="00886DEC" w:rsidRPr="008C4867">
              <w:rPr>
                <w:webHidden/>
              </w:rPr>
              <w:fldChar w:fldCharType="separate"/>
            </w:r>
            <w:r w:rsidR="00617600" w:rsidRPr="008C4867">
              <w:rPr>
                <w:webHidden/>
              </w:rPr>
              <w:t>24</w:t>
            </w:r>
            <w:r w:rsidR="00886DEC" w:rsidRPr="008C4867">
              <w:rPr>
                <w:webHidden/>
              </w:rPr>
              <w:fldChar w:fldCharType="end"/>
            </w:r>
          </w:hyperlink>
        </w:p>
        <w:p w14:paraId="7C21734E" w14:textId="71FF31B8" w:rsidR="00886DEC" w:rsidRPr="008C4867" w:rsidRDefault="007A44A3" w:rsidP="00886DEC">
          <w:pPr>
            <w:pStyle w:val="TOC1"/>
            <w:rPr>
              <w:rFonts w:eastAsiaTheme="minorEastAsia"/>
              <w:sz w:val="22"/>
              <w:szCs w:val="22"/>
            </w:rPr>
          </w:pPr>
          <w:hyperlink w:anchor="_Toc69573486" w:history="1">
            <w:r w:rsidR="00886DEC" w:rsidRPr="008C4867">
              <w:rPr>
                <w:rStyle w:val="Hyperlink"/>
                <w:rFonts w:ascii="Times New Roman" w:hAnsi="Times New Roman"/>
              </w:rPr>
              <w:t>References</w:t>
            </w:r>
            <w:r w:rsidR="00886DEC" w:rsidRPr="008C4867">
              <w:rPr>
                <w:webHidden/>
              </w:rPr>
              <w:tab/>
            </w:r>
            <w:r w:rsidR="00886DEC" w:rsidRPr="008C4867">
              <w:rPr>
                <w:webHidden/>
              </w:rPr>
              <w:fldChar w:fldCharType="begin"/>
            </w:r>
            <w:r w:rsidR="00886DEC" w:rsidRPr="008C4867">
              <w:rPr>
                <w:webHidden/>
              </w:rPr>
              <w:instrText xml:space="preserve"> PAGEREF _Toc69573486 \h </w:instrText>
            </w:r>
            <w:r w:rsidR="00886DEC" w:rsidRPr="008C4867">
              <w:rPr>
                <w:webHidden/>
              </w:rPr>
            </w:r>
            <w:r w:rsidR="00886DEC" w:rsidRPr="008C4867">
              <w:rPr>
                <w:webHidden/>
              </w:rPr>
              <w:fldChar w:fldCharType="separate"/>
            </w:r>
            <w:r w:rsidR="00617600" w:rsidRPr="008C4867">
              <w:rPr>
                <w:webHidden/>
              </w:rPr>
              <w:t>27</w:t>
            </w:r>
            <w:r w:rsidR="00886DEC" w:rsidRPr="008C4867">
              <w:rPr>
                <w:webHidden/>
              </w:rPr>
              <w:fldChar w:fldCharType="end"/>
            </w:r>
          </w:hyperlink>
        </w:p>
        <w:p w14:paraId="2A5170CC" w14:textId="73120198" w:rsidR="00886DEC" w:rsidRPr="008C4867" w:rsidRDefault="007A44A3" w:rsidP="00886DEC">
          <w:pPr>
            <w:pStyle w:val="TOC1"/>
            <w:rPr>
              <w:rFonts w:eastAsiaTheme="minorEastAsia"/>
              <w:sz w:val="22"/>
              <w:szCs w:val="22"/>
            </w:rPr>
          </w:pPr>
          <w:hyperlink w:anchor="_Toc69573487" w:history="1">
            <w:r w:rsidR="00886DEC" w:rsidRPr="008C4867">
              <w:rPr>
                <w:rStyle w:val="Hyperlink"/>
                <w:rFonts w:ascii="Times New Roman" w:hAnsi="Times New Roman"/>
              </w:rPr>
              <w:t>Vita</w:t>
            </w:r>
            <w:r w:rsidR="00886DEC" w:rsidRPr="008C4867">
              <w:rPr>
                <w:webHidden/>
              </w:rPr>
              <w:tab/>
            </w:r>
            <w:r w:rsidR="00886DEC" w:rsidRPr="008C4867">
              <w:rPr>
                <w:webHidden/>
              </w:rPr>
              <w:fldChar w:fldCharType="begin"/>
            </w:r>
            <w:r w:rsidR="00886DEC" w:rsidRPr="008C4867">
              <w:rPr>
                <w:webHidden/>
              </w:rPr>
              <w:instrText xml:space="preserve"> PAGEREF _Toc69573487 \h </w:instrText>
            </w:r>
            <w:r w:rsidR="00886DEC" w:rsidRPr="008C4867">
              <w:rPr>
                <w:webHidden/>
              </w:rPr>
            </w:r>
            <w:r w:rsidR="00886DEC" w:rsidRPr="008C4867">
              <w:rPr>
                <w:webHidden/>
              </w:rPr>
              <w:fldChar w:fldCharType="separate"/>
            </w:r>
            <w:r w:rsidR="00617600" w:rsidRPr="008C4867">
              <w:rPr>
                <w:webHidden/>
              </w:rPr>
              <w:t>32</w:t>
            </w:r>
            <w:r w:rsidR="00886DEC" w:rsidRPr="008C4867">
              <w:rPr>
                <w:webHidden/>
              </w:rPr>
              <w:fldChar w:fldCharType="end"/>
            </w:r>
          </w:hyperlink>
        </w:p>
        <w:p w14:paraId="16D6779C" w14:textId="11610686" w:rsidR="008924E0" w:rsidRPr="008C4867" w:rsidRDefault="008924E0" w:rsidP="008924E0">
          <w:pPr>
            <w:spacing w:line="480" w:lineRule="auto"/>
            <w:rPr>
              <w:rFonts w:ascii="Times New Roman" w:hAnsi="Times New Roman" w:cs="Times New Roman"/>
            </w:rPr>
          </w:pPr>
          <w:r w:rsidRPr="008C4867">
            <w:rPr>
              <w:rFonts w:ascii="Times New Roman" w:hAnsi="Times New Roman" w:cs="Times New Roman"/>
              <w:b/>
              <w:bCs/>
              <w:noProof/>
            </w:rPr>
            <w:fldChar w:fldCharType="end"/>
          </w:r>
        </w:p>
      </w:sdtContent>
    </w:sdt>
    <w:p w14:paraId="3CB75BF6" w14:textId="77777777" w:rsidR="008924E0" w:rsidRPr="008C4867" w:rsidRDefault="008924E0" w:rsidP="008924E0">
      <w:pPr>
        <w:spacing w:line="480" w:lineRule="auto"/>
        <w:rPr>
          <w:rFonts w:ascii="Times New Roman" w:hAnsi="Times New Roman" w:cs="Times New Roman"/>
        </w:rPr>
      </w:pPr>
    </w:p>
    <w:p w14:paraId="614FC05C" w14:textId="77777777" w:rsidR="008924E0" w:rsidRPr="008C4867" w:rsidRDefault="008924E0" w:rsidP="008924E0">
      <w:pPr>
        <w:spacing w:line="480" w:lineRule="auto"/>
        <w:rPr>
          <w:rFonts w:ascii="Times New Roman" w:hAnsi="Times New Roman" w:cs="Times New Roman"/>
          <w:b/>
          <w:bCs/>
          <w:sz w:val="28"/>
          <w:szCs w:val="28"/>
        </w:rPr>
      </w:pPr>
      <w:r w:rsidRPr="008C4867">
        <w:rPr>
          <w:rFonts w:ascii="Times New Roman" w:hAnsi="Times New Roman" w:cs="Times New Roman"/>
          <w:b/>
          <w:bCs/>
          <w:sz w:val="28"/>
          <w:szCs w:val="28"/>
        </w:rPr>
        <w:br w:type="page"/>
      </w:r>
    </w:p>
    <w:p w14:paraId="680412D1" w14:textId="6A1286FE" w:rsidR="008924E0" w:rsidRPr="008C4867" w:rsidRDefault="008924E0" w:rsidP="008924E0">
      <w:pPr>
        <w:numPr>
          <w:ilvl w:val="12"/>
          <w:numId w:val="0"/>
        </w:numPr>
        <w:spacing w:line="480" w:lineRule="auto"/>
        <w:jc w:val="center"/>
        <w:rPr>
          <w:rFonts w:ascii="Times New Roman" w:hAnsi="Times New Roman" w:cs="Times New Roman"/>
        </w:rPr>
      </w:pPr>
      <w:r w:rsidRPr="008C4867">
        <w:rPr>
          <w:rFonts w:ascii="Times New Roman" w:hAnsi="Times New Roman" w:cs="Times New Roman"/>
          <w:b/>
          <w:bCs/>
          <w:sz w:val="28"/>
          <w:szCs w:val="28"/>
        </w:rPr>
        <w:lastRenderedPageBreak/>
        <w:t>LIST OF TABLES</w:t>
      </w:r>
    </w:p>
    <w:p w14:paraId="7F52D455" w14:textId="77777777" w:rsidR="008924E0" w:rsidRPr="008C4867" w:rsidRDefault="008924E0" w:rsidP="008924E0">
      <w:pPr>
        <w:pStyle w:val="TableofFigures"/>
        <w:tabs>
          <w:tab w:val="right" w:leader="dot" w:pos="8630"/>
        </w:tabs>
        <w:spacing w:line="480" w:lineRule="auto"/>
        <w:rPr>
          <w:rFonts w:ascii="Times New Roman" w:eastAsiaTheme="minorEastAsia" w:hAnsi="Times New Roman" w:cs="Times New Roman"/>
          <w:noProof/>
          <w:sz w:val="22"/>
          <w:szCs w:val="22"/>
        </w:rPr>
      </w:pPr>
      <w:r w:rsidRPr="008C4867">
        <w:rPr>
          <w:rFonts w:ascii="Times New Roman" w:hAnsi="Times New Roman" w:cs="Times New Roman"/>
        </w:rPr>
        <w:fldChar w:fldCharType="begin"/>
      </w:r>
      <w:r w:rsidRPr="008C4867">
        <w:rPr>
          <w:rFonts w:ascii="Times New Roman" w:hAnsi="Times New Roman" w:cs="Times New Roman"/>
        </w:rPr>
        <w:instrText xml:space="preserve"> TOC \h \z \c "Table" </w:instrText>
      </w:r>
      <w:r w:rsidRPr="008C4867">
        <w:rPr>
          <w:rFonts w:ascii="Times New Roman" w:hAnsi="Times New Roman" w:cs="Times New Roman"/>
        </w:rPr>
        <w:fldChar w:fldCharType="separate"/>
      </w:r>
      <w:hyperlink w:anchor="_Toc428278253" w:history="1">
        <w:r w:rsidRPr="008C4867">
          <w:rPr>
            <w:rStyle w:val="Hyperlink"/>
            <w:rFonts w:ascii="Times New Roman" w:hAnsi="Times New Roman" w:cs="Times New Roman"/>
            <w:noProof/>
          </w:rPr>
          <w:t>Table 3.1. Model Test.</w:t>
        </w:r>
        <w:r w:rsidRPr="008C4867">
          <w:rPr>
            <w:rFonts w:ascii="Times New Roman" w:hAnsi="Times New Roman" w:cs="Times New Roman"/>
            <w:noProof/>
            <w:webHidden/>
          </w:rPr>
          <w:tab/>
          <w:t>18</w:t>
        </w:r>
      </w:hyperlink>
    </w:p>
    <w:p w14:paraId="27A8BD1D" w14:textId="77777777" w:rsidR="008924E0" w:rsidRPr="008C4867" w:rsidRDefault="008924E0" w:rsidP="008924E0">
      <w:pPr>
        <w:pStyle w:val="TableofFigures"/>
        <w:tabs>
          <w:tab w:val="right" w:leader="dot" w:pos="8630"/>
        </w:tabs>
        <w:spacing w:line="480" w:lineRule="auto"/>
        <w:rPr>
          <w:rFonts w:ascii="Times New Roman" w:eastAsiaTheme="minorEastAsia" w:hAnsi="Times New Roman" w:cs="Times New Roman"/>
          <w:noProof/>
          <w:sz w:val="22"/>
          <w:szCs w:val="22"/>
        </w:rPr>
      </w:pPr>
      <w:r w:rsidRPr="008C4867">
        <w:rPr>
          <w:rFonts w:ascii="Times New Roman" w:hAnsi="Times New Roman" w:cs="Times New Roman"/>
        </w:rPr>
        <w:fldChar w:fldCharType="end"/>
      </w:r>
      <w:r w:rsidRPr="008C4867">
        <w:rPr>
          <w:rFonts w:ascii="Times New Roman" w:hAnsi="Times New Roman" w:cs="Times New Roman"/>
        </w:rPr>
        <w:fldChar w:fldCharType="begin"/>
      </w:r>
      <w:r w:rsidRPr="008C4867">
        <w:rPr>
          <w:rFonts w:ascii="Times New Roman" w:hAnsi="Times New Roman" w:cs="Times New Roman"/>
        </w:rPr>
        <w:instrText xml:space="preserve"> TOC \h \z \c "Table" </w:instrText>
      </w:r>
      <w:r w:rsidRPr="008C4867">
        <w:rPr>
          <w:rFonts w:ascii="Times New Roman" w:hAnsi="Times New Roman" w:cs="Times New Roman"/>
        </w:rPr>
        <w:fldChar w:fldCharType="separate"/>
      </w:r>
      <w:hyperlink w:anchor="_Toc428278253" w:history="1">
        <w:r w:rsidRPr="008C4867">
          <w:rPr>
            <w:rStyle w:val="Hyperlink"/>
            <w:rFonts w:ascii="Times New Roman" w:hAnsi="Times New Roman" w:cs="Times New Roman"/>
            <w:noProof/>
          </w:rPr>
          <w:t>Table 4.1. Model Test.</w:t>
        </w:r>
        <w:r w:rsidRPr="008C4867">
          <w:rPr>
            <w:rFonts w:ascii="Times New Roman" w:hAnsi="Times New Roman" w:cs="Times New Roman"/>
            <w:noProof/>
            <w:webHidden/>
          </w:rPr>
          <w:tab/>
          <w:t>21</w:t>
        </w:r>
      </w:hyperlink>
    </w:p>
    <w:p w14:paraId="0F6BBB4F" w14:textId="77777777" w:rsidR="008924E0" w:rsidRPr="008C4867" w:rsidRDefault="008924E0" w:rsidP="008924E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Times New Roman" w:hAnsi="Times New Roman" w:cs="Times New Roman"/>
        </w:rPr>
      </w:pPr>
      <w:r w:rsidRPr="008C4867">
        <w:rPr>
          <w:rFonts w:ascii="Times New Roman" w:hAnsi="Times New Roman" w:cs="Times New Roman"/>
        </w:rPr>
        <w:fldChar w:fldCharType="end"/>
      </w:r>
    </w:p>
    <w:p w14:paraId="32FD7AE6" w14:textId="77777777" w:rsidR="008924E0" w:rsidRPr="008C4867" w:rsidRDefault="008924E0" w:rsidP="008924E0">
      <w:pPr>
        <w:spacing w:line="480" w:lineRule="auto"/>
        <w:rPr>
          <w:rFonts w:ascii="Times New Roman" w:hAnsi="Times New Roman" w:cs="Times New Roman"/>
        </w:rPr>
      </w:pPr>
    </w:p>
    <w:p w14:paraId="4160A20C" w14:textId="77777777" w:rsidR="008924E0" w:rsidRPr="008C4867" w:rsidRDefault="008924E0" w:rsidP="008924E0">
      <w:pPr>
        <w:spacing w:line="480" w:lineRule="auto"/>
        <w:rPr>
          <w:rFonts w:ascii="Times New Roman" w:hAnsi="Times New Roman" w:cs="Times New Roman"/>
        </w:rPr>
      </w:pPr>
    </w:p>
    <w:p w14:paraId="33356DB1" w14:textId="77777777" w:rsidR="008924E0" w:rsidRPr="008C4867" w:rsidRDefault="008924E0" w:rsidP="008924E0">
      <w:pPr>
        <w:pStyle w:val="Level1"/>
        <w:tabs>
          <w:tab w:val="right" w:leader="dot" w:pos="8228"/>
        </w:tabs>
        <w:spacing w:line="480" w:lineRule="auto"/>
        <w:ind w:left="0"/>
        <w:rPr>
          <w:rFonts w:cs="Times New Roman"/>
          <w:b/>
          <w:bCs/>
          <w:sz w:val="28"/>
          <w:szCs w:val="28"/>
        </w:rPr>
      </w:pPr>
    </w:p>
    <w:p w14:paraId="01C83284" w14:textId="34DBA9EC" w:rsidR="008924E0" w:rsidRPr="008C4867" w:rsidRDefault="008924E0" w:rsidP="008924E0">
      <w:pPr>
        <w:spacing w:line="480" w:lineRule="auto"/>
        <w:jc w:val="center"/>
        <w:rPr>
          <w:rFonts w:ascii="Times New Roman" w:hAnsi="Times New Roman" w:cs="Times New Roman"/>
        </w:rPr>
      </w:pPr>
      <w:r w:rsidRPr="008C4867">
        <w:rPr>
          <w:rFonts w:ascii="Times New Roman" w:hAnsi="Times New Roman" w:cs="Times New Roman"/>
        </w:rPr>
        <w:br w:type="page"/>
      </w:r>
      <w:r w:rsidRPr="008C4867">
        <w:rPr>
          <w:rFonts w:ascii="Times New Roman" w:hAnsi="Times New Roman" w:cs="Times New Roman"/>
          <w:b/>
          <w:sz w:val="28"/>
        </w:rPr>
        <w:lastRenderedPageBreak/>
        <w:t>LIST OF FIGURES</w:t>
      </w:r>
    </w:p>
    <w:p w14:paraId="7846B131" w14:textId="77777777" w:rsidR="008924E0" w:rsidRPr="008C4867" w:rsidRDefault="008924E0" w:rsidP="008924E0">
      <w:pPr>
        <w:pStyle w:val="TableofFigures"/>
        <w:tabs>
          <w:tab w:val="right" w:leader="dot" w:pos="8630"/>
        </w:tabs>
        <w:spacing w:line="480" w:lineRule="auto"/>
        <w:rPr>
          <w:rFonts w:ascii="Times New Roman" w:eastAsiaTheme="minorEastAsia" w:hAnsi="Times New Roman" w:cs="Times New Roman"/>
          <w:noProof/>
          <w:sz w:val="22"/>
          <w:szCs w:val="22"/>
        </w:rPr>
      </w:pPr>
      <w:r w:rsidRPr="008C4867">
        <w:rPr>
          <w:rFonts w:ascii="Times New Roman" w:hAnsi="Times New Roman" w:cs="Times New Roman"/>
        </w:rPr>
        <w:fldChar w:fldCharType="begin"/>
      </w:r>
      <w:r w:rsidRPr="008C4867">
        <w:rPr>
          <w:rFonts w:ascii="Times New Roman" w:hAnsi="Times New Roman" w:cs="Times New Roman"/>
        </w:rPr>
        <w:instrText xml:space="preserve"> TOC \h \z \c "Figure" </w:instrText>
      </w:r>
      <w:r w:rsidRPr="008C4867">
        <w:rPr>
          <w:rFonts w:ascii="Times New Roman" w:hAnsi="Times New Roman" w:cs="Times New Roman"/>
        </w:rPr>
        <w:fldChar w:fldCharType="separate"/>
      </w:r>
      <w:hyperlink w:anchor="_Toc428278255" w:history="1">
        <w:r w:rsidRPr="008C4867">
          <w:rPr>
            <w:rStyle w:val="Hyperlink"/>
            <w:rFonts w:ascii="Times New Roman" w:hAnsi="Times New Roman" w:cs="Times New Roman"/>
            <w:noProof/>
          </w:rPr>
          <w:t>Figure 3.1. Task</w:t>
        </w:r>
        <w:r w:rsidRPr="008C4867">
          <w:rPr>
            <w:rFonts w:ascii="Times New Roman" w:hAnsi="Times New Roman" w:cs="Times New Roman"/>
            <w:noProof/>
            <w:webHidden/>
          </w:rPr>
          <w:tab/>
          <w:t>14</w:t>
        </w:r>
      </w:hyperlink>
    </w:p>
    <w:p w14:paraId="4B088A55" w14:textId="77777777" w:rsidR="008924E0" w:rsidRPr="008C4867" w:rsidRDefault="008924E0" w:rsidP="008924E0">
      <w:pPr>
        <w:pStyle w:val="TableofFigures"/>
        <w:tabs>
          <w:tab w:val="right" w:leader="dot" w:pos="8630"/>
        </w:tabs>
        <w:spacing w:line="480" w:lineRule="auto"/>
        <w:rPr>
          <w:rFonts w:ascii="Times New Roman" w:hAnsi="Times New Roman" w:cs="Times New Roman"/>
          <w:noProof/>
        </w:rPr>
      </w:pPr>
      <w:r w:rsidRPr="008C4867">
        <w:rPr>
          <w:rFonts w:ascii="Times New Roman" w:hAnsi="Times New Roman" w:cs="Times New Roman"/>
        </w:rPr>
        <w:fldChar w:fldCharType="end"/>
      </w:r>
      <w:r w:rsidRPr="008C4867">
        <w:rPr>
          <w:rFonts w:ascii="Times New Roman" w:hAnsi="Times New Roman" w:cs="Times New Roman"/>
        </w:rPr>
        <w:fldChar w:fldCharType="begin"/>
      </w:r>
      <w:r w:rsidRPr="008C4867">
        <w:rPr>
          <w:rFonts w:ascii="Times New Roman" w:hAnsi="Times New Roman" w:cs="Times New Roman"/>
        </w:rPr>
        <w:instrText xml:space="preserve"> TOC \h \z \c "Figure" </w:instrText>
      </w:r>
      <w:r w:rsidRPr="008C4867">
        <w:rPr>
          <w:rFonts w:ascii="Times New Roman" w:hAnsi="Times New Roman" w:cs="Times New Roman"/>
        </w:rPr>
        <w:fldChar w:fldCharType="separate"/>
      </w:r>
      <w:hyperlink w:anchor="_Toc428278255" w:history="1">
        <w:r w:rsidRPr="008C4867">
          <w:rPr>
            <w:rStyle w:val="Hyperlink"/>
            <w:rFonts w:ascii="Times New Roman" w:hAnsi="Times New Roman" w:cs="Times New Roman"/>
            <w:noProof/>
          </w:rPr>
          <w:t>Figure 3.2. Proportion of Responses</w:t>
        </w:r>
        <w:r w:rsidRPr="008C4867">
          <w:rPr>
            <w:rFonts w:ascii="Times New Roman" w:hAnsi="Times New Roman" w:cs="Times New Roman"/>
            <w:noProof/>
            <w:webHidden/>
          </w:rPr>
          <w:tab/>
          <w:t>17</w:t>
        </w:r>
      </w:hyperlink>
      <w:r w:rsidRPr="008C4867">
        <w:rPr>
          <w:rFonts w:ascii="Times New Roman" w:hAnsi="Times New Roman" w:cs="Times New Roman"/>
        </w:rPr>
        <w:fldChar w:fldCharType="begin"/>
      </w:r>
      <w:r w:rsidRPr="008C4867">
        <w:rPr>
          <w:rFonts w:ascii="Times New Roman" w:hAnsi="Times New Roman" w:cs="Times New Roman"/>
        </w:rPr>
        <w:instrText xml:space="preserve"> TOC \h \z \c "Figure" </w:instrText>
      </w:r>
      <w:r w:rsidRPr="008C4867">
        <w:rPr>
          <w:rFonts w:ascii="Times New Roman" w:hAnsi="Times New Roman" w:cs="Times New Roman"/>
        </w:rPr>
        <w:fldChar w:fldCharType="separate"/>
      </w:r>
      <w:hyperlink w:anchor="_Toc428278255" w:history="1"/>
    </w:p>
    <w:p w14:paraId="21AFAE15" w14:textId="77777777" w:rsidR="008924E0" w:rsidRPr="008C4867" w:rsidRDefault="008924E0" w:rsidP="008924E0">
      <w:pPr>
        <w:pStyle w:val="TableofFigures"/>
        <w:tabs>
          <w:tab w:val="right" w:leader="dot" w:pos="8630"/>
        </w:tabs>
        <w:spacing w:line="480" w:lineRule="auto"/>
        <w:rPr>
          <w:rFonts w:ascii="Times New Roman" w:hAnsi="Times New Roman" w:cs="Times New Roman"/>
          <w:noProof/>
        </w:rPr>
      </w:pPr>
      <w:r w:rsidRPr="008C4867">
        <w:rPr>
          <w:rFonts w:ascii="Times New Roman" w:hAnsi="Times New Roman" w:cs="Times New Roman"/>
        </w:rPr>
        <w:fldChar w:fldCharType="begin"/>
      </w:r>
      <w:r w:rsidRPr="008C4867">
        <w:rPr>
          <w:rFonts w:ascii="Times New Roman" w:hAnsi="Times New Roman" w:cs="Times New Roman"/>
        </w:rPr>
        <w:instrText xml:space="preserve"> TOC \h \z \c "Figure" </w:instrText>
      </w:r>
      <w:r w:rsidRPr="008C4867">
        <w:rPr>
          <w:rFonts w:ascii="Times New Roman" w:hAnsi="Times New Roman" w:cs="Times New Roman"/>
        </w:rPr>
        <w:fldChar w:fldCharType="separate"/>
      </w:r>
      <w:hyperlink w:anchor="_Toc428278255" w:history="1">
        <w:r w:rsidRPr="008C4867">
          <w:rPr>
            <w:rStyle w:val="Hyperlink"/>
            <w:rFonts w:ascii="Times New Roman" w:hAnsi="Times New Roman" w:cs="Times New Roman"/>
            <w:noProof/>
          </w:rPr>
          <w:t>Figure 4.1. Proportion of Responses</w:t>
        </w:r>
        <w:r w:rsidRPr="008C4867">
          <w:rPr>
            <w:rFonts w:ascii="Times New Roman" w:hAnsi="Times New Roman" w:cs="Times New Roman"/>
            <w:noProof/>
            <w:webHidden/>
          </w:rPr>
          <w:tab/>
          <w:t>21</w:t>
        </w:r>
      </w:hyperlink>
    </w:p>
    <w:p w14:paraId="6BB60EE1" w14:textId="77777777" w:rsidR="008924E0" w:rsidRPr="008C4867" w:rsidRDefault="008924E0" w:rsidP="008924E0">
      <w:pPr>
        <w:spacing w:line="480" w:lineRule="auto"/>
        <w:rPr>
          <w:rFonts w:ascii="Times New Roman" w:eastAsiaTheme="minorEastAsia" w:hAnsi="Times New Roman" w:cs="Times New Roman"/>
        </w:rPr>
      </w:pPr>
    </w:p>
    <w:p w14:paraId="4265B0DE" w14:textId="77777777" w:rsidR="008924E0" w:rsidRPr="008C4867" w:rsidRDefault="008924E0" w:rsidP="008924E0">
      <w:pPr>
        <w:spacing w:line="480" w:lineRule="auto"/>
        <w:rPr>
          <w:rFonts w:ascii="Times New Roman" w:eastAsiaTheme="minorEastAsia" w:hAnsi="Times New Roman" w:cs="Times New Roman"/>
        </w:rPr>
      </w:pPr>
      <w:r w:rsidRPr="008C4867">
        <w:rPr>
          <w:rFonts w:ascii="Times New Roman" w:hAnsi="Times New Roman" w:cs="Times New Roman"/>
        </w:rPr>
        <w:fldChar w:fldCharType="end"/>
      </w:r>
    </w:p>
    <w:p w14:paraId="523F1A7A" w14:textId="77777777" w:rsidR="008924E0" w:rsidRPr="008C4867" w:rsidRDefault="008924E0" w:rsidP="008924E0">
      <w:pPr>
        <w:spacing w:line="480" w:lineRule="auto"/>
        <w:rPr>
          <w:rFonts w:ascii="Times New Roman" w:eastAsiaTheme="minorEastAsia" w:hAnsi="Times New Roman" w:cs="Times New Roman"/>
        </w:rPr>
      </w:pPr>
      <w:r w:rsidRPr="008C4867">
        <w:rPr>
          <w:rFonts w:ascii="Times New Roman" w:hAnsi="Times New Roman" w:cs="Times New Roman"/>
        </w:rPr>
        <w:fldChar w:fldCharType="end"/>
      </w:r>
    </w:p>
    <w:p w14:paraId="59E78E63" w14:textId="77777777" w:rsidR="008924E0" w:rsidRPr="008C4867" w:rsidRDefault="008924E0" w:rsidP="008924E0">
      <w:pPr>
        <w:numPr>
          <w:ilvl w:val="12"/>
          <w:numId w:val="0"/>
        </w:numPr>
        <w:spacing w:line="480" w:lineRule="auto"/>
        <w:rPr>
          <w:rFonts w:ascii="Times New Roman" w:hAnsi="Times New Roman" w:cs="Times New Roman"/>
        </w:rPr>
        <w:sectPr w:rsidR="008924E0" w:rsidRPr="008C4867" w:rsidSect="00886DEC">
          <w:headerReference w:type="even" r:id="rId7"/>
          <w:headerReference w:type="default" r:id="rId8"/>
          <w:footerReference w:type="default" r:id="rId9"/>
          <w:pgSz w:w="12240" w:h="15840" w:code="1"/>
          <w:pgMar w:top="1440" w:right="1800" w:bottom="1872" w:left="1800" w:header="720" w:footer="1440" w:gutter="0"/>
          <w:pgNumType w:fmt="lowerRoman" w:start="1"/>
          <w:cols w:space="720"/>
          <w:noEndnote/>
          <w:titlePg/>
        </w:sectPr>
      </w:pPr>
      <w:r w:rsidRPr="008C4867">
        <w:rPr>
          <w:rFonts w:ascii="Times New Roman" w:hAnsi="Times New Roman" w:cs="Times New Roman"/>
        </w:rPr>
        <w:fldChar w:fldCharType="end"/>
      </w:r>
    </w:p>
    <w:p w14:paraId="234E6487" w14:textId="77777777" w:rsidR="008924E0" w:rsidRPr="008C4867" w:rsidRDefault="008924E0" w:rsidP="008924E0">
      <w:pPr>
        <w:pStyle w:val="Heading1"/>
        <w:spacing w:before="0" w:after="0"/>
        <w:rPr>
          <w:rFonts w:ascii="Times New Roman" w:hAnsi="Times New Roman" w:cs="Times New Roman"/>
        </w:rPr>
      </w:pPr>
      <w:bookmarkStart w:id="1" w:name="_Toc420995890"/>
      <w:bookmarkStart w:id="2" w:name="_Toc422997477"/>
      <w:r w:rsidRPr="008C4867">
        <w:rPr>
          <w:rFonts w:ascii="Times New Roman" w:hAnsi="Times New Roman" w:cs="Times New Roman"/>
        </w:rPr>
        <w:lastRenderedPageBreak/>
        <w:br/>
      </w:r>
      <w:bookmarkStart w:id="3" w:name="_Toc427156460"/>
      <w:bookmarkStart w:id="4" w:name="_Toc69573460"/>
      <w:r w:rsidRPr="008C4867">
        <w:rPr>
          <w:rFonts w:ascii="Times New Roman" w:hAnsi="Times New Roman" w:cs="Times New Roman"/>
        </w:rPr>
        <w:t>Introduction</w:t>
      </w:r>
      <w:bookmarkEnd w:id="1"/>
      <w:bookmarkEnd w:id="2"/>
      <w:bookmarkEnd w:id="3"/>
      <w:bookmarkEnd w:id="4"/>
    </w:p>
    <w:p w14:paraId="11734C7D" w14:textId="77777777" w:rsidR="008924E0" w:rsidRPr="008C4867" w:rsidRDefault="008924E0" w:rsidP="008924E0">
      <w:pPr>
        <w:numPr>
          <w:ilvl w:val="12"/>
          <w:numId w:val="0"/>
        </w:numPr>
        <w:spacing w:line="480" w:lineRule="auto"/>
        <w:rPr>
          <w:rFonts w:ascii="Times New Roman" w:hAnsi="Times New Roman" w:cs="Times New Roman"/>
        </w:rPr>
      </w:pPr>
      <w:r w:rsidRPr="008C4867">
        <w:rPr>
          <w:rFonts w:ascii="Times New Roman" w:hAnsi="Times New Roman" w:cs="Times New Roman"/>
        </w:rPr>
        <w:tab/>
        <w:t>As we observe our environment, to gather detailed information about the objects in the environment, we execute saccades to focus our small range of high-resolution foveal vision on different objects in our surroundings (Irwin, 1992). However, our visual perception is suppressed during saccades, a process called saccadic suppression (Matin, 1974). Thus, each saccade captures two representations of the target object: the pre-saccadic representation that is visible in our periphery before the initiation of the movement of the eyes, and the post-saccadic representation that is foveated on upon landing after the movement of the eyes. Despite this disruption in our visual input, we perceive the world as continuous.  How do we update information across saccades and establish stability across over 100,000 saccades we make each day?</w:t>
      </w:r>
    </w:p>
    <w:p w14:paraId="0F4A08CB" w14:textId="77777777" w:rsidR="008924E0" w:rsidRPr="008C4867" w:rsidRDefault="008924E0" w:rsidP="008924E0">
      <w:pPr>
        <w:numPr>
          <w:ilvl w:val="12"/>
          <w:numId w:val="0"/>
        </w:numPr>
        <w:spacing w:line="480" w:lineRule="auto"/>
        <w:rPr>
          <w:rFonts w:ascii="Times New Roman" w:hAnsi="Times New Roman" w:cs="Times New Roman"/>
        </w:rPr>
      </w:pPr>
      <w:r w:rsidRPr="008C4867">
        <w:rPr>
          <w:rFonts w:ascii="Times New Roman" w:hAnsi="Times New Roman" w:cs="Times New Roman"/>
        </w:rPr>
        <w:tab/>
        <w:t xml:space="preserve">Some researchers have proposed that the peripheral and foveal representations are integrated in some form (Oostwoud Wijdenes, Marshall, &amp; Bays, 2015; Stewart &amp; Schütz, 2018), while others argue that transsaccadic updating occurs with an object-based masking process where the pre-saccadic representation is overwritten by the post-saccadic one (Tas, Mordkoff, &amp; Hollingworth, 2021).  According to transsaccadic integration accounts, the pre- and post-saccadic representations are merged into a single percept, resulting in a final representation whose value is somewhere between the pre- and post-saccadic feature. In contrast, object-mediated updating account states when the pre-saccadic representation is overwritten by the post-saccadic one, and as a result, the pre-saccadic feature value will be lost.  </w:t>
      </w:r>
    </w:p>
    <w:p w14:paraId="263FFBC2" w14:textId="77777777" w:rsidR="008924E0" w:rsidRPr="008C4867" w:rsidRDefault="008924E0" w:rsidP="008924E0">
      <w:pPr>
        <w:numPr>
          <w:ilvl w:val="12"/>
          <w:numId w:val="0"/>
        </w:numPr>
        <w:spacing w:line="480" w:lineRule="auto"/>
        <w:rPr>
          <w:rFonts w:ascii="Times New Roman" w:hAnsi="Times New Roman" w:cs="Times New Roman"/>
        </w:rPr>
      </w:pPr>
      <w:r w:rsidRPr="008C4867">
        <w:rPr>
          <w:rFonts w:ascii="Times New Roman" w:hAnsi="Times New Roman" w:cs="Times New Roman"/>
        </w:rPr>
        <w:lastRenderedPageBreak/>
        <w:tab/>
        <w:t xml:space="preserve">In the present study, we employed a method that allowed us to directly compare different mechanisms of transsaccadic updating by presenting participants with a task to measure their color perception across saccades. Participants were asked to execute a saccade to a target and report the color of the target. In some of the trials, the color of the target changed transsaccadically, but participants were not informed of this change. There were also conditions where the target was presented only pre-saccadically or only post-saccadically, allowing comparison between these trials and the transsaccadic trials. These measures allowed us to directly test the different approaches to transsaccadic updating. </w:t>
      </w:r>
    </w:p>
    <w:p w14:paraId="7FAA1B2A" w14:textId="77777777" w:rsidR="008924E0" w:rsidRPr="008C4867" w:rsidRDefault="008924E0" w:rsidP="008924E0">
      <w:pPr>
        <w:pStyle w:val="Heading2"/>
        <w:spacing w:before="0" w:after="0"/>
        <w:rPr>
          <w:rFonts w:ascii="Times New Roman" w:hAnsi="Times New Roman" w:cs="Times New Roman"/>
        </w:rPr>
      </w:pPr>
      <w:bookmarkStart w:id="5" w:name="_Toc69573461"/>
      <w:r w:rsidRPr="008C4867">
        <w:rPr>
          <w:rFonts w:ascii="Times New Roman" w:hAnsi="Times New Roman" w:cs="Times New Roman"/>
        </w:rPr>
        <w:t>Transsaccadic Updating</w:t>
      </w:r>
      <w:bookmarkEnd w:id="5"/>
    </w:p>
    <w:p w14:paraId="3BE1045B" w14:textId="77777777" w:rsidR="008924E0" w:rsidRPr="008C4867" w:rsidRDefault="008924E0" w:rsidP="008924E0">
      <w:pPr>
        <w:spacing w:line="480" w:lineRule="auto"/>
        <w:rPr>
          <w:rFonts w:ascii="Times New Roman" w:hAnsi="Times New Roman" w:cs="Times New Roman"/>
        </w:rPr>
      </w:pPr>
      <w:r w:rsidRPr="008C4867">
        <w:rPr>
          <w:rFonts w:ascii="Times New Roman" w:hAnsi="Times New Roman" w:cs="Times New Roman"/>
        </w:rPr>
        <w:tab/>
        <w:t xml:space="preserve">We execute saccades to gain information about our environment. During a saccade, the processing of visual information is suppressed (Matin, 1974). Saccadic suppression is evident in tasks where the target is displaced during the eye movement, even when it is displaced up to one-third of the total distance of the saccade (Bridgeman, Hendry, &amp; Stark, 1974). The suppression of information during a saccade prevents a blurred perception of our environment during the movement of the eyes, which leaves our visual system with two representations of the target object: a peripheral pre-saccadic representation and a foveal post-saccadic representation. Saccadic suppression can be attenuated when drastic changes occur, such that the target is perceived as a different object and continuity is no longer assumed (Deubel, Schneider, &amp; Bridgeman, 1996). One example of attenuating the effect of saccadic suppression is when the object is removed from the screen for approximately 250ms during the eye movement, which exceeds the duration of the saccade such that the target does not reappear until after the </w:t>
      </w:r>
      <w:r w:rsidRPr="008C4867">
        <w:rPr>
          <w:rFonts w:ascii="Times New Roman" w:hAnsi="Times New Roman" w:cs="Times New Roman"/>
        </w:rPr>
        <w:lastRenderedPageBreak/>
        <w:t xml:space="preserve">saccadic landing (Deubel et al., 1996). This results in significantly increased sensitivity to transsaccadic changes in the target object. </w:t>
      </w:r>
    </w:p>
    <w:p w14:paraId="4270F8B1" w14:textId="77777777" w:rsidR="008924E0" w:rsidRPr="008C4867" w:rsidRDefault="008924E0" w:rsidP="008924E0">
      <w:pPr>
        <w:spacing w:line="480" w:lineRule="auto"/>
        <w:rPr>
          <w:rFonts w:ascii="Times New Roman" w:hAnsi="Times New Roman" w:cs="Times New Roman"/>
        </w:rPr>
      </w:pPr>
      <w:r w:rsidRPr="008C4867">
        <w:rPr>
          <w:rFonts w:ascii="Times New Roman" w:hAnsi="Times New Roman" w:cs="Times New Roman"/>
        </w:rPr>
        <w:tab/>
        <w:t>A common explanation for the saccadic suppression of displacement is that most changes go undetected is that they are perceived as being an error of the oculomotor movement itself. In other words, there is an underlying assumption of visual stability, such that slight variations in the stimuli are perceived as error and go unnoticed until the changes become large enough to disrupt the assumption of visual stability. Once visual stability is disrupted, participants become sensitive to changes that occur transsaccadically (Deubel et al., 1996). Visual stability can be disrupted in many ways, such as disrupting spatiotemporal continuity by briefly removing the target object from the screen transsaccadically (Deubel et al., 1996) or by making drastic changes to the surface features of the target object (</w:t>
      </w:r>
      <w:r w:rsidRPr="008C4867">
        <w:rPr>
          <w:rFonts w:ascii="Times New Roman" w:hAnsi="Times New Roman" w:cs="Times New Roman"/>
          <w:iCs/>
          <w:lang w:val="fr-FR"/>
        </w:rPr>
        <w:t xml:space="preserve">Demeyer, De Graef, Wagemans, &amp; Verfaillie </w:t>
      </w:r>
      <w:r w:rsidRPr="008C4867">
        <w:rPr>
          <w:rFonts w:ascii="Times New Roman" w:hAnsi="Times New Roman" w:cs="Times New Roman"/>
        </w:rPr>
        <w:t>2010)</w:t>
      </w:r>
      <w:bookmarkStart w:id="6" w:name="_Toc428278253"/>
      <w:r w:rsidRPr="008C4867">
        <w:rPr>
          <w:rFonts w:ascii="Times New Roman" w:hAnsi="Times New Roman" w:cs="Times New Roman"/>
        </w:rPr>
        <w:t xml:space="preserve"> such as size, luminance, and shape (Feldman &amp; Tremoulet, 2006), as well as color (Tas, Dodd, &amp; Hollingworth, 2012). When stability is disrupted, the object is not perceived as being the same and participants are able to detect the change and preserve the pre-saccadic representation (Deubel et al, 1996; Tas et al., 2021).</w:t>
      </w:r>
    </w:p>
    <w:p w14:paraId="03016BC8" w14:textId="77777777" w:rsidR="008924E0" w:rsidRPr="008C4867" w:rsidRDefault="008924E0" w:rsidP="008924E0">
      <w:pPr>
        <w:pStyle w:val="Caption"/>
        <w:spacing w:before="0" w:after="0"/>
      </w:pPr>
      <w:r w:rsidRPr="008C4867">
        <w:tab/>
        <w:t xml:space="preserve">Visual stability relies on the assumption that slight errors in our visual input are a result of errors of the visual system, such that they go unnoticed until the change becomes drastic enough to break the assumption of stability (Deubel et al., 1996). It is important to understand how the pre- and post-saccadic representations obtained from each saccade are combined across identical and slightly varied target objects. Early theories of transsaccadic updating claimed the existence of a low-level fusion of detailed sensory </w:t>
      </w:r>
      <w:r w:rsidRPr="008C4867">
        <w:lastRenderedPageBreak/>
        <w:t xml:space="preserve">information (McConkie &amp; Rayner, 1976). This account holds that pre-saccadic information is transferred in low level sensory memory, such that the final percept is a completely fused image of the information from the pre- and post-saccadic representations. Previous work has failed to support the use of low-level sensory or "photographic" representations across saccades when they examined whether participants could fuse sets of lines to form a merged representation of the individual images presented (O'Regan and Lévy-Schoen, 1983). </w:t>
      </w:r>
    </w:p>
    <w:p w14:paraId="68908416" w14:textId="77777777" w:rsidR="008924E0" w:rsidRPr="008C4867" w:rsidRDefault="008924E0" w:rsidP="008924E0">
      <w:pPr>
        <w:spacing w:line="480" w:lineRule="auto"/>
        <w:ind w:firstLine="720"/>
        <w:rPr>
          <w:rFonts w:ascii="Times New Roman" w:hAnsi="Times New Roman" w:cs="Times New Roman"/>
          <w:iCs/>
        </w:rPr>
      </w:pPr>
      <w:r w:rsidRPr="008C4867">
        <w:rPr>
          <w:rFonts w:ascii="Times New Roman" w:hAnsi="Times New Roman" w:cs="Times New Roman"/>
        </w:rPr>
        <w:t>Alternatively, more recent work has shown support for a low-level integration of feature information across saccades rather than a fusion of two "photographic" representations (see Herwig, 2015 for review). This idea of integration can include averaging feature information of a target object when the values are not the same value (Ganmor, Landy, &amp; Simoncelli, 2015; Hübner &amp; Schütz, 2017; Wolf &amp; Schütz, 2015). Another form of integration is cue integration, which is a specific type of feature integration that occurs when the information from the pre- and post-saccadic objects are the same, and the redundancy results in improved responding (Van Dam, Parise, &amp; Ernst, 2014; Stewart &amp; Schütz, 2018).</w:t>
      </w:r>
    </w:p>
    <w:p w14:paraId="0B283530" w14:textId="77777777" w:rsidR="008924E0" w:rsidRPr="008C4867" w:rsidRDefault="008924E0" w:rsidP="008924E0">
      <w:pPr>
        <w:pStyle w:val="Heading3"/>
        <w:spacing w:before="0" w:after="0" w:line="480" w:lineRule="auto"/>
        <w:rPr>
          <w:rFonts w:ascii="Times New Roman" w:hAnsi="Times New Roman" w:cs="Times New Roman"/>
        </w:rPr>
      </w:pPr>
      <w:bookmarkStart w:id="7" w:name="_Toc69573462"/>
      <w:r w:rsidRPr="008C4867">
        <w:rPr>
          <w:rFonts w:ascii="Times New Roman" w:hAnsi="Times New Roman" w:cs="Times New Roman"/>
        </w:rPr>
        <w:t>Feature Averaging</w:t>
      </w:r>
      <w:bookmarkEnd w:id="7"/>
      <w:r w:rsidRPr="008C4867">
        <w:rPr>
          <w:rFonts w:ascii="Times New Roman" w:hAnsi="Times New Roman" w:cs="Times New Roman"/>
        </w:rPr>
        <w:tab/>
      </w:r>
      <w:r w:rsidRPr="008C4867">
        <w:rPr>
          <w:rFonts w:ascii="Times New Roman" w:hAnsi="Times New Roman" w:cs="Times New Roman"/>
        </w:rPr>
        <w:tab/>
      </w:r>
    </w:p>
    <w:p w14:paraId="208D19DA" w14:textId="77777777" w:rsidR="008924E0" w:rsidRPr="008C4867" w:rsidRDefault="008924E0" w:rsidP="008924E0">
      <w:pPr>
        <w:spacing w:line="480" w:lineRule="auto"/>
        <w:rPr>
          <w:rFonts w:ascii="Times New Roman" w:hAnsi="Times New Roman" w:cs="Times New Roman"/>
        </w:rPr>
      </w:pPr>
      <w:r w:rsidRPr="008C4867">
        <w:rPr>
          <w:rFonts w:ascii="Times New Roman" w:hAnsi="Times New Roman" w:cs="Times New Roman"/>
        </w:rPr>
        <w:tab/>
      </w:r>
      <w:bookmarkStart w:id="8" w:name="_Hlk66500705"/>
      <w:r w:rsidRPr="008C4867">
        <w:rPr>
          <w:rFonts w:ascii="Times New Roman" w:hAnsi="Times New Roman" w:cs="Times New Roman"/>
        </w:rPr>
        <w:t xml:space="preserve">Recent work in transsaccadic updating has shown support for a low-level integration of feature information about the target across saccades (Demeyer et al., 2010; Ganmor et al., 2015; Oostwoud Wijdenes, et al., 2015; Schut, Van der Stoep, Fabius, &amp; Van der Stigchel, 2018; Wolf &amp; Schütz, 2015). </w:t>
      </w:r>
      <w:bookmarkEnd w:id="8"/>
      <w:r w:rsidRPr="008C4867">
        <w:rPr>
          <w:rFonts w:ascii="Times New Roman" w:hAnsi="Times New Roman" w:cs="Times New Roman"/>
        </w:rPr>
        <w:t xml:space="preserve">In one such study, participants were presented with three stimuli of different colors at equidistant locations just above the </w:t>
      </w:r>
      <w:r w:rsidRPr="008C4867">
        <w:rPr>
          <w:rFonts w:ascii="Times New Roman" w:hAnsi="Times New Roman" w:cs="Times New Roman"/>
        </w:rPr>
        <w:lastRenderedPageBreak/>
        <w:t xml:space="preserve">fixation point, postsaccadic location, and central location (Oostwoud Wijdenes et al., 2015). Participants were instructed to execute a saccade to a target location while remembering the color of each of the three targets. The targets were peripheral targets, such that none of them were foveated on, but remained above the fixation point and saccadic landing point. The purpose of this was to ensure that the representations were not much stronger for some targets than others as a result of fixating directly on the target. Each of the targets changed color by a magnitude of 20° on the color wheel as soon as a saccade was detected. A color wheel was presented at the end of the trial, and participants were asked to report the last color that they saw by clicking on the corresponding location on the color wheel. The researchers did not specify a state, because they did not want to indicate to participants that the colors may change. </w:t>
      </w:r>
    </w:p>
    <w:p w14:paraId="60258880"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Data from this task indicated averaging between the pre-saccadic and post-saccadic stimuli, as indicated by a single distribution of responses at an intermediate value between the pre- and post-saccadic color values. In other words, when participants experienced a color change transsaccadically, participants reported an intermediate value in between the pre- and post-saccadic values. They, along with other researchers, also propose that the integration is optimal, such that the pre-saccadic and the post-saccadic representations are weighted based on the reliability (or precision) of each representation (Ganmor et al., 2015; Stewart and Schütz 2018; Stewart &amp; Schütz, 2019; Wolf &amp; Schütz, 2015; Ghahramani, et al., 1997; Van Beers, et al., 1999; Ernst &amp; Banks, 2002; Ernst &amp; Bulthoff, 2004; Niemeier, Crawford, &amp; Tweed, 2003). For example, Oostwoud Wijdenes et al. (2015) manipulated reliability by introducing visual noise to the stimuli to shift the </w:t>
      </w:r>
      <w:r w:rsidRPr="008C4867">
        <w:rPr>
          <w:rFonts w:ascii="Times New Roman" w:hAnsi="Times New Roman" w:cs="Times New Roman"/>
        </w:rPr>
        <w:lastRenderedPageBreak/>
        <w:t xml:space="preserve">distributions. While the results of the present experiment have been interpreted as providing evidence against feature overwriting, overwriting was not directly tested, and the data were not tested for underlying bivariate structures. It is possible that there was an underlying bivariate structure in the data that was averaged together to appear like a single intermediate distribution of responses. </w:t>
      </w:r>
    </w:p>
    <w:p w14:paraId="1AF27B35" w14:textId="77777777" w:rsidR="008924E0" w:rsidRPr="008C4867" w:rsidRDefault="008924E0" w:rsidP="008924E0">
      <w:pPr>
        <w:pStyle w:val="Heading3"/>
        <w:spacing w:before="0" w:after="0" w:line="480" w:lineRule="auto"/>
        <w:rPr>
          <w:rFonts w:ascii="Times New Roman" w:hAnsi="Times New Roman" w:cs="Times New Roman"/>
        </w:rPr>
      </w:pPr>
      <w:bookmarkStart w:id="9" w:name="_Toc69573463"/>
      <w:r w:rsidRPr="008C4867">
        <w:rPr>
          <w:rFonts w:ascii="Times New Roman" w:hAnsi="Times New Roman" w:cs="Times New Roman"/>
        </w:rPr>
        <w:t>Cue Integration</w:t>
      </w:r>
      <w:bookmarkEnd w:id="9"/>
    </w:p>
    <w:p w14:paraId="636D5886" w14:textId="77777777" w:rsidR="008924E0" w:rsidRPr="008C4867" w:rsidRDefault="008924E0" w:rsidP="008924E0">
      <w:pPr>
        <w:spacing w:line="480" w:lineRule="auto"/>
        <w:rPr>
          <w:rFonts w:ascii="Times New Roman" w:hAnsi="Times New Roman" w:cs="Times New Roman"/>
        </w:rPr>
      </w:pPr>
      <w:r w:rsidRPr="008C4867">
        <w:rPr>
          <w:rFonts w:ascii="Times New Roman" w:hAnsi="Times New Roman" w:cs="Times New Roman"/>
        </w:rPr>
        <w:tab/>
        <w:t>Another form of feature integration is cue integration, where the pre-saccadic and post-saccadic feature information is the same, and participants benefit from the redundancy (Ganmor, Landy, &amp; Simoncelli, 2015; Hübner &amp; Schütz, 2017; Stewart &amp; Schütz, 2018, 2019; Wolf &amp; Schütz, 2015). Early work defines cue integration as the optimization of the precision of participant responding as a result of multisensory information (Rohde, van Dam, &amp; Ernst, 2015; Clark &amp; Yuille, 1990; Ernst &amp; Banks, 2002). In other words, we benefit from the weighted integration (integration of stimuli which are weighted based on their reliability) of redundant information from multiple modalities as compared to information from any modality in isolation (Van Dam, Parise, &amp; Ernst, 2014).</w:t>
      </w:r>
    </w:p>
    <w:p w14:paraId="74E9F653"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This idea has been recently applied to transsaccadic updating, with researchers finding that responses improved in conditions where the pre- and post-saccadic information were identical compared to conditions where they saw either in isolation (Stewart &amp; Schütz, 2018). In this task, participants fixated at a central location until a saccadic target appeared. In the integration condition of this study, participants were instructed to execute a saccade when the pre-saccadic stimulus appeared in their </w:t>
      </w:r>
      <w:r w:rsidRPr="008C4867">
        <w:rPr>
          <w:rFonts w:ascii="Times New Roman" w:hAnsi="Times New Roman" w:cs="Times New Roman"/>
        </w:rPr>
        <w:lastRenderedPageBreak/>
        <w:t xml:space="preserve">periphery. After landing on the target, a color wheel would appear, and participants were instructed to report the color that they saw by clicking the corresponding location on the color wheel. </w:t>
      </w:r>
    </w:p>
    <w:p w14:paraId="4E9BD2B3"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Unlike studies testing feature averaging (Oostwoud Wijdenes et al., 2015; Schut et al., 2018), the transsaccadic trials did not include a color change condition, because they were looking to test cue integration,  in this case. The task also included two conditions where the pre-saccadic stimulus was presented in isolation and the post-saccadic stimulus was presented in isolation. To test cue integration, they compared the standard deviations of the best of the peripheral and foveal trials to that of the transsaccadic trials. In this task, cue integration would predict that the standard deviations of the transsaccadic trials would be significantly lower than the standard deviations in the peripheral and foveal trials. They found support for cue integration, such that standard deviations in the transsaccadic trials were significantly lower than standard deviations in the peripheral or foveal trials (Stewart &amp; Schütz, 2018). The authors interpreted these results as evidence that the pre- and post-saccadic information is being combined to improve performance. </w:t>
      </w:r>
    </w:p>
    <w:p w14:paraId="4AEF034E" w14:textId="77777777" w:rsidR="008924E0" w:rsidRPr="008C4867" w:rsidRDefault="008924E0" w:rsidP="008924E0">
      <w:pPr>
        <w:pStyle w:val="Heading3"/>
        <w:numPr>
          <w:ilvl w:val="0"/>
          <w:numId w:val="0"/>
        </w:numPr>
        <w:spacing w:before="0" w:after="0" w:line="480" w:lineRule="auto"/>
        <w:rPr>
          <w:rFonts w:ascii="Times New Roman" w:hAnsi="Times New Roman" w:cs="Times New Roman"/>
        </w:rPr>
      </w:pPr>
      <w:bookmarkStart w:id="10" w:name="_Toc69573464"/>
      <w:r w:rsidRPr="008C4867">
        <w:rPr>
          <w:rFonts w:ascii="Times New Roman" w:hAnsi="Times New Roman" w:cs="Times New Roman"/>
        </w:rPr>
        <w:t>Overwriting</w:t>
      </w:r>
      <w:bookmarkEnd w:id="10"/>
    </w:p>
    <w:p w14:paraId="4E5E9EDA"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In contrast to the studies showing evidence of integration, recent evidence has supported the object-based updating, or overwriting of pre-saccadic information with post-saccadic information (Tas et al., 2021). Object-mediated updating explains the process in which the visual system continues to take in information and updates targets as objects rather than photographic images, such that saccadic targets involve updating the </w:t>
      </w:r>
      <w:r w:rsidRPr="008C4867">
        <w:rPr>
          <w:rFonts w:ascii="Times New Roman" w:hAnsi="Times New Roman" w:cs="Times New Roman"/>
        </w:rPr>
        <w:lastRenderedPageBreak/>
        <w:t xml:space="preserve">pre-saccadic representations with the post-saccadic representations as object-based representations of the target rather than image-based representations (Moore, Mordkoff, &amp; Enns, 2007). Based on this account, when our visual system takes in information for two representations of one object (a pre- and post-saccadic representation) that are perceived to belong together, then visual stability is established, and overwriting occurs to update the information by overwriting the pre-saccadic information with post-saccadic information. </w:t>
      </w:r>
    </w:p>
    <w:p w14:paraId="1F00F108"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To test overwriting, participants were presented with a colored disk and asked to saccade to the disk. While the participants are executing a saccade, the color of the saccadic target changed so that their eyes landed on a different color, and the change was either 15°, 30°, or 45° on a color wheel in clockwise or counterclockwise direction (Tas et al. 2021). These variations include the magnitude of change used by Oostwoud Wijdenes et al. (2015) at 20° and the magnitude of change used by Schut et al. (2018) at 30°. Unlike any of the prior studies measuring feature averaging and cue integration, object continuity was manipulated by including manipulation in half of the trials where the target object was briefly removed from the screen to disrupt visual stability (Deubel et al., 1996).  Because visual stability was not established in the trials with a blank screen, the two representations of the target object were not perceived as belonging together. The target was removed by including a "blank" screen in between the pre- and post-saccadic stimuli, which matched the background color and was presented for 250ms, so that the post-saccadic target was not present at the point of saccadic landing, but then reappeared (Deubel et al., 1996). Participants were then post-cued to report to either the pre-saccadic </w:t>
      </w:r>
      <w:r w:rsidRPr="008C4867">
        <w:rPr>
          <w:rFonts w:ascii="Times New Roman" w:hAnsi="Times New Roman" w:cs="Times New Roman"/>
        </w:rPr>
        <w:lastRenderedPageBreak/>
        <w:t xml:space="preserve">or the post-saccadic color value, by clicking a location on a color wheel. This varied from Oostwoud Wijdenes et al. (2015) and Schut et al. (2018), where participants were not told to respond to a specific state of the target, but only to report the color that they remember seeing. </w:t>
      </w:r>
    </w:p>
    <w:p w14:paraId="022B7F99"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When visual stability was established, participants reported the post-saccadic color value in a large number of the trials where they were asked to report the pre-saccadic stimulus. When visual stability was not established (a blank screen was presented), the pre-saccadic representation was preserved, such that participants were better able to report the pre-saccadic representations and the data indicated an underlying bivariate structure. Unlike prior work supporting integration, the data were tested for an underlying bivariate structure, finding a distribution of responses at the pre-saccadic value and a distribution of responses at the post-saccadic value. In a proportion of trials in which participants were asked to report the pre-saccadic value, participants were unable to report the pre-saccadic value, reporting the post-saccadic value instead. It is likely that the pre-saccadic information was not overwritten in all the trials because the participants had an incentive to report the pre-saccadic representation. This resulted in a distribution of responses at the pre-saccadic value and a distribution of responses at the post-saccadic value, with most of the responses at the post-saccadic value. </w:t>
      </w:r>
    </w:p>
    <w:p w14:paraId="59CAD331"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It is important to note that the studies testing feature integration and overwriting implemented different methods. For example, the work supporting feature averaging required participants to report the color that they perceived without distinguishing which state (pre- or post-saccadic) to report the value for (Oostwoud Wijdenes et al., 2015). </w:t>
      </w:r>
      <w:r w:rsidRPr="008C4867">
        <w:rPr>
          <w:rFonts w:ascii="Times New Roman" w:hAnsi="Times New Roman" w:cs="Times New Roman"/>
        </w:rPr>
        <w:lastRenderedPageBreak/>
        <w:t xml:space="preserve">Alternatively, the study using color information to test overwriting required participants to separate the representations by post-cuing participants to specifically report the pre-saccadic value or the post-saccadic value (Tas et al., 2021). Further, the studies testing feature averaging (Oostwoud Wijdenes et al., 2015) and cue integration (Stewart &amp; Schütz, 2018) did not manipulate visual stability, while the study testing feature overwriting did (Tas et al., 2021). Studies examining feature averaging also only included a color variation of 20° (Oostwoud Wijdenes et al., 2015) or 30° (Schut et al., 2018), while the study finding evidence of overwriting used a range of color change magnitudes at 15°, 30°, and 45°. Further, the work supporting overwriting (Tas et al., 2021) tested the data for underlying bivariate structures, which was a test that was not included in the work supporting feature averaging. </w:t>
      </w:r>
    </w:p>
    <w:p w14:paraId="5514EB00" w14:textId="77777777" w:rsidR="008924E0" w:rsidRPr="008C4867" w:rsidRDefault="008924E0" w:rsidP="008924E0">
      <w:pPr>
        <w:pStyle w:val="Heading2"/>
        <w:spacing w:before="0" w:after="0"/>
        <w:rPr>
          <w:rFonts w:ascii="Times New Roman" w:hAnsi="Times New Roman" w:cs="Times New Roman"/>
        </w:rPr>
      </w:pPr>
      <w:bookmarkStart w:id="11" w:name="_Toc69573465"/>
      <w:r w:rsidRPr="008C4867">
        <w:rPr>
          <w:rFonts w:ascii="Times New Roman" w:hAnsi="Times New Roman" w:cs="Times New Roman"/>
        </w:rPr>
        <w:t>Current Study</w:t>
      </w:r>
      <w:bookmarkEnd w:id="11"/>
    </w:p>
    <w:p w14:paraId="1E883492"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The aim of the current study is to test all three approaches to transsaccadic updating: feature averaging, cue integration, and overwriting. To do that, in the following experiments, we combined the tasks used by Tas et al. (2021) and Stewart and Schütz (2018). The experiment had three blocks: transsaccadic, pre-saccadic only, and post-saccadic only. In the transsaccadic block, participants were instructed to execute a saccade to a peripheral target object. Critically, on half of the trials the color of the target was subtly changed while participants were executing the saccade. The color change occurred during saccadic suppression, such that participants should not be able to perceive the resulting transient. At the end of each trial, the participants were asked to report the color of the target. The responses in this transsaccadic block were used to test </w:t>
      </w:r>
      <w:r w:rsidRPr="008C4867">
        <w:rPr>
          <w:rFonts w:ascii="Times New Roman" w:hAnsi="Times New Roman" w:cs="Times New Roman"/>
        </w:rPr>
        <w:lastRenderedPageBreak/>
        <w:t xml:space="preserve">the feature averaging and overwriting accounts by examining the response distributions and testing for underlying bivariate structures that may indicate responses at the pre- and post-saccadic values rather than an intermediate value. To test for cue integration, we included two additional blocks, one of which presented a stimulus pre-saccadically only and the other which presented a stimulus post-saccadically only. Performance in these single blocks were then compared with performance in the transsaccadic block to test whether redundant information in the transsaccadic block resulted in more precise color reports. </w:t>
      </w:r>
    </w:p>
    <w:p w14:paraId="6A558926"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If the pre- and post-saccadic features are integrated in the sense that their values are averaged, then participants' color report distributions should be centered around the midpoint of the pre- and post-saccadic color values. If, however, the pre-saccadic feature is overwritten by the post-saccadic feature, then the color response distributions should be centered around the post-saccadic value. Previous studies have shown that this type of object-based overwriting is probabilistic, and therefore, does not occur on every single trial (Tas et al., 2021), possibly due to color changes disrupting visual stability on a proportion of trials (Tas et al., 2012). In the following experiments we used relatively small color change (15°), but it is still possible that this color change would disrupt visual stability. If this change does disrupt visual stability, it is possible that we will not observe overwriting in all the trials.  </w:t>
      </w:r>
    </w:p>
    <w:p w14:paraId="6E7B54EA"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For the blank trials, either effect observed (integration or overwriting) may be attenuated. When visual stability is disrupted, this preserves the representation of the pre-saccadic value, such that participants should be able to report either. If participants are </w:t>
      </w:r>
      <w:r w:rsidRPr="008C4867">
        <w:rPr>
          <w:rFonts w:ascii="Times New Roman" w:hAnsi="Times New Roman" w:cs="Times New Roman"/>
        </w:rPr>
        <w:lastRenderedPageBreak/>
        <w:t xml:space="preserve">able to more frequently preserve and report the pre-saccadic stimulus, this would reduce overwriting (which predicts heavier proportion of responses at the post-saccadic value) and integration (which would predict that participants should be reporting an intermediate value rather than a pre-saccadic value). </w:t>
      </w:r>
    </w:p>
    <w:p w14:paraId="0C75743F"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 xml:space="preserve">If cue integration occurs, then responses should improve significantly in trials where the pre-saccadic and post-saccadic color values are identical when compared to trials where the stimulus is presented either pre-saccadically only or post-saccadically only. </w:t>
      </w:r>
      <w:bookmarkStart w:id="12" w:name="_Toc420995900"/>
      <w:bookmarkStart w:id="13" w:name="_Toc422997487"/>
      <w:bookmarkEnd w:id="6"/>
      <w:r w:rsidRPr="008C4867">
        <w:rPr>
          <w:rFonts w:ascii="Times New Roman" w:hAnsi="Times New Roman" w:cs="Times New Roman"/>
        </w:rPr>
        <w:t xml:space="preserve">To test this, the standard deviations of the response distributions in the transsaccadic block were compared with the best of either the pre-saccadic only or the post-saccadic only trials. If the representations are integrated optimally, then we expect to find significantly smaller standard deviations (i.e., more precise color reports) in the transsaccadic block than in the best of the single blocks. In the blank conditions, any observed effects of cue integration may be weaker because of the disruption of visual stability. When stability is disrupted, participants should be able to keep the representations separate.  </w:t>
      </w:r>
    </w:p>
    <w:p w14:paraId="45967240" w14:textId="2FB93F06" w:rsidR="008924E0" w:rsidRPr="008C4867" w:rsidRDefault="008924E0" w:rsidP="008924E0">
      <w:pPr>
        <w:spacing w:line="480" w:lineRule="auto"/>
        <w:rPr>
          <w:rFonts w:ascii="Times New Roman" w:hAnsi="Times New Roman" w:cs="Times New Roman"/>
        </w:rPr>
      </w:pPr>
      <w:r w:rsidRPr="008C4867">
        <w:rPr>
          <w:rFonts w:ascii="Times New Roman" w:hAnsi="Times New Roman" w:cs="Times New Roman"/>
        </w:rPr>
        <w:br w:type="page"/>
      </w:r>
    </w:p>
    <w:p w14:paraId="37A9E654" w14:textId="77777777" w:rsidR="008924E0" w:rsidRPr="008C4867" w:rsidRDefault="008924E0" w:rsidP="008924E0">
      <w:pPr>
        <w:pStyle w:val="Heading1"/>
        <w:spacing w:before="0" w:after="0"/>
        <w:rPr>
          <w:rFonts w:ascii="Times New Roman" w:hAnsi="Times New Roman" w:cs="Times New Roman"/>
        </w:rPr>
      </w:pPr>
      <w:r w:rsidRPr="008C4867">
        <w:rPr>
          <w:rFonts w:ascii="Times New Roman" w:hAnsi="Times New Roman" w:cs="Times New Roman"/>
        </w:rPr>
        <w:lastRenderedPageBreak/>
        <w:br/>
      </w:r>
      <w:bookmarkStart w:id="14" w:name="_Toc69573466"/>
      <w:bookmarkEnd w:id="12"/>
      <w:bookmarkEnd w:id="13"/>
      <w:r w:rsidRPr="008C4867">
        <w:rPr>
          <w:rFonts w:ascii="Times New Roman" w:hAnsi="Times New Roman" w:cs="Times New Roman"/>
        </w:rPr>
        <w:t>Experiment 1</w:t>
      </w:r>
      <w:bookmarkEnd w:id="14"/>
    </w:p>
    <w:p w14:paraId="0BF5FFA2" w14:textId="77777777" w:rsidR="008924E0" w:rsidRPr="008C4867" w:rsidRDefault="008924E0" w:rsidP="008924E0">
      <w:pPr>
        <w:pStyle w:val="Heading2"/>
        <w:spacing w:before="0" w:after="0"/>
        <w:rPr>
          <w:rFonts w:ascii="Times New Roman" w:hAnsi="Times New Roman" w:cs="Times New Roman"/>
        </w:rPr>
      </w:pPr>
      <w:bookmarkStart w:id="15" w:name="_Toc69573467"/>
      <w:r w:rsidRPr="008C4867">
        <w:rPr>
          <w:rFonts w:ascii="Times New Roman" w:hAnsi="Times New Roman" w:cs="Times New Roman"/>
        </w:rPr>
        <w:t>Materials and Methods</w:t>
      </w:r>
      <w:bookmarkEnd w:id="15"/>
    </w:p>
    <w:p w14:paraId="36547977" w14:textId="1277078A" w:rsidR="008924E0" w:rsidRPr="008C4867" w:rsidRDefault="008924E0" w:rsidP="008924E0">
      <w:pPr>
        <w:pStyle w:val="Heading3"/>
        <w:spacing w:before="0" w:after="0" w:line="480" w:lineRule="auto"/>
        <w:rPr>
          <w:rFonts w:ascii="Times New Roman" w:hAnsi="Times New Roman" w:cs="Times New Roman"/>
        </w:rPr>
      </w:pPr>
      <w:bookmarkStart w:id="16" w:name="_Toc69573468"/>
      <w:r w:rsidRPr="008C4867">
        <w:rPr>
          <w:rFonts w:ascii="Times New Roman" w:hAnsi="Times New Roman" w:cs="Times New Roman"/>
        </w:rPr>
        <w:t>Participants</w:t>
      </w:r>
      <w:bookmarkEnd w:id="16"/>
    </w:p>
    <w:p w14:paraId="61C49EF9" w14:textId="77777777" w:rsidR="008924E0" w:rsidRPr="008C4867" w:rsidRDefault="008924E0" w:rsidP="008924E0">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We recruited 23 undergraduate students (age range 18-31, </w:t>
      </w:r>
      <w:r w:rsidRPr="008C4867">
        <w:rPr>
          <w:rFonts w:ascii="Times New Roman" w:hAnsi="Times New Roman" w:cs="Times New Roman"/>
          <w:i/>
          <w:iCs/>
        </w:rPr>
        <w:t>M</w:t>
      </w:r>
      <w:r w:rsidRPr="008C4867">
        <w:rPr>
          <w:rFonts w:ascii="Times New Roman" w:hAnsi="Times New Roman" w:cs="Times New Roman"/>
        </w:rPr>
        <w:t xml:space="preserve">=21.22) from the University of Tennessee-Knoxville for participation in this experiment in return for course credit. Data from six participants were eliminated from the analyses (two due to experience with similar task previously and four for inability to complete the study), resulting in 17 participants (15 female) in the final dataset. The tasks were reviewed and approved by the University of Tennessee Knoxville Institutional Review Board. All participants reported normal or corrected-to-normal vision and screened for color deficiency with an 8-plate Ishihara color deficiency test. </w:t>
      </w:r>
    </w:p>
    <w:p w14:paraId="4F13A101" w14:textId="77777777" w:rsidR="008924E0" w:rsidRPr="008C4867" w:rsidRDefault="008924E0" w:rsidP="008924E0">
      <w:pPr>
        <w:pStyle w:val="Heading3"/>
        <w:spacing w:before="0" w:after="0" w:line="480" w:lineRule="auto"/>
        <w:rPr>
          <w:rFonts w:ascii="Times New Roman" w:hAnsi="Times New Roman" w:cs="Times New Roman"/>
        </w:rPr>
      </w:pPr>
      <w:bookmarkStart w:id="17" w:name="_Toc69573469"/>
      <w:r w:rsidRPr="008C4867">
        <w:rPr>
          <w:rFonts w:ascii="Times New Roman" w:hAnsi="Times New Roman" w:cs="Times New Roman"/>
        </w:rPr>
        <w:t>Stimuli</w:t>
      </w:r>
      <w:bookmarkEnd w:id="17"/>
    </w:p>
    <w:p w14:paraId="3F148871"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At the beginning of each trial, participants fixated on a white fixation cross that subtended 1.5 degrees of visual angle (dva) at the center of the screen. The pre-saccadic stimulus appeared at a randomized value between 5 and 7 dva on the left or right side of the fixation cross. The pre-saccadic and post-saccadic stimuli were circles that subtended 0.5 dva presented on a gray (RGB: 148, 148, 148) background. The color of the pre-saccadic stimulus was randomly selected from 360 possible values distributed within HSV color space. The saturation and lightness were set at 0.7. The color of the post-saccadic circle in the change trials was changed 15° clockwise or counterclockwise from the pre-saccadic value. The color wheel used to collect the responses was an annulus with </w:t>
      </w:r>
      <w:r w:rsidRPr="008C4867">
        <w:rPr>
          <w:rFonts w:ascii="Times New Roman" w:hAnsi="Times New Roman" w:cs="Times New Roman"/>
        </w:rPr>
        <w:lastRenderedPageBreak/>
        <w:t>an outer radius of 7 dva and an inner radius of 3 dva. The orientation of the color wheel was randomly rotated in each trial to avoid response biases.</w:t>
      </w:r>
    </w:p>
    <w:p w14:paraId="11C3322B" w14:textId="77777777" w:rsidR="008924E0" w:rsidRPr="008C4867" w:rsidRDefault="008924E0" w:rsidP="008924E0">
      <w:pPr>
        <w:pStyle w:val="Heading3"/>
        <w:spacing w:before="0" w:after="0" w:line="480" w:lineRule="auto"/>
        <w:rPr>
          <w:rFonts w:ascii="Times New Roman" w:hAnsi="Times New Roman" w:cs="Times New Roman"/>
        </w:rPr>
      </w:pPr>
      <w:bookmarkStart w:id="18" w:name="_Toc69573470"/>
      <w:r w:rsidRPr="008C4867">
        <w:rPr>
          <w:rFonts w:ascii="Times New Roman" w:hAnsi="Times New Roman" w:cs="Times New Roman"/>
        </w:rPr>
        <w:t>Apparatus</w:t>
      </w:r>
      <w:bookmarkEnd w:id="18"/>
    </w:p>
    <w:p w14:paraId="08684A4E"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sz w:val="28"/>
          <w:szCs w:val="28"/>
        </w:rPr>
      </w:pPr>
      <w:r w:rsidRPr="008C4867">
        <w:rPr>
          <w:rFonts w:ascii="Times New Roman" w:hAnsi="Times New Roman" w:cs="Times New Roman"/>
        </w:rPr>
        <w:tab/>
        <w:t xml:space="preserve">The stimuli were all presented on a 120Hz ASUS VG248 LED monitor with 1920 ×1080 resolution. Participants were seated with a chin and forehead rest to ensure a distance of 94 cm from the screen. The position of the right eye was monitored using an Eyelink 1000 Plus eye tracker sampling at 1000Hz. The experiment was controlled with Experiment Builder. </w:t>
      </w:r>
    </w:p>
    <w:p w14:paraId="23F74C08" w14:textId="77777777" w:rsidR="008924E0" w:rsidRPr="008C4867" w:rsidRDefault="008924E0" w:rsidP="008924E0">
      <w:pPr>
        <w:pStyle w:val="Heading3"/>
        <w:spacing w:before="0" w:after="0" w:line="480" w:lineRule="auto"/>
        <w:rPr>
          <w:rFonts w:ascii="Times New Roman" w:hAnsi="Times New Roman" w:cs="Times New Roman"/>
        </w:rPr>
      </w:pPr>
      <w:bookmarkStart w:id="19" w:name="_Toc69573471"/>
      <w:r w:rsidRPr="008C4867">
        <w:rPr>
          <w:rFonts w:ascii="Times New Roman" w:hAnsi="Times New Roman" w:cs="Times New Roman"/>
        </w:rPr>
        <w:t>Procedure</w:t>
      </w:r>
      <w:bookmarkEnd w:id="19"/>
    </w:p>
    <w:p w14:paraId="14BA197F" w14:textId="6F95B09D" w:rsidR="008924E0" w:rsidRPr="008C4867" w:rsidRDefault="008924E0" w:rsidP="00753C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At the beginning of the experiment, the participant’s right eye was calibrated with a 9-point calibration. The calibration was repeated after every block and within a block if necessary. Each trial was initiated by the experimenter once participants had fixated within 1.5 dva from the center for at least 200 ms to enable drift correction. At the beginning of each trial, participants were instructed to fixate on a cross in the center of the screen until the pre-saccadic stimulus appeared. The pre-saccadic stimulus remained on the screen until the eye crossed a 1.5 dva boundary, and  post-saccadic stimulus appeared once the eye crossed a 1.5 dva radius boundary around the post-saccadic stimulus. Waiting to present the post-saccadic stimulus until the boundary cross ensured that the post-saccadic stimulus would not be incorrectly triggered if participants made an erroneous eye movement or an anticipatory saccade. </w:t>
      </w:r>
    </w:p>
    <w:p w14:paraId="4270D123" w14:textId="04BAA0B2"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Participants were instructed to execute a saccade to the pre-saccadic stimulus as soon as they detect the pre-saccadic stimulus. In the blank trials, a 250 ms blank screen </w:t>
      </w:r>
      <w:r w:rsidRPr="008C4867">
        <w:rPr>
          <w:rFonts w:ascii="Times New Roman" w:hAnsi="Times New Roman" w:cs="Times New Roman"/>
        </w:rPr>
        <w:lastRenderedPageBreak/>
        <w:t>was presented during the saccade before the presentation of the post-saccadic stimulus as a manipulation of visual stability (Deubel et al., 1996). The eye would then land on the post-saccadic stimulus, which was either a different color (color change trials) or the same color (no change trials). The blank trials and color change trials only occur in the transsaccadic block. The post-saccadic stimulus was then presented for the same amount of time as the pre-saccadic stimulus in transsaccadic block and the PreOnly block. In the PostOnly block, the post-saccadic stimulus was presented for the average duration of the previous four trials to avoid duration that were too short due to shorter latencies. In the PreOnly block, the pre-saccadic stimulus was assigned a color, and the post-saccadic stimulus was a hollow circle to provide a landing point for the eyes. In the PostOnly block, the pre-saccadic stimulus was a hollow circle to provide a target location, and the post-saccadic stimulus was assigned a color. Colors for these blocks were pulled from a list of colors presented in the transsaccadic blocks change trials.</w:t>
      </w:r>
    </w:p>
    <w:p w14:paraId="7D1407CC" w14:textId="3113A20F"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 xml:space="preserve"> </w:t>
      </w:r>
      <w:r w:rsidRPr="008C4867">
        <w:rPr>
          <w:rFonts w:ascii="Times New Roman" w:hAnsi="Times New Roman" w:cs="Times New Roman"/>
        </w:rPr>
        <w:tab/>
        <w:t>At the end of each trial, participants were asked to report the color that they saw by using their mouse to select a location on the color wheel (See Figure 3.1).  In contrast to Tas et al. (2021), participants were not told to report specifically the pre-saccadic or post-saccadic stimulus to avoid them explicitly knowing that the colors changed in some trials. Instead, they were asked only to report the color that they saw. After the experiment, they were asked whether they detected anything (whatever was written on the paper). This provided an opportunity to see if the participants noticed that the colors changed.</w:t>
      </w:r>
    </w:p>
    <w:p w14:paraId="047C2662"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lastRenderedPageBreak/>
        <w:tab/>
        <w:t xml:space="preserve">Participants completed three blocks: transsaccadic block, pre-saccadic-only block (PreOnly), and post-saccadic only block (PostOnly). All participants started with the transsaccadic block. The order of PreOnly and PostOnly blocks was counterbalanced across participants. The trials were split into three blocks. In the first block, there were 8 practice trials and 300 experimental trials. In the final two blocks, there were 4 practice trials and 150 experimental trials per block. The entire experiment took an hour to complete, and incomplete datasets were removed from analyses. </w:t>
      </w:r>
    </w:p>
    <w:p w14:paraId="1E93E7C1" w14:textId="4918E429" w:rsidR="002413C9" w:rsidRPr="008C4867" w:rsidRDefault="002413C9" w:rsidP="002413C9">
      <w:pPr>
        <w:pStyle w:val="Heading2"/>
        <w:spacing w:before="0" w:after="0"/>
        <w:rPr>
          <w:rFonts w:ascii="Times New Roman" w:hAnsi="Times New Roman" w:cs="Times New Roman"/>
        </w:rPr>
      </w:pPr>
      <w:r w:rsidRPr="008C4867">
        <w:rPr>
          <w:rFonts w:ascii="Times New Roman" w:hAnsi="Times New Roman" w:cs="Times New Roman"/>
        </w:rPr>
        <w:t>Results</w:t>
      </w:r>
    </w:p>
    <w:p w14:paraId="2B2E9169" w14:textId="7CE1B98F" w:rsidR="002413C9" w:rsidRPr="008C4867" w:rsidRDefault="002413C9" w:rsidP="002413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Saccades in this data set were determined by the eyes crossing a 1.5 dva boundary around the fixation cross. When participants made an erroneous eye movement, an error message was displayed notifying the participant that the eye movement was incorrect, and the trial was aborted and repeated. Trials with saccade latencies that exceeded 2 standard deviations above the average or less than 100ms were removed. </w:t>
      </w:r>
    </w:p>
    <w:p w14:paraId="20D7A36E" w14:textId="77777777" w:rsidR="006848DD" w:rsidRPr="008C4867" w:rsidRDefault="006848DD" w:rsidP="006848DD">
      <w:pPr>
        <w:pStyle w:val="Heading3"/>
        <w:spacing w:before="0" w:after="0" w:line="480" w:lineRule="auto"/>
        <w:rPr>
          <w:rFonts w:ascii="Times New Roman" w:hAnsi="Times New Roman" w:cs="Times New Roman"/>
        </w:rPr>
      </w:pPr>
      <w:r w:rsidRPr="008C4867">
        <w:rPr>
          <w:rFonts w:ascii="Times New Roman" w:hAnsi="Times New Roman" w:cs="Times New Roman"/>
        </w:rPr>
        <w:t>Feature Integration</w:t>
      </w:r>
    </w:p>
    <w:p w14:paraId="0BA57739" w14:textId="513448B9" w:rsidR="006848DD" w:rsidRPr="008C4867" w:rsidRDefault="006848DD" w:rsidP="006848D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The data from the change trials of the transsaccadic block were fit to probabilistic mixture models to test if the data were better fit to a single gaussian model or a dual gaussian model. More specifically, the single gaussian model represents a model with one distribution of responses with mean, standard deviation, and probability of guessing set as free parameters. The dual gaussian model represents a model with two distributions with means fixed at the pre-saccadic value (0°) and the post-saccadic value (15°), while the standard deviation, probability of guessing, and the probability of reporting a distractor value were free parameters. In the following analyses, the target was defined as the </w:t>
      </w:r>
    </w:p>
    <w:p w14:paraId="0AE3AD76" w14:textId="2D96C592"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noProof/>
        </w:rPr>
        <w:lastRenderedPageBreak/>
        <w:drawing>
          <wp:inline distT="0" distB="0" distL="0" distR="0" wp14:anchorId="5C99A9AC" wp14:editId="0E0F0507">
            <wp:extent cx="5619750" cy="28793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0626" cy="2889999"/>
                    </a:xfrm>
                    <a:prstGeom prst="rect">
                      <a:avLst/>
                    </a:prstGeom>
                    <a:noFill/>
                  </pic:spPr>
                </pic:pic>
              </a:graphicData>
            </a:graphic>
          </wp:inline>
        </w:drawing>
      </w:r>
    </w:p>
    <w:p w14:paraId="19CD3BB6" w14:textId="77777777" w:rsidR="002413C9" w:rsidRPr="008C4867" w:rsidRDefault="002413C9" w:rsidP="002413C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8C4867">
        <w:rPr>
          <w:rFonts w:ascii="Times New Roman" w:hAnsi="Times New Roman" w:cs="Times New Roman"/>
        </w:rPr>
        <w:t>Figure 3.1. Task. Types of trial in each block. The representation of the eye in the diagram indicates where the eye is during each step of the trial. The left block is an example of a blank trial and a no blank trial in the transsaccadic block. The blank trials included a 250ms blank screen between the pre-saccadic stimulus and the post-saccadic stimulus. In the change trials, the colors shifted by ±15° on the color wheel. The right two blocks show an example trial in the PreOnly block and PostOnly block, respectively.</w:t>
      </w:r>
    </w:p>
    <w:p w14:paraId="5B8236B2" w14:textId="3A1F652E" w:rsidR="008924E0" w:rsidRPr="008C4867" w:rsidRDefault="008924E0" w:rsidP="008924E0">
      <w:pPr>
        <w:spacing w:line="480" w:lineRule="auto"/>
        <w:rPr>
          <w:rFonts w:ascii="Times New Roman" w:hAnsi="Times New Roman" w:cs="Times New Roman"/>
        </w:rPr>
      </w:pPr>
      <w:r w:rsidRPr="008C4867">
        <w:rPr>
          <w:rFonts w:ascii="Times New Roman" w:hAnsi="Times New Roman" w:cs="Times New Roman"/>
        </w:rPr>
        <w:br w:type="page"/>
      </w:r>
    </w:p>
    <w:p w14:paraId="779300A9" w14:textId="0210F039"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lastRenderedPageBreak/>
        <w:t xml:space="preserve">pre-saccadic and the distractor was defined as the post-saccadic value. We tested the no blank and the blank trials separately. </w:t>
      </w:r>
    </w:p>
    <w:p w14:paraId="5D8D5146"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Figure 3.2 shows the distribution of responses for the transsaccadic color change trials. Data from the blank trials were too close among the two models (</w:t>
      </w:r>
      <w:r w:rsidRPr="008C4867">
        <w:rPr>
          <w:rFonts w:ascii="Times New Roman" w:hAnsi="Times New Roman" w:cs="Times New Roman"/>
          <w:i/>
          <w:iCs/>
        </w:rPr>
        <w:t>ΔBIC</w:t>
      </w:r>
      <w:r w:rsidRPr="008C4867">
        <w:rPr>
          <w:rFonts w:ascii="Times New Roman" w:hAnsi="Times New Roman" w:cs="Times New Roman"/>
        </w:rPr>
        <w:t xml:space="preserve">=0.03, </w:t>
      </w:r>
      <w:r w:rsidRPr="008C4867">
        <w:rPr>
          <w:rFonts w:ascii="Times New Roman" w:hAnsi="Times New Roman" w:cs="Times New Roman"/>
          <w:i/>
          <w:iCs/>
        </w:rPr>
        <w:t>BF</w:t>
      </w:r>
      <w:r w:rsidRPr="008C4867">
        <w:rPr>
          <w:rFonts w:ascii="Times New Roman" w:hAnsi="Times New Roman" w:cs="Times New Roman"/>
          <w:i/>
          <w:iCs/>
          <w:vertAlign w:val="subscript"/>
        </w:rPr>
        <w:t>21</w:t>
      </w:r>
      <w:r w:rsidRPr="008C4867">
        <w:rPr>
          <w:rFonts w:ascii="Times New Roman" w:hAnsi="Times New Roman" w:cs="Times New Roman"/>
        </w:rPr>
        <w:t>=1.017) to be conclusively described as fit to the single gaussian model (</w:t>
      </w:r>
      <w:r w:rsidRPr="008C4867">
        <w:rPr>
          <w:rFonts w:ascii="Times New Roman" w:hAnsi="Times New Roman" w:cs="Times New Roman"/>
          <w:i/>
          <w:iCs/>
        </w:rPr>
        <w:t>M</w:t>
      </w:r>
      <w:r w:rsidRPr="008C4867">
        <w:rPr>
          <w:rFonts w:ascii="Times New Roman" w:hAnsi="Times New Roman" w:cs="Times New Roman"/>
        </w:rPr>
        <w:t xml:space="preserve">=9.28, </w:t>
      </w:r>
      <w:r w:rsidRPr="008C4867">
        <w:rPr>
          <w:rFonts w:ascii="Times New Roman" w:hAnsi="Times New Roman" w:cs="Times New Roman"/>
          <w:i/>
          <w:iCs/>
        </w:rPr>
        <w:t>SD</w:t>
      </w:r>
      <w:r w:rsidRPr="008C4867">
        <w:rPr>
          <w:rFonts w:ascii="Times New Roman" w:hAnsi="Times New Roman" w:cs="Times New Roman"/>
        </w:rPr>
        <w:t xml:space="preserve">=22.86, </w:t>
      </w:r>
      <w:r w:rsidRPr="008C4867">
        <w:rPr>
          <w:rFonts w:ascii="Times New Roman" w:hAnsi="Times New Roman" w:cs="Times New Roman"/>
          <w:i/>
          <w:iCs/>
        </w:rPr>
        <w:t>BIC</w:t>
      </w:r>
      <w:r w:rsidRPr="008C4867">
        <w:rPr>
          <w:rFonts w:ascii="Times New Roman" w:hAnsi="Times New Roman" w:cs="Times New Roman"/>
        </w:rPr>
        <w:t>=635.74) or the dual gaussian model (</w:t>
      </w:r>
      <w:r w:rsidRPr="008C4867">
        <w:rPr>
          <w:rFonts w:ascii="Times New Roman" w:hAnsi="Times New Roman" w:cs="Times New Roman"/>
          <w:i/>
          <w:iCs/>
        </w:rPr>
        <w:t>SD</w:t>
      </w:r>
      <w:r w:rsidRPr="008C4867">
        <w:rPr>
          <w:rFonts w:ascii="Times New Roman" w:hAnsi="Times New Roman" w:cs="Times New Roman"/>
        </w:rPr>
        <w:t xml:space="preserve">=21.86, </w:t>
      </w:r>
      <w:r w:rsidRPr="008C4867">
        <w:rPr>
          <w:rFonts w:ascii="Times New Roman" w:hAnsi="Times New Roman" w:cs="Times New Roman"/>
          <w:i/>
          <w:iCs/>
        </w:rPr>
        <w:t>BIC</w:t>
      </w:r>
      <w:r w:rsidRPr="008C4867">
        <w:rPr>
          <w:rFonts w:ascii="Times New Roman" w:hAnsi="Times New Roman" w:cs="Times New Roman"/>
        </w:rPr>
        <w:t>=635.71). Similarly, the data were also too close in the no blank trials (</w:t>
      </w:r>
      <w:r w:rsidRPr="008C4867">
        <w:rPr>
          <w:rFonts w:ascii="Times New Roman" w:hAnsi="Times New Roman" w:cs="Times New Roman"/>
          <w:i/>
          <w:iCs/>
        </w:rPr>
        <w:t>ΔBIC</w:t>
      </w:r>
      <w:r w:rsidRPr="008C4867">
        <w:rPr>
          <w:rFonts w:ascii="Times New Roman" w:hAnsi="Times New Roman" w:cs="Times New Roman"/>
        </w:rPr>
        <w:t xml:space="preserve">=-0.16, </w:t>
      </w:r>
      <w:r w:rsidRPr="008C4867">
        <w:rPr>
          <w:rFonts w:ascii="Times New Roman" w:hAnsi="Times New Roman" w:cs="Times New Roman"/>
          <w:i/>
          <w:iCs/>
        </w:rPr>
        <w:t>BF</w:t>
      </w:r>
      <w:r w:rsidRPr="008C4867">
        <w:rPr>
          <w:rFonts w:ascii="Times New Roman" w:hAnsi="Times New Roman" w:cs="Times New Roman"/>
          <w:i/>
          <w:iCs/>
          <w:vertAlign w:val="subscript"/>
        </w:rPr>
        <w:t>21</w:t>
      </w:r>
      <w:r w:rsidRPr="008C4867">
        <w:rPr>
          <w:rFonts w:ascii="Times New Roman" w:hAnsi="Times New Roman" w:cs="Times New Roman"/>
        </w:rPr>
        <w:t>=0.924) to establish a conclusive fit to the single gaussian model</w:t>
      </w:r>
      <w:r w:rsidRPr="008C4867">
        <w:rPr>
          <w:rFonts w:ascii="Times New Roman" w:hAnsi="Times New Roman" w:cs="Times New Roman"/>
          <w:i/>
          <w:iCs/>
        </w:rPr>
        <w:t xml:space="preserve"> </w:t>
      </w:r>
      <w:r w:rsidRPr="008C4867">
        <w:rPr>
          <w:rFonts w:ascii="Times New Roman" w:hAnsi="Times New Roman" w:cs="Times New Roman"/>
        </w:rPr>
        <w:t>(</w:t>
      </w:r>
      <w:r w:rsidRPr="008C4867">
        <w:rPr>
          <w:rFonts w:ascii="Times New Roman" w:hAnsi="Times New Roman" w:cs="Times New Roman"/>
          <w:i/>
          <w:iCs/>
        </w:rPr>
        <w:t>M</w:t>
      </w:r>
      <w:r w:rsidRPr="008C4867">
        <w:rPr>
          <w:rFonts w:ascii="Times New Roman" w:hAnsi="Times New Roman" w:cs="Times New Roman"/>
        </w:rPr>
        <w:t>=12.55,</w:t>
      </w:r>
      <w:r w:rsidRPr="008C4867">
        <w:rPr>
          <w:rFonts w:ascii="Times New Roman" w:hAnsi="Times New Roman" w:cs="Times New Roman"/>
          <w:i/>
          <w:iCs/>
        </w:rPr>
        <w:t xml:space="preserve"> SD</w:t>
      </w:r>
      <w:r w:rsidRPr="008C4867">
        <w:rPr>
          <w:rFonts w:ascii="Times New Roman" w:hAnsi="Times New Roman" w:cs="Times New Roman"/>
        </w:rPr>
        <w:t xml:space="preserve">=21.97, </w:t>
      </w:r>
      <w:r w:rsidRPr="008C4867">
        <w:rPr>
          <w:rFonts w:ascii="Times New Roman" w:hAnsi="Times New Roman" w:cs="Times New Roman"/>
          <w:i/>
          <w:iCs/>
        </w:rPr>
        <w:t>BIC</w:t>
      </w:r>
      <w:r w:rsidRPr="008C4867">
        <w:rPr>
          <w:rFonts w:ascii="Times New Roman" w:hAnsi="Times New Roman" w:cs="Times New Roman"/>
        </w:rPr>
        <w:t>=635.74) or the dual gaussian model (</w:t>
      </w:r>
      <w:r w:rsidRPr="008C4867">
        <w:rPr>
          <w:rFonts w:ascii="Times New Roman" w:hAnsi="Times New Roman" w:cs="Times New Roman"/>
          <w:i/>
          <w:iCs/>
        </w:rPr>
        <w:t>SD</w:t>
      </w:r>
      <w:r w:rsidRPr="008C4867">
        <w:rPr>
          <w:rFonts w:ascii="Times New Roman" w:hAnsi="Times New Roman" w:cs="Times New Roman"/>
        </w:rPr>
        <w:t xml:space="preserve">=21.35, </w:t>
      </w:r>
      <w:r w:rsidRPr="008C4867">
        <w:rPr>
          <w:rFonts w:ascii="Times New Roman" w:hAnsi="Times New Roman" w:cs="Times New Roman"/>
          <w:i/>
          <w:iCs/>
        </w:rPr>
        <w:t>BIC</w:t>
      </w:r>
      <w:r w:rsidRPr="008C4867">
        <w:rPr>
          <w:rFonts w:ascii="Times New Roman" w:hAnsi="Times New Roman" w:cs="Times New Roman"/>
        </w:rPr>
        <w:t xml:space="preserve">=630.53). For a visual representation, please see Table 3.1. Because the data were not strongly fit to the bimodal model, the effect of overwriting cannot be meaningfully analyzed. Such analyses rely on a comparison of the probabilities within a bimodal model. </w:t>
      </w:r>
    </w:p>
    <w:p w14:paraId="1173CA44" w14:textId="77777777" w:rsidR="008924E0" w:rsidRPr="008C4867" w:rsidRDefault="008924E0" w:rsidP="008924E0">
      <w:pPr>
        <w:pStyle w:val="Heading3"/>
        <w:spacing w:before="0" w:after="0" w:line="480" w:lineRule="auto"/>
        <w:rPr>
          <w:rFonts w:ascii="Times New Roman" w:hAnsi="Times New Roman" w:cs="Times New Roman"/>
        </w:rPr>
      </w:pPr>
      <w:bookmarkStart w:id="20" w:name="_Toc69573474"/>
      <w:r w:rsidRPr="008C4867">
        <w:rPr>
          <w:rFonts w:ascii="Times New Roman" w:hAnsi="Times New Roman" w:cs="Times New Roman"/>
        </w:rPr>
        <w:t>Overwriting</w:t>
      </w:r>
      <w:bookmarkEnd w:id="20"/>
    </w:p>
    <w:p w14:paraId="22235265"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Because the data were not strongly fit to the bimodal model, the effect of overwriting cannot be meaningfully analyzed. Such analyses rely on a comparison of the probabilities of response among the two distribution values (target and distractor) within a bimodal model. </w:t>
      </w:r>
    </w:p>
    <w:p w14:paraId="401CAF4E" w14:textId="77777777" w:rsidR="008924E0" w:rsidRPr="008C4867" w:rsidRDefault="008924E0" w:rsidP="008924E0">
      <w:pPr>
        <w:pStyle w:val="Heading3"/>
        <w:spacing w:before="0" w:after="0" w:line="480" w:lineRule="auto"/>
        <w:rPr>
          <w:rFonts w:ascii="Times New Roman" w:hAnsi="Times New Roman" w:cs="Times New Roman"/>
        </w:rPr>
      </w:pPr>
      <w:bookmarkStart w:id="21" w:name="_Toc69573475"/>
      <w:r w:rsidRPr="008C4867">
        <w:rPr>
          <w:rFonts w:ascii="Times New Roman" w:hAnsi="Times New Roman" w:cs="Times New Roman"/>
        </w:rPr>
        <w:t>Cue Integration</w:t>
      </w:r>
      <w:bookmarkEnd w:id="21"/>
    </w:p>
    <w:p w14:paraId="277E092C"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To test cue integration, we compared the standard deviations of the Transsaccadic no blank no change trials (</w:t>
      </w:r>
      <w:r w:rsidRPr="008C4867">
        <w:rPr>
          <w:rFonts w:ascii="Times New Roman" w:hAnsi="Times New Roman" w:cs="Times New Roman"/>
          <w:i/>
          <w:iCs/>
        </w:rPr>
        <w:t>M</w:t>
      </w:r>
      <w:r w:rsidRPr="008C4867">
        <w:rPr>
          <w:rFonts w:ascii="Times New Roman" w:hAnsi="Times New Roman" w:cs="Times New Roman"/>
        </w:rPr>
        <w:t>=17.48) to the best of the pre-saccadic-only trials and post-saccadic-only trials (</w:t>
      </w:r>
      <w:r w:rsidRPr="008C4867">
        <w:rPr>
          <w:rFonts w:ascii="Times New Roman" w:hAnsi="Times New Roman" w:cs="Times New Roman"/>
          <w:i/>
          <w:iCs/>
        </w:rPr>
        <w:t>M</w:t>
      </w:r>
      <w:r w:rsidRPr="008C4867">
        <w:rPr>
          <w:rFonts w:ascii="Times New Roman" w:hAnsi="Times New Roman" w:cs="Times New Roman"/>
        </w:rPr>
        <w:t xml:space="preserve">=17.57), and we did not find a significant difference, </w:t>
      </w:r>
      <w:r w:rsidRPr="008C4867">
        <w:rPr>
          <w:rFonts w:ascii="Times New Roman" w:hAnsi="Times New Roman" w:cs="Times New Roman"/>
          <w:i/>
          <w:iCs/>
        </w:rPr>
        <w:t>t</w:t>
      </w:r>
      <w:r w:rsidRPr="008C4867">
        <w:rPr>
          <w:rFonts w:ascii="Times New Roman" w:hAnsi="Times New Roman" w:cs="Times New Roman"/>
        </w:rPr>
        <w:t xml:space="preserve">(16)=0.19, </w:t>
      </w:r>
      <w:r w:rsidRPr="008C4867">
        <w:rPr>
          <w:rFonts w:ascii="Times New Roman" w:hAnsi="Times New Roman" w:cs="Times New Roman"/>
          <w:i/>
          <w:iCs/>
        </w:rPr>
        <w:t>p</w:t>
      </w:r>
      <w:r w:rsidRPr="008C4867">
        <w:rPr>
          <w:rFonts w:ascii="Times New Roman" w:hAnsi="Times New Roman" w:cs="Times New Roman"/>
        </w:rPr>
        <w:t>=.847.</w:t>
      </w:r>
    </w:p>
    <w:p w14:paraId="29329B8D" w14:textId="77777777" w:rsidR="008924E0" w:rsidRPr="008C4867" w:rsidRDefault="008924E0" w:rsidP="008924E0">
      <w:pPr>
        <w:pStyle w:val="Heading3"/>
        <w:spacing w:before="0" w:after="0" w:line="480" w:lineRule="auto"/>
        <w:rPr>
          <w:rFonts w:ascii="Times New Roman" w:hAnsi="Times New Roman" w:cs="Times New Roman"/>
        </w:rPr>
      </w:pPr>
      <w:bookmarkStart w:id="22" w:name="_Toc69573476"/>
      <w:r w:rsidRPr="008C4867">
        <w:rPr>
          <w:rFonts w:ascii="Times New Roman" w:hAnsi="Times New Roman" w:cs="Times New Roman"/>
        </w:rPr>
        <w:lastRenderedPageBreak/>
        <w:t>Change Detection</w:t>
      </w:r>
      <w:bookmarkEnd w:id="22"/>
    </w:p>
    <w:p w14:paraId="15863D67" w14:textId="03219900"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Of the 17 participants, 14 participants reported noticing that the color changed during the task. Participants reported this in a self-report measure at the end of the task, where they were asked to note anything that they noticed about the study in general. Some also expressed it verbally at some point during the task. </w:t>
      </w:r>
    </w:p>
    <w:p w14:paraId="3AF74B53" w14:textId="3C117D15" w:rsidR="00CA301D" w:rsidRPr="008C4867" w:rsidRDefault="00CA301D"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5F85584" w14:textId="22F555FD" w:rsidR="00CA301D" w:rsidRPr="008C4867" w:rsidRDefault="00CA301D"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38F084C1" w14:textId="7E21C2A4" w:rsidR="00CA301D" w:rsidRPr="008C4867" w:rsidRDefault="00CA301D"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7035084F" w14:textId="3D8CACEB" w:rsidR="00CA301D" w:rsidRPr="008C4867" w:rsidRDefault="00CA301D"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0231A758" w14:textId="77777777" w:rsidR="00CA301D" w:rsidRPr="008C4867" w:rsidRDefault="00CA301D"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59EE4F57"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74AF8EDD" w14:textId="77777777" w:rsidR="00753CD3" w:rsidRPr="008C4867" w:rsidRDefault="00753CD3"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6669BEB" w14:textId="0E08A0EF"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noProof/>
        </w:rPr>
        <w:lastRenderedPageBreak/>
        <w:drawing>
          <wp:inline distT="0" distB="0" distL="0" distR="0" wp14:anchorId="71409357" wp14:editId="55615A7A">
            <wp:extent cx="5356991" cy="3839798"/>
            <wp:effectExtent l="19050" t="19050" r="15240" b="27940"/>
            <wp:docPr id="550" name="Picture 549">
              <a:extLst xmlns:a="http://schemas.openxmlformats.org/drawingml/2006/main">
                <a:ext uri="{FF2B5EF4-FFF2-40B4-BE49-F238E27FC236}">
                  <a16:creationId xmlns:a16="http://schemas.microsoft.com/office/drawing/2014/main" id="{08A18760-B92B-4DE8-AC0D-30DB56F956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Picture 549">
                      <a:extLst>
                        <a:ext uri="{FF2B5EF4-FFF2-40B4-BE49-F238E27FC236}">
                          <a16:creationId xmlns:a16="http://schemas.microsoft.com/office/drawing/2014/main" id="{08A18760-B92B-4DE8-AC0D-30DB56F95682}"/>
                        </a:ext>
                      </a:extLst>
                    </pic:cNvPr>
                    <pic:cNvPicPr>
                      <a:picLocks noChangeAspect="1"/>
                    </pic:cNvPicPr>
                  </pic:nvPicPr>
                  <pic:blipFill>
                    <a:blip r:embed="rId11"/>
                    <a:stretch>
                      <a:fillRect/>
                    </a:stretch>
                  </pic:blipFill>
                  <pic:spPr>
                    <a:xfrm>
                      <a:off x="0" y="0"/>
                      <a:ext cx="5391549" cy="3864569"/>
                    </a:xfrm>
                    <a:prstGeom prst="rect">
                      <a:avLst/>
                    </a:prstGeom>
                    <a:ln>
                      <a:solidFill>
                        <a:schemeClr val="bg1"/>
                      </a:solidFill>
                    </a:ln>
                    <a:effectLst/>
                  </pic:spPr>
                </pic:pic>
              </a:graphicData>
            </a:graphic>
          </wp:inline>
        </w:drawing>
      </w:r>
    </w:p>
    <w:p w14:paraId="5AE19391" w14:textId="77777777" w:rsidR="00140E1E" w:rsidRPr="008C4867" w:rsidRDefault="00140E1E" w:rsidP="00140E1E">
      <w:pPr>
        <w:rPr>
          <w:rFonts w:ascii="Times New Roman" w:hAnsi="Times New Roman" w:cs="Times New Roman"/>
        </w:rPr>
      </w:pPr>
      <w:r w:rsidRPr="008C4867">
        <w:rPr>
          <w:rFonts w:ascii="Times New Roman" w:hAnsi="Times New Roman" w:cs="Times New Roman"/>
        </w:rPr>
        <w:t xml:space="preserve">Figure 3.2. The above figure illustrates the distribution of responses across the different color values with the orange line representing responses in the blank condition and the blue line representing responses in the no blank condition. </w:t>
      </w:r>
    </w:p>
    <w:p w14:paraId="43DB9B4C" w14:textId="77777777" w:rsidR="00140E1E" w:rsidRPr="008C4867" w:rsidRDefault="00140E1E" w:rsidP="00753CD3">
      <w:pPr>
        <w:rPr>
          <w:rFonts w:ascii="Times New Roman" w:hAnsi="Times New Roman" w:cs="Times New Roman"/>
        </w:rPr>
      </w:pPr>
    </w:p>
    <w:p w14:paraId="67BA3A42" w14:textId="77777777" w:rsidR="00CA301D" w:rsidRPr="008C4867" w:rsidRDefault="00CA301D" w:rsidP="00753CD3">
      <w:pPr>
        <w:rPr>
          <w:rFonts w:ascii="Times New Roman" w:hAnsi="Times New Roman" w:cs="Times New Roman"/>
        </w:rPr>
      </w:pPr>
    </w:p>
    <w:p w14:paraId="0C2F156C" w14:textId="77777777" w:rsidR="00CA301D" w:rsidRPr="008C4867" w:rsidRDefault="00CA301D" w:rsidP="00753CD3">
      <w:pPr>
        <w:rPr>
          <w:rFonts w:ascii="Times New Roman" w:hAnsi="Times New Roman" w:cs="Times New Roman"/>
        </w:rPr>
      </w:pPr>
    </w:p>
    <w:p w14:paraId="24950867" w14:textId="6E59F594" w:rsidR="008924E0" w:rsidRPr="008C4867" w:rsidRDefault="00753CD3" w:rsidP="00753CD3">
      <w:pPr>
        <w:rPr>
          <w:rFonts w:ascii="Times New Roman" w:hAnsi="Times New Roman" w:cs="Times New Roman"/>
        </w:rPr>
      </w:pPr>
      <w:r w:rsidRPr="008C4867">
        <w:rPr>
          <w:rFonts w:ascii="Times New Roman" w:hAnsi="Times New Roman" w:cs="Times New Roman"/>
        </w:rPr>
        <w:t xml:space="preserve">Table 3.1. The table above shows the values of the no blank and the blank condition for the two models used to test the data: a single gaussian model (left) and a dual gaussian model (right). </w:t>
      </w:r>
    </w:p>
    <w:p w14:paraId="04701AA2" w14:textId="097C75BC" w:rsidR="008924E0" w:rsidRPr="008C4867" w:rsidRDefault="008924E0" w:rsidP="008924E0">
      <w:pPr>
        <w:spacing w:line="480" w:lineRule="auto"/>
        <w:rPr>
          <w:rFonts w:ascii="Times New Roman" w:hAnsi="Times New Roman" w:cs="Times New Roman"/>
        </w:rPr>
      </w:pPr>
      <w:r w:rsidRPr="008C4867">
        <w:rPr>
          <w:rFonts w:ascii="Times New Roman" w:hAnsi="Times New Roman" w:cs="Times New Roman"/>
          <w:noProof/>
        </w:rPr>
        <w:drawing>
          <wp:inline distT="0" distB="0" distL="0" distR="0" wp14:anchorId="12D8ED7D" wp14:editId="7EFACD24">
            <wp:extent cx="5572125" cy="631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06988" cy="715151"/>
                    </a:xfrm>
                    <a:prstGeom prst="rect">
                      <a:avLst/>
                    </a:prstGeom>
                    <a:noFill/>
                    <a:ln>
                      <a:noFill/>
                    </a:ln>
                  </pic:spPr>
                </pic:pic>
              </a:graphicData>
            </a:graphic>
          </wp:inline>
        </w:drawing>
      </w:r>
    </w:p>
    <w:p w14:paraId="06BD6D84" w14:textId="2C1F079E" w:rsidR="00753CD3" w:rsidRPr="008C4867" w:rsidRDefault="00753CD3">
      <w:pPr>
        <w:spacing w:after="160" w:line="259" w:lineRule="auto"/>
        <w:rPr>
          <w:rFonts w:ascii="Times New Roman" w:hAnsi="Times New Roman" w:cs="Times New Roman"/>
        </w:rPr>
      </w:pPr>
      <w:r w:rsidRPr="008C4867">
        <w:rPr>
          <w:rFonts w:ascii="Times New Roman" w:hAnsi="Times New Roman" w:cs="Times New Roman"/>
        </w:rPr>
        <w:br w:type="page"/>
      </w:r>
    </w:p>
    <w:p w14:paraId="197608B7" w14:textId="77777777" w:rsidR="008924E0" w:rsidRPr="008C4867" w:rsidRDefault="008924E0" w:rsidP="008924E0">
      <w:pPr>
        <w:pStyle w:val="Heading1"/>
        <w:spacing w:before="0" w:after="0"/>
        <w:rPr>
          <w:rFonts w:ascii="Times New Roman" w:hAnsi="Times New Roman" w:cs="Times New Roman"/>
        </w:rPr>
      </w:pPr>
      <w:r w:rsidRPr="008C4867">
        <w:rPr>
          <w:rFonts w:ascii="Times New Roman" w:hAnsi="Times New Roman" w:cs="Times New Roman"/>
        </w:rPr>
        <w:lastRenderedPageBreak/>
        <w:br/>
      </w:r>
      <w:bookmarkStart w:id="23" w:name="_Toc69573477"/>
      <w:r w:rsidRPr="008C4867">
        <w:rPr>
          <w:rFonts w:ascii="Times New Roman" w:hAnsi="Times New Roman" w:cs="Times New Roman"/>
        </w:rPr>
        <w:t>Experiment 2</w:t>
      </w:r>
      <w:bookmarkEnd w:id="23"/>
    </w:p>
    <w:p w14:paraId="603924A7" w14:textId="731878E3"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The results of Experiment 1 expanded on the previous study (Tas et al., 2021) by including a way to examine cue integration effects with the inclusion of a PreOnly block and a PostOnly block. Experiment 1 selected the color values for each of these blocks from the colors previously presented in the transsaccadic change trials. Experiment 2 is identical to the methods of Experiment 1, but colors were selected from the transsaccadic no-change trials for presentation in the pre-saccadic-only and post-saccadic-only trials. </w:t>
      </w:r>
    </w:p>
    <w:p w14:paraId="0B400226" w14:textId="77777777" w:rsidR="008924E0" w:rsidRPr="008C4867" w:rsidRDefault="008924E0" w:rsidP="008924E0">
      <w:pPr>
        <w:pStyle w:val="Heading2"/>
        <w:spacing w:before="0" w:after="0"/>
        <w:rPr>
          <w:rFonts w:ascii="Times New Roman" w:hAnsi="Times New Roman" w:cs="Times New Roman"/>
        </w:rPr>
      </w:pPr>
      <w:bookmarkStart w:id="24" w:name="_Toc69573478"/>
      <w:r w:rsidRPr="008C4867">
        <w:rPr>
          <w:rFonts w:ascii="Times New Roman" w:hAnsi="Times New Roman" w:cs="Times New Roman"/>
        </w:rPr>
        <w:t>Materials and Methods</w:t>
      </w:r>
      <w:bookmarkEnd w:id="24"/>
    </w:p>
    <w:p w14:paraId="319F195D" w14:textId="77777777" w:rsidR="008924E0" w:rsidRPr="008C4867" w:rsidRDefault="008924E0" w:rsidP="008924E0">
      <w:pPr>
        <w:pStyle w:val="Heading3"/>
        <w:spacing w:before="0" w:after="0" w:line="480" w:lineRule="auto"/>
        <w:rPr>
          <w:rFonts w:ascii="Times New Roman" w:hAnsi="Times New Roman" w:cs="Times New Roman"/>
        </w:rPr>
      </w:pPr>
      <w:bookmarkStart w:id="25" w:name="_Toc69573479"/>
      <w:r w:rsidRPr="008C4867">
        <w:rPr>
          <w:rFonts w:ascii="Times New Roman" w:hAnsi="Times New Roman" w:cs="Times New Roman"/>
        </w:rPr>
        <w:t>Participants</w:t>
      </w:r>
      <w:bookmarkEnd w:id="25"/>
    </w:p>
    <w:p w14:paraId="3F9CC90C" w14:textId="77777777" w:rsidR="008924E0" w:rsidRPr="008C4867" w:rsidRDefault="008924E0" w:rsidP="008924E0">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We recruited 31 undergraduate students between 18-30 years of age from the University of Tennessee-Knoxville for participation in this experiment in return for course credit. Of these participants, 5 were removed, such that only the data of 26 (14 females) were used in the analyses.  Data from three participants were removed from analyses due to issues with calibration, one for self-reported difficulty completing the task or seeing the stimulus, and one for technical difficulties causing the program to crash during the experiment. </w:t>
      </w:r>
    </w:p>
    <w:p w14:paraId="7CD9970A" w14:textId="77777777" w:rsidR="008924E0" w:rsidRPr="008C4867" w:rsidRDefault="008924E0" w:rsidP="008924E0">
      <w:pPr>
        <w:pStyle w:val="Heading2"/>
        <w:spacing w:before="0" w:after="0"/>
        <w:rPr>
          <w:rFonts w:ascii="Times New Roman" w:hAnsi="Times New Roman" w:cs="Times New Roman"/>
        </w:rPr>
      </w:pPr>
      <w:bookmarkStart w:id="26" w:name="_Toc69573480"/>
      <w:r w:rsidRPr="008C4867">
        <w:rPr>
          <w:rFonts w:ascii="Times New Roman" w:hAnsi="Times New Roman" w:cs="Times New Roman"/>
        </w:rPr>
        <w:t>Results</w:t>
      </w:r>
      <w:bookmarkEnd w:id="26"/>
    </w:p>
    <w:p w14:paraId="428457FD" w14:textId="77777777" w:rsidR="008924E0" w:rsidRPr="008C4867" w:rsidRDefault="008924E0" w:rsidP="008924E0">
      <w:pPr>
        <w:pStyle w:val="Heading3"/>
        <w:spacing w:before="0" w:after="0" w:line="480" w:lineRule="auto"/>
        <w:rPr>
          <w:rFonts w:ascii="Times New Roman" w:hAnsi="Times New Roman" w:cs="Times New Roman"/>
        </w:rPr>
      </w:pPr>
      <w:r w:rsidRPr="008C4867">
        <w:rPr>
          <w:rFonts w:ascii="Times New Roman" w:hAnsi="Times New Roman" w:cs="Times New Roman"/>
        </w:rPr>
        <w:t xml:space="preserve">  </w:t>
      </w:r>
      <w:bookmarkStart w:id="27" w:name="_Toc69573481"/>
      <w:r w:rsidRPr="008C4867">
        <w:rPr>
          <w:rFonts w:ascii="Times New Roman" w:hAnsi="Times New Roman" w:cs="Times New Roman"/>
        </w:rPr>
        <w:t>Feature Integration</w:t>
      </w:r>
      <w:bookmarkEnd w:id="27"/>
    </w:p>
    <w:p w14:paraId="6A305A67"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The data were analyzed identically to the data in Experiment 1, with regards to removal of outliers and determination of saccade initiation. Data are represented in Figure 4.1, and show that the results from blank trials did not indicate a strong fit </w:t>
      </w:r>
      <w:r w:rsidRPr="008C4867">
        <w:rPr>
          <w:rFonts w:ascii="Times New Roman" w:hAnsi="Times New Roman" w:cs="Times New Roman"/>
        </w:rPr>
        <w:lastRenderedPageBreak/>
        <w:t>(</w:t>
      </w:r>
      <w:r w:rsidRPr="008C4867">
        <w:rPr>
          <w:rFonts w:ascii="Times New Roman" w:hAnsi="Times New Roman" w:cs="Times New Roman"/>
          <w:i/>
          <w:iCs/>
        </w:rPr>
        <w:t>ΔBIC</w:t>
      </w:r>
      <w:r w:rsidRPr="008C4867">
        <w:rPr>
          <w:rFonts w:ascii="Times New Roman" w:hAnsi="Times New Roman" w:cs="Times New Roman"/>
        </w:rPr>
        <w:t xml:space="preserve">=-0.05, </w:t>
      </w:r>
      <w:r w:rsidRPr="008C4867">
        <w:rPr>
          <w:rFonts w:ascii="Times New Roman" w:hAnsi="Times New Roman" w:cs="Times New Roman"/>
          <w:i/>
          <w:iCs/>
        </w:rPr>
        <w:t>BF</w:t>
      </w:r>
      <w:r w:rsidRPr="008C4867">
        <w:rPr>
          <w:rFonts w:ascii="Times New Roman" w:hAnsi="Times New Roman" w:cs="Times New Roman"/>
          <w:i/>
          <w:iCs/>
          <w:vertAlign w:val="subscript"/>
        </w:rPr>
        <w:t>21</w:t>
      </w:r>
      <w:r w:rsidRPr="008C4867">
        <w:rPr>
          <w:rFonts w:ascii="Times New Roman" w:hAnsi="Times New Roman" w:cs="Times New Roman"/>
        </w:rPr>
        <w:t>=0.976) to the dual gaussian model (</w:t>
      </w:r>
      <w:r w:rsidRPr="008C4867">
        <w:rPr>
          <w:rFonts w:ascii="Times New Roman" w:hAnsi="Times New Roman" w:cs="Times New Roman"/>
          <w:i/>
          <w:iCs/>
        </w:rPr>
        <w:t>SD</w:t>
      </w:r>
      <w:r w:rsidRPr="008C4867">
        <w:rPr>
          <w:rFonts w:ascii="Times New Roman" w:hAnsi="Times New Roman" w:cs="Times New Roman"/>
        </w:rPr>
        <w:t xml:space="preserve">=21.14, </w:t>
      </w:r>
      <w:r w:rsidRPr="008C4867">
        <w:rPr>
          <w:rFonts w:ascii="Times New Roman" w:hAnsi="Times New Roman" w:cs="Times New Roman"/>
          <w:i/>
          <w:iCs/>
        </w:rPr>
        <w:t>BIC</w:t>
      </w:r>
      <w:r w:rsidRPr="008C4867">
        <w:rPr>
          <w:rFonts w:ascii="Times New Roman" w:hAnsi="Times New Roman" w:cs="Times New Roman"/>
        </w:rPr>
        <w:t>=660.40) or the single gaussian model (</w:t>
      </w:r>
      <w:r w:rsidRPr="008C4867">
        <w:rPr>
          <w:rFonts w:ascii="Times New Roman" w:hAnsi="Times New Roman" w:cs="Times New Roman"/>
          <w:i/>
          <w:iCs/>
        </w:rPr>
        <w:t>M</w:t>
      </w:r>
      <w:r w:rsidRPr="008C4867">
        <w:rPr>
          <w:rFonts w:ascii="Times New Roman" w:hAnsi="Times New Roman" w:cs="Times New Roman"/>
        </w:rPr>
        <w:t>=11.17,</w:t>
      </w:r>
      <w:r w:rsidRPr="008C4867">
        <w:rPr>
          <w:rFonts w:ascii="Times New Roman" w:hAnsi="Times New Roman" w:cs="Times New Roman"/>
          <w:i/>
          <w:iCs/>
        </w:rPr>
        <w:t xml:space="preserve"> SD</w:t>
      </w:r>
      <w:r w:rsidRPr="008C4867">
        <w:rPr>
          <w:rFonts w:ascii="Times New Roman" w:hAnsi="Times New Roman" w:cs="Times New Roman"/>
        </w:rPr>
        <w:t xml:space="preserve">=22.01, </w:t>
      </w:r>
      <w:r w:rsidRPr="008C4867">
        <w:rPr>
          <w:rFonts w:ascii="Times New Roman" w:hAnsi="Times New Roman" w:cs="Times New Roman"/>
          <w:i/>
          <w:iCs/>
        </w:rPr>
        <w:t>BIC</w:t>
      </w:r>
      <w:r w:rsidRPr="008C4867">
        <w:rPr>
          <w:rFonts w:ascii="Times New Roman" w:hAnsi="Times New Roman" w:cs="Times New Roman"/>
        </w:rPr>
        <w:t>=660.35). Data from the no blank trials also did not represent a strong fit (</w:t>
      </w:r>
      <w:r w:rsidRPr="008C4867">
        <w:rPr>
          <w:rFonts w:ascii="Times New Roman" w:hAnsi="Times New Roman" w:cs="Times New Roman"/>
          <w:i/>
          <w:iCs/>
        </w:rPr>
        <w:t>ΔBIC</w:t>
      </w:r>
      <w:r w:rsidRPr="008C4867">
        <w:rPr>
          <w:rFonts w:ascii="Times New Roman" w:hAnsi="Times New Roman" w:cs="Times New Roman"/>
        </w:rPr>
        <w:t xml:space="preserve">=-0.19, </w:t>
      </w:r>
      <w:r w:rsidRPr="008C4867">
        <w:rPr>
          <w:rFonts w:ascii="Times New Roman" w:hAnsi="Times New Roman" w:cs="Times New Roman"/>
          <w:i/>
          <w:iCs/>
        </w:rPr>
        <w:t>BF</w:t>
      </w:r>
      <w:r w:rsidRPr="008C4867">
        <w:rPr>
          <w:rFonts w:ascii="Times New Roman" w:hAnsi="Times New Roman" w:cs="Times New Roman"/>
          <w:i/>
          <w:iCs/>
          <w:vertAlign w:val="subscript"/>
        </w:rPr>
        <w:t>21</w:t>
      </w:r>
      <w:r w:rsidRPr="008C4867">
        <w:rPr>
          <w:rFonts w:ascii="Times New Roman" w:hAnsi="Times New Roman" w:cs="Times New Roman"/>
        </w:rPr>
        <w:t>=0.908) to the dual gaussian model (</w:t>
      </w:r>
      <w:r w:rsidRPr="008C4867">
        <w:rPr>
          <w:rFonts w:ascii="Times New Roman" w:hAnsi="Times New Roman" w:cs="Times New Roman"/>
          <w:i/>
          <w:iCs/>
        </w:rPr>
        <w:t>SD</w:t>
      </w:r>
      <w:r w:rsidRPr="008C4867">
        <w:rPr>
          <w:rFonts w:ascii="Times New Roman" w:hAnsi="Times New Roman" w:cs="Times New Roman"/>
        </w:rPr>
        <w:t xml:space="preserve">=21.61, </w:t>
      </w:r>
      <w:r w:rsidRPr="008C4867">
        <w:rPr>
          <w:rFonts w:ascii="Times New Roman" w:hAnsi="Times New Roman" w:cs="Times New Roman"/>
          <w:i/>
          <w:iCs/>
        </w:rPr>
        <w:t>BIC</w:t>
      </w:r>
      <w:r w:rsidRPr="008C4867">
        <w:rPr>
          <w:rFonts w:ascii="Times New Roman" w:hAnsi="Times New Roman" w:cs="Times New Roman"/>
        </w:rPr>
        <w:t>=659.63) or the single gaussian model (</w:t>
      </w:r>
      <w:r w:rsidRPr="008C4867">
        <w:rPr>
          <w:rFonts w:ascii="Times New Roman" w:hAnsi="Times New Roman" w:cs="Times New Roman"/>
          <w:i/>
          <w:iCs/>
        </w:rPr>
        <w:t>SD</w:t>
      </w:r>
      <w:r w:rsidRPr="008C4867">
        <w:rPr>
          <w:rFonts w:ascii="Times New Roman" w:hAnsi="Times New Roman" w:cs="Times New Roman"/>
        </w:rPr>
        <w:t xml:space="preserve">=22.21, </w:t>
      </w:r>
      <w:r w:rsidRPr="008C4867">
        <w:rPr>
          <w:rFonts w:ascii="Times New Roman" w:hAnsi="Times New Roman" w:cs="Times New Roman"/>
          <w:i/>
          <w:iCs/>
        </w:rPr>
        <w:t>BIC</w:t>
      </w:r>
      <w:r w:rsidRPr="008C4867">
        <w:rPr>
          <w:rFonts w:ascii="Times New Roman" w:hAnsi="Times New Roman" w:cs="Times New Roman"/>
        </w:rPr>
        <w:t xml:space="preserve">=659.44). See Table 4.1 for a visual representation. </w:t>
      </w:r>
    </w:p>
    <w:p w14:paraId="5C0904EC" w14:textId="77777777" w:rsidR="008924E0" w:rsidRPr="008C4867" w:rsidRDefault="008924E0" w:rsidP="008924E0">
      <w:pPr>
        <w:pStyle w:val="Heading3"/>
        <w:spacing w:before="0" w:after="0" w:line="480" w:lineRule="auto"/>
        <w:rPr>
          <w:rFonts w:ascii="Times New Roman" w:hAnsi="Times New Roman" w:cs="Times New Roman"/>
        </w:rPr>
      </w:pPr>
      <w:bookmarkStart w:id="28" w:name="_Toc69573482"/>
      <w:r w:rsidRPr="008C4867">
        <w:rPr>
          <w:rFonts w:ascii="Times New Roman" w:hAnsi="Times New Roman" w:cs="Times New Roman"/>
        </w:rPr>
        <w:t>Overwriting</w:t>
      </w:r>
      <w:bookmarkEnd w:id="28"/>
    </w:p>
    <w:p w14:paraId="610EB3F7"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Based on the probabilistic mixture models that the data from the visual stability change trials in the transsaccadic block were fit to, comparisons between the probability of report for the target value and the distractor value cannot be meaningfully analyzed. </w:t>
      </w:r>
    </w:p>
    <w:p w14:paraId="0C1AE998" w14:textId="77777777" w:rsidR="008924E0" w:rsidRPr="008C4867" w:rsidRDefault="008924E0" w:rsidP="008924E0">
      <w:pPr>
        <w:pStyle w:val="Heading3"/>
        <w:spacing w:before="0" w:after="0" w:line="480" w:lineRule="auto"/>
        <w:rPr>
          <w:rFonts w:ascii="Times New Roman" w:hAnsi="Times New Roman" w:cs="Times New Roman"/>
        </w:rPr>
      </w:pPr>
      <w:bookmarkStart w:id="29" w:name="_Toc69573483"/>
      <w:r w:rsidRPr="008C4867">
        <w:rPr>
          <w:rFonts w:ascii="Times New Roman" w:hAnsi="Times New Roman" w:cs="Times New Roman"/>
        </w:rPr>
        <w:t>Cue Integration</w:t>
      </w:r>
      <w:bookmarkEnd w:id="29"/>
    </w:p>
    <w:p w14:paraId="7F801E0B"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To test cue integration, we compared the standard deviations of the Transsaccadic no blank no change trials to the best of the pre-saccadic-only trials and post-saccadic-only trials. Standard deviations in the best of the pre-saccadic-only and post-saccadic-only (</w:t>
      </w:r>
      <w:r w:rsidRPr="008C4867">
        <w:rPr>
          <w:rFonts w:ascii="Times New Roman" w:hAnsi="Times New Roman" w:cs="Times New Roman"/>
          <w:i/>
          <w:iCs/>
        </w:rPr>
        <w:t>M</w:t>
      </w:r>
      <w:r w:rsidRPr="008C4867">
        <w:rPr>
          <w:rFonts w:ascii="Times New Roman" w:hAnsi="Times New Roman" w:cs="Times New Roman"/>
        </w:rPr>
        <w:t>=21.38) were significantly lower than the standard deviations in the transsaccadic no blank no change trials (</w:t>
      </w:r>
      <w:r w:rsidRPr="008C4867">
        <w:rPr>
          <w:rFonts w:ascii="Times New Roman" w:hAnsi="Times New Roman" w:cs="Times New Roman"/>
          <w:i/>
          <w:iCs/>
        </w:rPr>
        <w:t>M</w:t>
      </w:r>
      <w:r w:rsidRPr="008C4867">
        <w:rPr>
          <w:rFonts w:ascii="Times New Roman" w:hAnsi="Times New Roman" w:cs="Times New Roman"/>
        </w:rPr>
        <w:t xml:space="preserve">22.58), </w:t>
      </w:r>
      <w:r w:rsidRPr="008C4867">
        <w:rPr>
          <w:rFonts w:ascii="Times New Roman" w:hAnsi="Times New Roman" w:cs="Times New Roman"/>
          <w:i/>
          <w:iCs/>
        </w:rPr>
        <w:t>t</w:t>
      </w:r>
      <w:r w:rsidRPr="008C4867">
        <w:rPr>
          <w:rFonts w:ascii="Times New Roman" w:hAnsi="Times New Roman" w:cs="Times New Roman"/>
        </w:rPr>
        <w:t xml:space="preserve">(25)=-2.43, </w:t>
      </w:r>
      <w:r w:rsidRPr="008C4867">
        <w:rPr>
          <w:rFonts w:ascii="Times New Roman" w:hAnsi="Times New Roman" w:cs="Times New Roman"/>
          <w:i/>
          <w:iCs/>
        </w:rPr>
        <w:t>p</w:t>
      </w:r>
      <w:r w:rsidRPr="008C4867">
        <w:rPr>
          <w:rFonts w:ascii="Times New Roman" w:hAnsi="Times New Roman" w:cs="Times New Roman"/>
        </w:rPr>
        <w:t>=.022. As in Experiment 1, we failed to find support for cue integration, as our data do not indicate improved responding in the transsaccadic no blank no change trials when comparing them to the single conditions.</w:t>
      </w:r>
    </w:p>
    <w:p w14:paraId="710D842E" w14:textId="77777777" w:rsidR="008924E0" w:rsidRPr="008C4867" w:rsidRDefault="008924E0" w:rsidP="008924E0">
      <w:pPr>
        <w:pStyle w:val="Heading3"/>
        <w:spacing w:before="0" w:after="0" w:line="480" w:lineRule="auto"/>
        <w:rPr>
          <w:rFonts w:ascii="Times New Roman" w:hAnsi="Times New Roman" w:cs="Times New Roman"/>
        </w:rPr>
      </w:pPr>
      <w:bookmarkStart w:id="30" w:name="_Toc69573484"/>
      <w:r w:rsidRPr="008C4867">
        <w:rPr>
          <w:rFonts w:ascii="Times New Roman" w:hAnsi="Times New Roman" w:cs="Times New Roman"/>
        </w:rPr>
        <w:t>Change Detection</w:t>
      </w:r>
      <w:bookmarkEnd w:id="30"/>
    </w:p>
    <w:p w14:paraId="1B9805B1" w14:textId="02F3B23A"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Of the 26 participants, 14 participants reported noticing that the color changed during the task. Participants reported this in a self-report measure at the end of the task, where they were asked to note anything that they noticed about the study in general. Some also expressed it verbally at some point during the task. </w:t>
      </w:r>
    </w:p>
    <w:p w14:paraId="78148D6E" w14:textId="4761DCDF" w:rsidR="008924E0" w:rsidRPr="008C4867" w:rsidRDefault="008924E0" w:rsidP="00753CD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noProof/>
        </w:rPr>
        <w:lastRenderedPageBreak/>
        <w:drawing>
          <wp:inline distT="0" distB="0" distL="0" distR="0" wp14:anchorId="6744351B" wp14:editId="163FDF12">
            <wp:extent cx="5438775" cy="2933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504" t="2061" r="13096" b="3131"/>
                    <a:stretch/>
                  </pic:blipFill>
                  <pic:spPr bwMode="auto">
                    <a:xfrm>
                      <a:off x="0" y="0"/>
                      <a:ext cx="5477770" cy="2954734"/>
                    </a:xfrm>
                    <a:prstGeom prst="rect">
                      <a:avLst/>
                    </a:prstGeom>
                    <a:noFill/>
                    <a:ln>
                      <a:noFill/>
                    </a:ln>
                    <a:extLst>
                      <a:ext uri="{53640926-AAD7-44D8-BBD7-CCE9431645EC}">
                        <a14:shadowObscured xmlns:a14="http://schemas.microsoft.com/office/drawing/2010/main"/>
                      </a:ext>
                    </a:extLst>
                  </pic:spPr>
                </pic:pic>
              </a:graphicData>
            </a:graphic>
          </wp:inline>
        </w:drawing>
      </w:r>
    </w:p>
    <w:p w14:paraId="7D4C3290" w14:textId="77777777" w:rsidR="003D67FF" w:rsidRPr="008C4867" w:rsidRDefault="003D67FF" w:rsidP="003D67FF">
      <w:pPr>
        <w:rPr>
          <w:rFonts w:ascii="Times New Roman" w:hAnsi="Times New Roman" w:cs="Times New Roman"/>
        </w:rPr>
      </w:pPr>
      <w:r w:rsidRPr="008C4867">
        <w:rPr>
          <w:rFonts w:ascii="Times New Roman" w:hAnsi="Times New Roman" w:cs="Times New Roman"/>
        </w:rPr>
        <w:t xml:space="preserve">Figure 4.1. The above figure illustrates the distribution of responses across the different color values with the orange line representing responses in the blank condition and the blue line representing responses in the no blank condition. </w:t>
      </w:r>
    </w:p>
    <w:p w14:paraId="56BF206F" w14:textId="0B2FFFBF" w:rsidR="003D67FF" w:rsidRPr="008C4867" w:rsidRDefault="003D67FF" w:rsidP="00753CD3">
      <w:pPr>
        <w:rPr>
          <w:rFonts w:ascii="Times New Roman" w:hAnsi="Times New Roman" w:cs="Times New Roman"/>
        </w:rPr>
      </w:pPr>
    </w:p>
    <w:p w14:paraId="4B72E8AD" w14:textId="125507B9" w:rsidR="001C7F1B" w:rsidRPr="008C4867" w:rsidRDefault="001C7F1B" w:rsidP="00753CD3">
      <w:pPr>
        <w:rPr>
          <w:rFonts w:ascii="Times New Roman" w:hAnsi="Times New Roman" w:cs="Times New Roman"/>
        </w:rPr>
      </w:pPr>
    </w:p>
    <w:p w14:paraId="6315F3A3" w14:textId="77777777" w:rsidR="001C7F1B" w:rsidRPr="008C4867" w:rsidRDefault="001C7F1B" w:rsidP="00753CD3">
      <w:pPr>
        <w:rPr>
          <w:rFonts w:ascii="Times New Roman" w:hAnsi="Times New Roman" w:cs="Times New Roman"/>
        </w:rPr>
      </w:pPr>
    </w:p>
    <w:p w14:paraId="10634250" w14:textId="62EDC583" w:rsidR="00753CD3" w:rsidRPr="008C4867" w:rsidRDefault="00753CD3" w:rsidP="00753CD3">
      <w:pPr>
        <w:rPr>
          <w:rFonts w:ascii="Times New Roman" w:hAnsi="Times New Roman" w:cs="Times New Roman"/>
        </w:rPr>
      </w:pPr>
      <w:r w:rsidRPr="008C4867">
        <w:rPr>
          <w:rFonts w:ascii="Times New Roman" w:hAnsi="Times New Roman" w:cs="Times New Roman"/>
        </w:rPr>
        <w:t xml:space="preserve">Table 4.1. The table above shows the values of the no blank and the blank condition for the two models used to test the data: a single gaussian model (left) and a dual gaussian model (right). </w:t>
      </w:r>
    </w:p>
    <w:p w14:paraId="4782B011" w14:textId="77777777" w:rsidR="008924E0" w:rsidRPr="008C4867" w:rsidRDefault="008924E0" w:rsidP="008924E0">
      <w:pPr>
        <w:spacing w:line="480" w:lineRule="auto"/>
        <w:rPr>
          <w:rFonts w:ascii="Times New Roman" w:hAnsi="Times New Roman" w:cs="Times New Roman"/>
        </w:rPr>
      </w:pPr>
      <w:r w:rsidRPr="008C4867">
        <w:rPr>
          <w:rFonts w:ascii="Times New Roman" w:hAnsi="Times New Roman" w:cs="Times New Roman"/>
          <w:noProof/>
        </w:rPr>
        <w:drawing>
          <wp:inline distT="0" distB="0" distL="0" distR="0" wp14:anchorId="72B25DE3" wp14:editId="7CA5148A">
            <wp:extent cx="5438775" cy="6332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8425" cy="655347"/>
                    </a:xfrm>
                    <a:prstGeom prst="rect">
                      <a:avLst/>
                    </a:prstGeom>
                    <a:noFill/>
                    <a:ln>
                      <a:noFill/>
                    </a:ln>
                  </pic:spPr>
                </pic:pic>
              </a:graphicData>
            </a:graphic>
          </wp:inline>
        </w:drawing>
      </w:r>
    </w:p>
    <w:p w14:paraId="2CD98C28" w14:textId="77777777" w:rsidR="008924E0" w:rsidRPr="008C4867" w:rsidRDefault="008924E0" w:rsidP="008924E0">
      <w:pPr>
        <w:spacing w:line="480" w:lineRule="auto"/>
        <w:rPr>
          <w:rFonts w:ascii="Times New Roman" w:hAnsi="Times New Roman" w:cs="Times New Roman"/>
        </w:rPr>
      </w:pPr>
    </w:p>
    <w:p w14:paraId="30E2B1AD" w14:textId="085F5B49" w:rsidR="008924E0" w:rsidRPr="008C4867" w:rsidRDefault="008924E0">
      <w:pPr>
        <w:spacing w:after="160" w:line="259" w:lineRule="auto"/>
        <w:rPr>
          <w:rFonts w:ascii="Times New Roman" w:hAnsi="Times New Roman" w:cs="Times New Roman"/>
        </w:rPr>
      </w:pPr>
      <w:r w:rsidRPr="008C4867">
        <w:rPr>
          <w:rFonts w:ascii="Times New Roman" w:hAnsi="Times New Roman" w:cs="Times New Roman"/>
        </w:rPr>
        <w:br w:type="page"/>
      </w:r>
    </w:p>
    <w:p w14:paraId="03C6F6D8" w14:textId="77777777" w:rsidR="008924E0" w:rsidRPr="008C4867" w:rsidRDefault="008924E0" w:rsidP="008924E0">
      <w:pPr>
        <w:pStyle w:val="Heading1"/>
        <w:spacing w:before="0" w:after="0"/>
        <w:rPr>
          <w:rFonts w:ascii="Times New Roman" w:hAnsi="Times New Roman" w:cs="Times New Roman"/>
        </w:rPr>
      </w:pPr>
      <w:r w:rsidRPr="008C4867">
        <w:rPr>
          <w:rFonts w:ascii="Times New Roman" w:hAnsi="Times New Roman" w:cs="Times New Roman"/>
        </w:rPr>
        <w:lastRenderedPageBreak/>
        <w:br/>
      </w:r>
      <w:bookmarkStart w:id="31" w:name="_Toc69573485"/>
      <w:r w:rsidRPr="008C4867">
        <w:rPr>
          <w:rFonts w:ascii="Times New Roman" w:hAnsi="Times New Roman" w:cs="Times New Roman"/>
        </w:rPr>
        <w:t>Discussion</w:t>
      </w:r>
      <w:bookmarkEnd w:id="31"/>
    </w:p>
    <w:p w14:paraId="02F86A67"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The results of the two experiments do not conclusively provide evidence in favor of any one approach to transsaccadic updating. The BIC values between the unimodal and bimodal model were too close to draw conclusions from the data. It is possible that the data were affected by the inclusion of blank trials as a manipulation of object continuity. For these measurements, it is important that participants do not detect the color change. While the color variation was small in this experiment, the inclusion of blank trials was likely the reason for participants' ability to detect the color changes. </w:t>
      </w:r>
    </w:p>
    <w:p w14:paraId="0F16B229" w14:textId="593CEBA5"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Cue integration was not supported by the data. In other words, participants did not significantly benefit from the repeated presentation of the same color pre-saccadically and post-saccadically in the no change transsaccadic trials. Rather, the standard deviations of the two groups were nearly identical in Experiment 1, while Experiment 2 data showed significantly smaller standard deviations in the single conditions than in the transsaccadic no change trials, suggesting …</w:t>
      </w:r>
    </w:p>
    <w:p w14:paraId="74BD7FF9"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8C4867">
        <w:rPr>
          <w:rFonts w:ascii="Times New Roman" w:hAnsi="Times New Roman" w:cs="Times New Roman"/>
          <w:b/>
          <w:bCs/>
          <w:i/>
          <w:iCs/>
        </w:rPr>
        <w:t>Feature Averaging</w:t>
      </w:r>
    </w:p>
    <w:p w14:paraId="24E36354"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b/>
          <w:bCs/>
        </w:rPr>
        <w:tab/>
      </w:r>
      <w:r w:rsidRPr="008C4867">
        <w:rPr>
          <w:rFonts w:ascii="Times New Roman" w:hAnsi="Times New Roman" w:cs="Times New Roman"/>
        </w:rPr>
        <w:t xml:space="preserve">Some previous work using color has found evidence of feature averaging across saccades (Oostwoud, Wijdenes et al., 2015; Stewart and Schütz, 2018). In such cases, the distribution of responses appeared to be unimodal, such that there was one distribution of responses between the pre-saccadic value and the post-saccadic value. The key difference in this study was that the data were not tested for a bivariate structure. In the current </w:t>
      </w:r>
      <w:r w:rsidRPr="008C4867">
        <w:rPr>
          <w:rFonts w:ascii="Times New Roman" w:hAnsi="Times New Roman" w:cs="Times New Roman"/>
        </w:rPr>
        <w:lastRenderedPageBreak/>
        <w:t xml:space="preserve">study, we tested the data for underlying bivariate structures, but were not able to derive conclusive evidence from these tests.  </w:t>
      </w:r>
    </w:p>
    <w:p w14:paraId="42664856"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b/>
          <w:bCs/>
          <w:i/>
          <w:iCs/>
        </w:rPr>
        <w:t>Cue Integration</w:t>
      </w:r>
    </w:p>
    <w:p w14:paraId="68F1D545"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8C4867">
        <w:rPr>
          <w:rFonts w:ascii="Times New Roman" w:hAnsi="Times New Roman" w:cs="Times New Roman"/>
        </w:rPr>
        <w:tab/>
        <w:t xml:space="preserve">Previous work has found evidence to support cue integration across saccades, such that when participants are presented with the same stimulus pre-saccadically and post-saccadically, performance improves significantly (Stewart &amp; Schütz, 2018). The current study included pre-saccadic only and post-saccadic only blocks to test cue integration and did not find improved responding in the transsaccadic trials with no color change as compared to the best of the pre-saccadic-only or post-saccadic-only trials. </w:t>
      </w:r>
    </w:p>
    <w:p w14:paraId="208FA397"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8C4867">
        <w:rPr>
          <w:rFonts w:ascii="Times New Roman" w:hAnsi="Times New Roman" w:cs="Times New Roman"/>
          <w:b/>
          <w:bCs/>
          <w:i/>
          <w:iCs/>
        </w:rPr>
        <w:t>Overwriting</w:t>
      </w:r>
    </w:p>
    <w:p w14:paraId="4183A46F"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The findings of previous work show that pre-saccadic information is overwritten with post-saccadic information when visual stability is established (Tas et al., 2021). When visual stability was established, the pre-saccadic information was overwritten by the post-saccadic information in a majority of the trials. This relies on object-mediated updating, such that when the post-saccadic object and the pre-saccadic object are perceived as being the same or continuous, the post-saccadic information masks the pre-saccadic information. Because the data from the current study were not better explained by a bimodal model than a unimodal model, we could not derive conclusions about overwriting on the basis of comparing values associated with bimodal distributions. </w:t>
      </w:r>
    </w:p>
    <w:p w14:paraId="72480239"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b/>
          <w:bCs/>
          <w:i/>
          <w:iCs/>
        </w:rPr>
        <w:t>Future Directions</w:t>
      </w:r>
    </w:p>
    <w:p w14:paraId="4F8A44FC"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8C4867">
        <w:rPr>
          <w:rFonts w:ascii="Times New Roman" w:hAnsi="Times New Roman" w:cs="Times New Roman"/>
        </w:rPr>
        <w:tab/>
        <w:t xml:space="preserve">This experiment should be replicated without the blank trials, such that participants are not aware of the color change. Because the blank trials were mixed in </w:t>
      </w:r>
      <w:r w:rsidRPr="008C4867">
        <w:rPr>
          <w:rFonts w:ascii="Times New Roman" w:hAnsi="Times New Roman" w:cs="Times New Roman"/>
        </w:rPr>
        <w:lastRenderedPageBreak/>
        <w:t xml:space="preserve">with the non-blank trials in the first block, it is possible that participants were aware of the color changes. This is due to the idea that blanking is breaking the object continuity, which results in an awareness of the change and an ability to preserve the pre-saccadic representation (Tas et al., 2012). Based on the findings of this study, further investigation is necessary to find more conclusive evidence regarding integration and overwriting. </w:t>
      </w:r>
    </w:p>
    <w:p w14:paraId="06855031"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sz w:val="28"/>
          <w:szCs w:val="28"/>
        </w:rPr>
      </w:pPr>
    </w:p>
    <w:p w14:paraId="436216B5"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sz w:val="28"/>
          <w:szCs w:val="28"/>
        </w:rPr>
      </w:pPr>
    </w:p>
    <w:p w14:paraId="250DEC5B"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sz w:val="28"/>
          <w:szCs w:val="28"/>
        </w:rPr>
      </w:pPr>
    </w:p>
    <w:p w14:paraId="2231274B"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sz w:val="28"/>
          <w:szCs w:val="28"/>
        </w:rPr>
      </w:pPr>
    </w:p>
    <w:p w14:paraId="52BD1F9E"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sz w:val="28"/>
          <w:szCs w:val="28"/>
        </w:rPr>
      </w:pPr>
    </w:p>
    <w:p w14:paraId="3C72D328"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sz w:val="28"/>
          <w:szCs w:val="28"/>
        </w:rPr>
      </w:pPr>
    </w:p>
    <w:p w14:paraId="1C1B6872"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sz w:val="28"/>
          <w:szCs w:val="28"/>
        </w:rPr>
      </w:pPr>
    </w:p>
    <w:p w14:paraId="628298C1"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sz w:val="28"/>
          <w:szCs w:val="28"/>
        </w:rPr>
      </w:pPr>
    </w:p>
    <w:p w14:paraId="472B1EEC"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sz w:val="28"/>
          <w:szCs w:val="28"/>
        </w:rPr>
      </w:pPr>
    </w:p>
    <w:p w14:paraId="5C4E1268"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sz w:val="28"/>
          <w:szCs w:val="28"/>
        </w:rPr>
      </w:pPr>
    </w:p>
    <w:p w14:paraId="3A251558" w14:textId="77777777" w:rsidR="008924E0" w:rsidRPr="008C4867" w:rsidRDefault="008924E0" w:rsidP="008924E0">
      <w:pPr>
        <w:numPr>
          <w:ilvl w:val="12"/>
          <w:numId w:val="0"/>
        </w:numPr>
        <w:spacing w:line="480" w:lineRule="auto"/>
        <w:jc w:val="center"/>
        <w:rPr>
          <w:rFonts w:ascii="Times New Roman" w:hAnsi="Times New Roman" w:cs="Times New Roman"/>
        </w:rPr>
      </w:pPr>
      <w:bookmarkStart w:id="32" w:name="_Toc420995911"/>
      <w:bookmarkStart w:id="33" w:name="_Toc422997498"/>
    </w:p>
    <w:p w14:paraId="3BB0AA95"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038CF943"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52433EBA"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78CA5908"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2BD951EC" w14:textId="77777777" w:rsidR="008924E0" w:rsidRPr="008C4867" w:rsidRDefault="008924E0" w:rsidP="008924E0">
      <w:pPr>
        <w:numPr>
          <w:ilvl w:val="12"/>
          <w:numId w:val="0"/>
        </w:numPr>
        <w:spacing w:line="480" w:lineRule="auto"/>
        <w:rPr>
          <w:rFonts w:ascii="Times New Roman" w:hAnsi="Times New Roman" w:cs="Times New Roman"/>
        </w:rPr>
      </w:pPr>
    </w:p>
    <w:p w14:paraId="4B28A5FF"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71750A9D"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32252737"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565E3E53"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7889CBB8"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59593C51"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4F6BCD9C" w14:textId="77777777" w:rsidR="008924E0" w:rsidRPr="008C4867" w:rsidRDefault="008924E0" w:rsidP="008924E0">
      <w:pPr>
        <w:numPr>
          <w:ilvl w:val="12"/>
          <w:numId w:val="0"/>
        </w:numPr>
        <w:spacing w:line="480" w:lineRule="auto"/>
        <w:jc w:val="center"/>
        <w:rPr>
          <w:rFonts w:ascii="Times New Roman" w:hAnsi="Times New Roman" w:cs="Times New Roman"/>
        </w:rPr>
      </w:pPr>
    </w:p>
    <w:p w14:paraId="6ADB75C3" w14:textId="77777777" w:rsidR="008924E0" w:rsidRPr="008C4867" w:rsidRDefault="008924E0" w:rsidP="008924E0">
      <w:pPr>
        <w:numPr>
          <w:ilvl w:val="12"/>
          <w:numId w:val="0"/>
        </w:numPr>
        <w:spacing w:line="480" w:lineRule="auto"/>
        <w:rPr>
          <w:rFonts w:ascii="Times New Roman" w:hAnsi="Times New Roman" w:cs="Times New Roman"/>
        </w:rPr>
      </w:pPr>
    </w:p>
    <w:p w14:paraId="0041A67D" w14:textId="77777777" w:rsidR="008924E0" w:rsidRPr="008C4867" w:rsidRDefault="008924E0" w:rsidP="008924E0">
      <w:pPr>
        <w:numPr>
          <w:ilvl w:val="12"/>
          <w:numId w:val="0"/>
        </w:numPr>
        <w:spacing w:line="480" w:lineRule="auto"/>
        <w:rPr>
          <w:rFonts w:ascii="Times New Roman" w:hAnsi="Times New Roman" w:cs="Times New Roman"/>
        </w:rPr>
      </w:pPr>
    </w:p>
    <w:p w14:paraId="5A2D1730" w14:textId="376AC2DD" w:rsidR="008924E0" w:rsidRPr="008C4867" w:rsidRDefault="008924E0" w:rsidP="008924E0">
      <w:pPr>
        <w:pStyle w:val="AltHeading1"/>
      </w:pPr>
      <w:bookmarkStart w:id="34" w:name="_Toc427156483"/>
      <w:bookmarkStart w:id="35" w:name="_Toc69573486"/>
      <w:r w:rsidRPr="008C4867">
        <w:t>References</w:t>
      </w:r>
      <w:bookmarkEnd w:id="32"/>
      <w:bookmarkEnd w:id="33"/>
      <w:bookmarkEnd w:id="34"/>
      <w:bookmarkEnd w:id="35"/>
    </w:p>
    <w:p w14:paraId="0EDF7A49"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rPr>
      </w:pPr>
      <w:r w:rsidRPr="008C4867">
        <w:rPr>
          <w:rFonts w:ascii="Times New Roman" w:hAnsi="Times New Roman" w:cs="Times New Roman"/>
          <w:sz w:val="28"/>
          <w:szCs w:val="28"/>
        </w:rPr>
        <w:br w:type="page"/>
      </w:r>
      <w:r w:rsidRPr="008C4867">
        <w:rPr>
          <w:rFonts w:ascii="Times New Roman" w:hAnsi="Times New Roman" w:cs="Times New Roman"/>
        </w:rPr>
        <w:lastRenderedPageBreak/>
        <w:t xml:space="preserve"> </w:t>
      </w:r>
    </w:p>
    <w:p w14:paraId="2E6300F0" w14:textId="77777777"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2727B66E" w14:textId="665744FB"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Bridgeman, B., Hendry, D., &amp; Stark, L. (1975). Failure to detect displacement of the visual</w:t>
      </w:r>
      <w:r w:rsidR="00FD023D" w:rsidRPr="008C4867">
        <w:rPr>
          <w:rFonts w:ascii="Times New Roman" w:hAnsi="Times New Roman" w:cs="Times New Roman"/>
          <w:iCs/>
        </w:rPr>
        <w:t xml:space="preserve"> </w:t>
      </w:r>
      <w:r w:rsidRPr="008C4867">
        <w:rPr>
          <w:rFonts w:ascii="Times New Roman" w:hAnsi="Times New Roman" w:cs="Times New Roman"/>
          <w:iCs/>
        </w:rPr>
        <w:t>world during saccadic eye movements. Vision research, 15(6), 719-722.</w:t>
      </w:r>
    </w:p>
    <w:p w14:paraId="398E5920" w14:textId="732510BF" w:rsidR="008924E0" w:rsidRPr="008C4867" w:rsidRDefault="00FD023D"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color w:val="000000"/>
        </w:rPr>
        <w:t xml:space="preserve">Clark, J. J., &amp; Yuille, A. L. (1990, June). Shape from shading via the fusion of specular and Lambertian image components. In [1990] Proceedings. 10th International Conference on Pattern Recognition (Vol. 1, pp. 88-92). IEEE. </w:t>
      </w:r>
      <w:r w:rsidR="008924E0" w:rsidRPr="008C4867">
        <w:rPr>
          <w:rFonts w:ascii="Times New Roman" w:hAnsi="Times New Roman" w:cs="Times New Roman"/>
          <w:color w:val="000000"/>
        </w:rPr>
        <w:t>doi: 10.1109/ICPR.1990.118070</w:t>
      </w:r>
    </w:p>
    <w:p w14:paraId="24FDFF30" w14:textId="7E6094D3"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lang w:val="fr-FR"/>
        </w:rPr>
        <w:t xml:space="preserve">Demeyer, M., De Graef, P., Wagemans, J., &amp; Verfaillie, K. (2010). </w:t>
      </w:r>
      <w:r w:rsidRPr="008C4867">
        <w:rPr>
          <w:rFonts w:ascii="Times New Roman" w:hAnsi="Times New Roman" w:cs="Times New Roman"/>
          <w:iCs/>
        </w:rPr>
        <w:t>Parametric integration of visual form across saccades. Vision Research, 50(13), 1225–1234, doi:10.1016/j.visres.2010.04.008.</w:t>
      </w:r>
    </w:p>
    <w:p w14:paraId="3F3390C1" w14:textId="5A3A6C72"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 xml:space="preserve">Deubel, H., Schneider, W. X., &amp; Bridgeman, B. (1996). post-saccadic target blanking prevents saccadic suppression of image displacement. Vision Research, 36(7), 985–996, doi:10.1016/0042-6989(95)00203-0. </w:t>
      </w:r>
    </w:p>
    <w:p w14:paraId="38451E6C" w14:textId="0E5F2CC1"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Ernst, M. O., &amp; Banks, M. S. (2002). Humans integrate visual and haptic information in a statistically optimal fashion. Nature, 415(6870), 429-43, doi: 10.1038/415429a.</w:t>
      </w:r>
    </w:p>
    <w:p w14:paraId="4EACD4B3" w14:textId="7444ABB2"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Ernst, M. O., &amp; Bülthoff, H. H. (2004). Merging the senses into a robust percept. Trends in cognitive sciences, 8(4), 162-169, doi: 10.1016/j.tics.2004.02.002.</w:t>
      </w:r>
    </w:p>
    <w:p w14:paraId="5768AB19" w14:textId="097BC5BA"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Ganmor, E., Landy, M. S., &amp; Simoncelli, E. P. (2015). Near-optimal integration of orientation information across saccades. Journal of Vision, 15(16), 8, doi:10.1167/15.16.8.</w:t>
      </w:r>
    </w:p>
    <w:p w14:paraId="6578B047" w14:textId="6C5D1FFF"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lastRenderedPageBreak/>
        <w:t xml:space="preserve">Irwin, D. E. (1992). Memory for position and identity across eye movements. Journal of Experimental Psychology: Learning, Memory, and Cognition, 18(2), 307–317, doi:10.1037/0278-7393.18.2.307. </w:t>
      </w:r>
    </w:p>
    <w:p w14:paraId="620F7798" w14:textId="4BA17904"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Matin, E. (1974). Saccadic suppression: a review and an analysis. Psychological bulletin, 81(12), 899.</w:t>
      </w:r>
    </w:p>
    <w:p w14:paraId="066C0054" w14:textId="0CAC6034"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McConkie, G. W., &amp; Rayner, K. (1976). Identifying the span of the effective stimulus in reading: Literature review and theories of reading. In Singer, H. &amp; Ruddell, R. B. (Eds.), Theoretical Models and Processes in Reading (pp. 137–162). Newark DE: International Reading Association.</w:t>
      </w:r>
    </w:p>
    <w:p w14:paraId="78553E86" w14:textId="4BF364E2"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contextualSpacing/>
        <w:rPr>
          <w:rFonts w:ascii="Times New Roman" w:hAnsi="Times New Roman" w:cs="Times New Roman"/>
          <w:iCs/>
        </w:rPr>
      </w:pPr>
      <w:r w:rsidRPr="008C4867">
        <w:rPr>
          <w:rFonts w:ascii="Times New Roman" w:hAnsi="Times New Roman" w:cs="Times New Roman"/>
          <w:iCs/>
        </w:rPr>
        <w:t>Niemeier, M., Crawford, J. &amp; Tweed, D. Optimal transsaccadic integration explains distorted spatial perception. Nature 422, 76–80 (2003). https://doi.org/10.1038/nature01439</w:t>
      </w:r>
    </w:p>
    <w:p w14:paraId="794C9ABB" w14:textId="53722291"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 xml:space="preserve">O'Regan, J. K., &amp; Lévy-Schoen, A. (1983). Integrating visual information from successive fixations: Does trans-saccadic fusion exist? Vision Research, 23(8), 765–768, doi:10.1016/0042-6989(83)90198-0. </w:t>
      </w:r>
    </w:p>
    <w:p w14:paraId="0AD8E21C" w14:textId="5CA5072A"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Oostwoud Wijdenes, L., Marshall, L., &amp; Bays, P. M. (2015). Evidence for optimal integration of visual feature representations across saccades. Journal of Neuroscience, 35(28), 10146–10153, doi:10.1523/jneurosci.1040-15.2015.</w:t>
      </w:r>
    </w:p>
    <w:p w14:paraId="3D670E7C" w14:textId="4210C514"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Rohde, M., van Dam, L. C., &amp; Ernst, M. O. (2016). Statistically optimal multisensory cue integration: a practical tutorial. Multisensory research, 29(4-5), 279-317, doi: 10.1163/22134808-00002510.</w:t>
      </w:r>
    </w:p>
    <w:p w14:paraId="35A37B5F" w14:textId="18655C8C"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s>
        <w:spacing w:line="480" w:lineRule="auto"/>
        <w:ind w:left="1080" w:hanging="1080"/>
        <w:jc w:val="both"/>
        <w:rPr>
          <w:rFonts w:ascii="Times New Roman" w:hAnsi="Times New Roman" w:cs="Times New Roman"/>
          <w:iCs/>
        </w:rPr>
      </w:pPr>
      <w:r w:rsidRPr="008C4867">
        <w:rPr>
          <w:rFonts w:ascii="Times New Roman" w:hAnsi="Times New Roman" w:cs="Times New Roman"/>
          <w:color w:val="222222"/>
          <w:shd w:val="clear" w:color="auto" w:fill="FFFFFF"/>
        </w:rPr>
        <w:lastRenderedPageBreak/>
        <w:t>Schut, M. J., Van der Stoep, N., Fabius, J. H., &amp; Van der Stigchel, S. (2018). Feature integration is unaffected by saccade landing point, even when saccades land outside of the range of regular oculomotor variance. </w:t>
      </w:r>
      <w:r w:rsidRPr="008C4867">
        <w:rPr>
          <w:rFonts w:ascii="Times New Roman" w:hAnsi="Times New Roman" w:cs="Times New Roman"/>
          <w:i/>
          <w:iCs/>
          <w:color w:val="222222"/>
          <w:shd w:val="clear" w:color="auto" w:fill="FFFFFF"/>
        </w:rPr>
        <w:t>Journal of Vision</w:t>
      </w:r>
      <w:r w:rsidRPr="008C4867">
        <w:rPr>
          <w:rFonts w:ascii="Times New Roman" w:hAnsi="Times New Roman" w:cs="Times New Roman"/>
          <w:color w:val="222222"/>
          <w:shd w:val="clear" w:color="auto" w:fill="FFFFFF"/>
        </w:rPr>
        <w:t>, </w:t>
      </w:r>
      <w:r w:rsidRPr="008C4867">
        <w:rPr>
          <w:rFonts w:ascii="Times New Roman" w:hAnsi="Times New Roman" w:cs="Times New Roman"/>
          <w:i/>
          <w:iCs/>
          <w:color w:val="222222"/>
          <w:shd w:val="clear" w:color="auto" w:fill="FFFFFF"/>
        </w:rPr>
        <w:t>18</w:t>
      </w:r>
      <w:r w:rsidRPr="008C4867">
        <w:rPr>
          <w:rFonts w:ascii="Times New Roman" w:hAnsi="Times New Roman" w:cs="Times New Roman"/>
          <w:color w:val="222222"/>
          <w:shd w:val="clear" w:color="auto" w:fill="FFFFFF"/>
        </w:rPr>
        <w:t xml:space="preserve">(7).  </w:t>
      </w:r>
      <w:r w:rsidRPr="008C4867">
        <w:rPr>
          <w:rFonts w:ascii="Times New Roman" w:hAnsi="Times New Roman" w:cs="Times New Roman"/>
          <w:color w:val="1C1C1C"/>
          <w:shd w:val="clear" w:color="auto" w:fill="FFFFFF"/>
        </w:rPr>
        <w:t>doi:</w:t>
      </w:r>
      <w:hyperlink r:id="rId15" w:history="1">
        <w:r w:rsidRPr="008C4867">
          <w:rPr>
            <w:rStyle w:val="Hyperlink"/>
            <w:rFonts w:ascii="Times New Roman" w:hAnsi="Times New Roman" w:cs="Times New Roman"/>
            <w:color w:val="1B66BF"/>
            <w:shd w:val="clear" w:color="auto" w:fill="FFFFFF"/>
          </w:rPr>
          <w:t>https://doi.org/10.1167/18.7.6</w:t>
        </w:r>
      </w:hyperlink>
    </w:p>
    <w:p w14:paraId="5BC0BA8F" w14:textId="039C16E4"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Stewart, E. E. M., &amp; Schütz, A. C. (2018). Optimal trans-saccadic integration relies on visual working memory. Vision Research, 153, 70–81, doi:10.1016/j.visres.2018.10.002.</w:t>
      </w:r>
    </w:p>
    <w:p w14:paraId="0BC1F1FE" w14:textId="1626ECDE"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iCs/>
        </w:rPr>
        <w:t>Stewart, E. E. M., &amp; Schütz, A. C. (2019). Transsaccadic integration benefits are not limited to the saccade target. Journal of Neurophysiology, 122(4), 1491–1501, doi:10.1152/jn.00420.2019.</w:t>
      </w:r>
    </w:p>
    <w:p w14:paraId="2A6D6249" w14:textId="6E59B16D"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color w:val="222222"/>
          <w:shd w:val="clear" w:color="auto" w:fill="FFFFFF"/>
        </w:rPr>
        <w:t>Tas, A. C., Mordkoff, J. T., &amp; Hollingworth, A. (2021). Object-mediated overwriting across saccades. </w:t>
      </w:r>
      <w:r w:rsidRPr="008C4867">
        <w:rPr>
          <w:rFonts w:ascii="Times New Roman" w:hAnsi="Times New Roman" w:cs="Times New Roman"/>
          <w:i/>
          <w:iCs/>
          <w:color w:val="222222"/>
          <w:shd w:val="clear" w:color="auto" w:fill="FFFFFF"/>
        </w:rPr>
        <w:t>Journal of vision</w:t>
      </w:r>
      <w:r w:rsidRPr="008C4867">
        <w:rPr>
          <w:rFonts w:ascii="Times New Roman" w:hAnsi="Times New Roman" w:cs="Times New Roman"/>
          <w:color w:val="222222"/>
          <w:shd w:val="clear" w:color="auto" w:fill="FFFFFF"/>
        </w:rPr>
        <w:t>, </w:t>
      </w:r>
      <w:r w:rsidRPr="008C4867">
        <w:rPr>
          <w:rFonts w:ascii="Times New Roman" w:hAnsi="Times New Roman" w:cs="Times New Roman"/>
          <w:i/>
          <w:iCs/>
          <w:color w:val="222222"/>
          <w:shd w:val="clear" w:color="auto" w:fill="FFFFFF"/>
        </w:rPr>
        <w:t>21</w:t>
      </w:r>
      <w:r w:rsidRPr="008C4867">
        <w:rPr>
          <w:rFonts w:ascii="Times New Roman" w:hAnsi="Times New Roman" w:cs="Times New Roman"/>
          <w:color w:val="222222"/>
          <w:shd w:val="clear" w:color="auto" w:fill="FFFFFF"/>
        </w:rPr>
        <w:t xml:space="preserve">(2), 3-3. </w:t>
      </w:r>
      <w:r w:rsidRPr="008C4867">
        <w:rPr>
          <w:rFonts w:ascii="Times New Roman" w:hAnsi="Times New Roman" w:cs="Times New Roman"/>
          <w:color w:val="1C1C1C"/>
          <w:shd w:val="clear" w:color="auto" w:fill="FFFFFF"/>
        </w:rPr>
        <w:t>doi:</w:t>
      </w:r>
      <w:hyperlink r:id="rId16" w:history="1">
        <w:r w:rsidRPr="008C4867">
          <w:rPr>
            <w:rStyle w:val="Hyperlink"/>
            <w:rFonts w:ascii="Times New Roman" w:hAnsi="Times New Roman" w:cs="Times New Roman"/>
            <w:color w:val="1B66BF"/>
            <w:shd w:val="clear" w:color="auto" w:fill="FFFFFF"/>
          </w:rPr>
          <w:t>https://doi.org/10.1167/jov.21.2.3</w:t>
        </w:r>
      </w:hyperlink>
    </w:p>
    <w:p w14:paraId="41604929" w14:textId="01F885F5"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color w:val="222222"/>
          <w:shd w:val="clear" w:color="auto" w:fill="FFFFFF"/>
        </w:rPr>
        <w:t>Tas, A. C., Moore, C. M., &amp; Hollingworth, A. (2012). An object-mediated updating account of insensitivity to transsaccadic change. </w:t>
      </w:r>
      <w:r w:rsidRPr="008C4867">
        <w:rPr>
          <w:rFonts w:ascii="Times New Roman" w:hAnsi="Times New Roman" w:cs="Times New Roman"/>
          <w:i/>
          <w:iCs/>
          <w:color w:val="222222"/>
          <w:shd w:val="clear" w:color="auto" w:fill="FFFFFF"/>
        </w:rPr>
        <w:t>Journal of Vision</w:t>
      </w:r>
      <w:r w:rsidRPr="008C4867">
        <w:rPr>
          <w:rFonts w:ascii="Times New Roman" w:hAnsi="Times New Roman" w:cs="Times New Roman"/>
          <w:color w:val="222222"/>
          <w:shd w:val="clear" w:color="auto" w:fill="FFFFFF"/>
        </w:rPr>
        <w:t>, </w:t>
      </w:r>
      <w:r w:rsidRPr="008C4867">
        <w:rPr>
          <w:rFonts w:ascii="Times New Roman" w:hAnsi="Times New Roman" w:cs="Times New Roman"/>
          <w:i/>
          <w:iCs/>
          <w:color w:val="222222"/>
          <w:shd w:val="clear" w:color="auto" w:fill="FFFFFF"/>
        </w:rPr>
        <w:t>12</w:t>
      </w:r>
      <w:r w:rsidRPr="008C4867">
        <w:rPr>
          <w:rFonts w:ascii="Times New Roman" w:hAnsi="Times New Roman" w:cs="Times New Roman"/>
          <w:color w:val="222222"/>
          <w:shd w:val="clear" w:color="auto" w:fill="FFFFFF"/>
        </w:rPr>
        <w:t xml:space="preserve">(11), 18-18. </w:t>
      </w:r>
      <w:r w:rsidRPr="008C4867">
        <w:rPr>
          <w:rFonts w:ascii="Times New Roman" w:hAnsi="Times New Roman" w:cs="Times New Roman"/>
          <w:color w:val="1C1C1C"/>
          <w:shd w:val="clear" w:color="auto" w:fill="FFFFFF"/>
        </w:rPr>
        <w:t>doi:</w:t>
      </w:r>
      <w:hyperlink r:id="rId17" w:history="1">
        <w:r w:rsidRPr="008C4867">
          <w:rPr>
            <w:rStyle w:val="Hyperlink"/>
            <w:rFonts w:ascii="Times New Roman" w:hAnsi="Times New Roman" w:cs="Times New Roman"/>
            <w:color w:val="1B66BF"/>
            <w:shd w:val="clear" w:color="auto" w:fill="FFFFFF"/>
          </w:rPr>
          <w:t>https://doi.org/10.1167/12.11.18</w:t>
        </w:r>
      </w:hyperlink>
    </w:p>
    <w:p w14:paraId="25E37E0A" w14:textId="3637B616"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color w:val="222222"/>
          <w:shd w:val="clear" w:color="auto" w:fill="FFFFFF"/>
        </w:rPr>
      </w:pPr>
      <w:r w:rsidRPr="008C4867">
        <w:rPr>
          <w:rFonts w:ascii="Times New Roman" w:hAnsi="Times New Roman" w:cs="Times New Roman"/>
          <w:color w:val="3A3A3A"/>
          <w:shd w:val="clear" w:color="auto" w:fill="FFFFFF"/>
        </w:rPr>
        <w:t>van Beers, R., Sittig, A., &amp; Gon, J. (1999). Integration of Proprioceptive and Visual Position-Information: An Experimentally Supported Model. </w:t>
      </w:r>
      <w:r w:rsidRPr="008C4867">
        <w:rPr>
          <w:rFonts w:ascii="Times New Roman" w:hAnsi="Times New Roman" w:cs="Times New Roman"/>
          <w:i/>
          <w:iCs/>
          <w:color w:val="3A3A3A"/>
          <w:shd w:val="clear" w:color="auto" w:fill="FFFFFF"/>
        </w:rPr>
        <w:t>Journal of Neurophysiology</w:t>
      </w:r>
      <w:r w:rsidRPr="008C4867">
        <w:rPr>
          <w:rFonts w:ascii="Times New Roman" w:hAnsi="Times New Roman" w:cs="Times New Roman"/>
          <w:color w:val="3A3A3A"/>
          <w:shd w:val="clear" w:color="auto" w:fill="FFFFFF"/>
        </w:rPr>
        <w:t>, </w:t>
      </w:r>
      <w:r w:rsidRPr="008C4867">
        <w:rPr>
          <w:rFonts w:ascii="Times New Roman" w:hAnsi="Times New Roman" w:cs="Times New Roman"/>
          <w:i/>
          <w:iCs/>
          <w:color w:val="3A3A3A"/>
          <w:shd w:val="clear" w:color="auto" w:fill="FFFFFF"/>
        </w:rPr>
        <w:t>81</w:t>
      </w:r>
      <w:r w:rsidRPr="008C4867">
        <w:rPr>
          <w:rFonts w:ascii="Times New Roman" w:hAnsi="Times New Roman" w:cs="Times New Roman"/>
          <w:color w:val="3A3A3A"/>
          <w:shd w:val="clear" w:color="auto" w:fill="FFFFFF"/>
        </w:rPr>
        <w:t>(3), 1355–1364. https://doi.org/10.1152/jn.1999.81.3.1355.</w:t>
      </w:r>
    </w:p>
    <w:p w14:paraId="23671ECD" w14:textId="125138AC"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iCs/>
        </w:rPr>
      </w:pPr>
      <w:r w:rsidRPr="008C4867">
        <w:rPr>
          <w:rFonts w:ascii="Times New Roman" w:hAnsi="Times New Roman" w:cs="Times New Roman"/>
          <w:color w:val="222222"/>
          <w:shd w:val="clear" w:color="auto" w:fill="FFFFFF"/>
        </w:rPr>
        <w:t>van Dam, L. C., Parise, C. V., &amp; Ernst, M. O. (2014). 10 Modeling Multisensory Integration. </w:t>
      </w:r>
      <w:r w:rsidRPr="008C4867">
        <w:rPr>
          <w:rFonts w:ascii="Times New Roman" w:hAnsi="Times New Roman" w:cs="Times New Roman"/>
          <w:i/>
          <w:iCs/>
          <w:color w:val="222222"/>
          <w:shd w:val="clear" w:color="auto" w:fill="FFFFFF"/>
        </w:rPr>
        <w:t>Sensory integration and the unity of consciousness</w:t>
      </w:r>
      <w:r w:rsidRPr="008C4867">
        <w:rPr>
          <w:rFonts w:ascii="Times New Roman" w:hAnsi="Times New Roman" w:cs="Times New Roman"/>
          <w:color w:val="222222"/>
          <w:shd w:val="clear" w:color="auto" w:fill="FFFFFF"/>
        </w:rPr>
        <w:t>, 209.</w:t>
      </w:r>
    </w:p>
    <w:p w14:paraId="461557CB" w14:textId="50F7DE53" w:rsidR="008924E0" w:rsidRPr="008C4867" w:rsidRDefault="008924E0" w:rsidP="008924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hanging="1080"/>
        <w:jc w:val="both"/>
        <w:rPr>
          <w:rFonts w:ascii="Times New Roman" w:hAnsi="Times New Roman" w:cs="Times New Roman"/>
        </w:rPr>
      </w:pPr>
      <w:r w:rsidRPr="008C4867">
        <w:rPr>
          <w:rFonts w:ascii="Times New Roman" w:hAnsi="Times New Roman" w:cs="Times New Roman"/>
          <w:iCs/>
        </w:rPr>
        <w:lastRenderedPageBreak/>
        <w:t>Wolf, C., &amp; Schütz, A. C. (2015). Trans-saccadic integration of peripheral and foveal feature information is close to optimal. Journal of Vision, 15(16), 1, doi:10.1167/15.16.1.</w:t>
      </w:r>
    </w:p>
    <w:p w14:paraId="3BD5DEDD" w14:textId="77777777" w:rsidR="008924E0" w:rsidRPr="008C4867" w:rsidRDefault="008924E0" w:rsidP="008924E0">
      <w:pPr>
        <w:pStyle w:val="AltHeading1"/>
      </w:pPr>
      <w:r w:rsidRPr="008C4867">
        <w:rPr>
          <w:noProof/>
        </w:rPr>
        <w:br w:type="page"/>
      </w:r>
      <w:bookmarkStart w:id="36" w:name="_Toc420995913"/>
      <w:bookmarkStart w:id="37" w:name="_Toc422997500"/>
      <w:bookmarkStart w:id="38" w:name="_Toc427156485"/>
      <w:bookmarkStart w:id="39" w:name="_Toc69573487"/>
      <w:r w:rsidRPr="008C4867">
        <w:lastRenderedPageBreak/>
        <w:t>Vita</w:t>
      </w:r>
      <w:bookmarkEnd w:id="36"/>
      <w:bookmarkEnd w:id="37"/>
      <w:bookmarkEnd w:id="38"/>
      <w:bookmarkEnd w:id="39"/>
    </w:p>
    <w:p w14:paraId="16D38F24" w14:textId="77777777" w:rsidR="008924E0" w:rsidRPr="008C4867" w:rsidRDefault="008924E0" w:rsidP="008924E0">
      <w:pPr>
        <w:spacing w:line="480" w:lineRule="auto"/>
        <w:ind w:firstLine="720"/>
        <w:rPr>
          <w:rFonts w:ascii="Times New Roman" w:hAnsi="Times New Roman" w:cs="Times New Roman"/>
        </w:rPr>
      </w:pPr>
      <w:r w:rsidRPr="008C4867">
        <w:rPr>
          <w:rFonts w:ascii="Times New Roman" w:hAnsi="Times New Roman" w:cs="Times New Roman"/>
        </w:rPr>
        <w:t>While Jessica L. Parker was raised in Texas, she eventually moved to Ohio and graduated from The Ohio State University with a Bachelor of Science in Psychology and research distinction. In her undergraduate program and continuing collaborations since, she did research in multisensory processing. As she approached graduation, it became clear that she wanted to further pursue her education. She decided to pursue her Master's degree at the University of Tennessee, Knoxville to examine aspects of visual cognition, such as transsaccadic perception and updating. Upon completion of her Master's degree, she will continue her work at the University of Tennessee in pursuit of her Doctor of Philosophy degree. She is grateful to have the strong support of her family and partner as she pursues her education.</w:t>
      </w:r>
    </w:p>
    <w:p w14:paraId="4D271D29" w14:textId="77777777" w:rsidR="008924E0" w:rsidRPr="008C4867" w:rsidRDefault="008924E0" w:rsidP="008924E0">
      <w:pPr>
        <w:spacing w:line="480" w:lineRule="auto"/>
        <w:rPr>
          <w:rFonts w:ascii="Times New Roman" w:hAnsi="Times New Roman" w:cs="Times New Roman"/>
        </w:rPr>
      </w:pPr>
    </w:p>
    <w:bookmarkEnd w:id="0"/>
    <w:p w14:paraId="709699DD" w14:textId="77777777" w:rsidR="008924E0" w:rsidRPr="008C4867" w:rsidRDefault="008924E0" w:rsidP="008924E0">
      <w:pPr>
        <w:spacing w:line="480" w:lineRule="auto"/>
        <w:rPr>
          <w:rFonts w:ascii="Times New Roman" w:hAnsi="Times New Roman" w:cs="Times New Roman"/>
        </w:rPr>
      </w:pPr>
    </w:p>
    <w:p w14:paraId="74A18893" w14:textId="77777777" w:rsidR="00886DEC" w:rsidRPr="008C4867" w:rsidRDefault="00886DEC" w:rsidP="008924E0">
      <w:pPr>
        <w:spacing w:line="480" w:lineRule="auto"/>
        <w:rPr>
          <w:rFonts w:ascii="Times New Roman" w:hAnsi="Times New Roman" w:cs="Times New Roman"/>
        </w:rPr>
      </w:pPr>
    </w:p>
    <w:sectPr w:rsidR="00886DEC" w:rsidRPr="008C4867" w:rsidSect="00886DEC">
      <w:headerReference w:type="even" r:id="rId18"/>
      <w:headerReference w:type="default" r:id="rId19"/>
      <w:footerReference w:type="default" r:id="rId2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A8A0A" w14:textId="77777777" w:rsidR="00DB02E5" w:rsidRDefault="00DB02E5" w:rsidP="008924E0">
      <w:r>
        <w:separator/>
      </w:r>
    </w:p>
  </w:endnote>
  <w:endnote w:type="continuationSeparator" w:id="0">
    <w:p w14:paraId="4EC59A4C" w14:textId="77777777" w:rsidR="00DB02E5" w:rsidRDefault="00DB02E5" w:rsidP="0089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937653"/>
      <w:docPartObj>
        <w:docPartGallery w:val="Page Numbers (Bottom of Page)"/>
        <w:docPartUnique/>
      </w:docPartObj>
    </w:sdtPr>
    <w:sdtEndPr>
      <w:rPr>
        <w:noProof/>
      </w:rPr>
    </w:sdtEndPr>
    <w:sdtContent>
      <w:p w14:paraId="411CC992" w14:textId="77777777" w:rsidR="00886DEC" w:rsidRPr="008924E0" w:rsidRDefault="00886DEC">
        <w:pPr>
          <w:pStyle w:val="Footer"/>
          <w:jc w:val="center"/>
          <w:rPr>
            <w:rFonts w:ascii="Times New Roman" w:hAnsi="Times New Roman" w:cs="Times New Roman"/>
          </w:rPr>
        </w:pPr>
        <w:r w:rsidRPr="008924E0">
          <w:rPr>
            <w:rFonts w:ascii="Times New Roman" w:hAnsi="Times New Roman" w:cs="Times New Roman"/>
          </w:rPr>
          <w:fldChar w:fldCharType="begin"/>
        </w:r>
        <w:r w:rsidRPr="008924E0">
          <w:rPr>
            <w:rFonts w:ascii="Times New Roman" w:hAnsi="Times New Roman" w:cs="Times New Roman"/>
          </w:rPr>
          <w:instrText xml:space="preserve"> PAGE   \* MERGEFORMAT </w:instrText>
        </w:r>
        <w:r w:rsidRPr="008924E0">
          <w:rPr>
            <w:rFonts w:ascii="Times New Roman" w:hAnsi="Times New Roman" w:cs="Times New Roman"/>
          </w:rPr>
          <w:fldChar w:fldCharType="separate"/>
        </w:r>
        <w:r w:rsidRPr="008924E0">
          <w:rPr>
            <w:rFonts w:ascii="Times New Roman" w:hAnsi="Times New Roman" w:cs="Times New Roman"/>
            <w:noProof/>
          </w:rPr>
          <w:t>iv</w:t>
        </w:r>
        <w:r w:rsidRPr="008924E0">
          <w:rPr>
            <w:rFonts w:ascii="Times New Roman" w:hAnsi="Times New Roman" w:cs="Times New Roman"/>
            <w:noProof/>
          </w:rPr>
          <w:fldChar w:fldCharType="end"/>
        </w:r>
      </w:p>
    </w:sdtContent>
  </w:sdt>
  <w:p w14:paraId="086DB325" w14:textId="77777777" w:rsidR="00886DEC" w:rsidRDefault="00886D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291986760"/>
      <w:docPartObj>
        <w:docPartGallery w:val="Page Numbers (Bottom of Page)"/>
        <w:docPartUnique/>
      </w:docPartObj>
    </w:sdtPr>
    <w:sdtEndPr>
      <w:rPr>
        <w:noProof/>
      </w:rPr>
    </w:sdtEndPr>
    <w:sdtContent>
      <w:p w14:paraId="6DDB4B29" w14:textId="77777777" w:rsidR="00886DEC" w:rsidRPr="00FD023D" w:rsidRDefault="00886DEC">
        <w:pPr>
          <w:pStyle w:val="Footer"/>
          <w:jc w:val="center"/>
          <w:rPr>
            <w:rFonts w:ascii="Times New Roman" w:hAnsi="Times New Roman" w:cs="Times New Roman"/>
          </w:rPr>
        </w:pPr>
        <w:r w:rsidRPr="00FD023D">
          <w:rPr>
            <w:rFonts w:ascii="Times New Roman" w:hAnsi="Times New Roman" w:cs="Times New Roman"/>
          </w:rPr>
          <w:fldChar w:fldCharType="begin"/>
        </w:r>
        <w:r w:rsidRPr="00FD023D">
          <w:rPr>
            <w:rFonts w:ascii="Times New Roman" w:hAnsi="Times New Roman" w:cs="Times New Roman"/>
          </w:rPr>
          <w:instrText xml:space="preserve"> PAGE   \* MERGEFORMAT </w:instrText>
        </w:r>
        <w:r w:rsidRPr="00FD023D">
          <w:rPr>
            <w:rFonts w:ascii="Times New Roman" w:hAnsi="Times New Roman" w:cs="Times New Roman"/>
          </w:rPr>
          <w:fldChar w:fldCharType="separate"/>
        </w:r>
        <w:r w:rsidRPr="00FD023D">
          <w:rPr>
            <w:rFonts w:ascii="Times New Roman" w:hAnsi="Times New Roman" w:cs="Times New Roman"/>
            <w:noProof/>
          </w:rPr>
          <w:t>iv</w:t>
        </w:r>
        <w:r w:rsidRPr="00FD023D">
          <w:rPr>
            <w:rFonts w:ascii="Times New Roman" w:hAnsi="Times New Roman" w:cs="Times New Roman"/>
            <w:noProof/>
          </w:rPr>
          <w:fldChar w:fldCharType="end"/>
        </w:r>
      </w:p>
    </w:sdtContent>
  </w:sdt>
  <w:p w14:paraId="10DF5C4F" w14:textId="77777777" w:rsidR="00886DEC" w:rsidRDefault="00886D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81F762" w14:textId="77777777" w:rsidR="00DB02E5" w:rsidRDefault="00DB02E5" w:rsidP="008924E0">
      <w:r>
        <w:separator/>
      </w:r>
    </w:p>
  </w:footnote>
  <w:footnote w:type="continuationSeparator" w:id="0">
    <w:p w14:paraId="6A67E7EB" w14:textId="77777777" w:rsidR="00DB02E5" w:rsidRDefault="00DB02E5" w:rsidP="00892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E42AE6" w14:textId="77777777" w:rsidR="00886DEC" w:rsidRDefault="00886DEC">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3F0BE" w14:textId="77777777" w:rsidR="00886DEC" w:rsidRDefault="00886DEC">
    <w:pPr>
      <w:spacing w:line="34"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6001F" w14:textId="77777777" w:rsidR="00886DEC" w:rsidRDefault="00886DEC">
    <w:pPr>
      <w:spacing w:line="34"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55788" w14:textId="77777777" w:rsidR="00886DEC" w:rsidRDefault="00886DEC">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 w15:restartNumberingAfterBreak="0">
    <w:nsid w:val="4BCD41A3"/>
    <w:multiLevelType w:val="multilevel"/>
    <w:tmpl w:val="2D6E2B34"/>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59F96E17"/>
    <w:multiLevelType w:val="hybridMultilevel"/>
    <w:tmpl w:val="B96E5A1A"/>
    <w:lvl w:ilvl="0" w:tplc="3BAA4086">
      <w:start w:val="60"/>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921407"/>
    <w:multiLevelType w:val="hybridMultilevel"/>
    <w:tmpl w:val="27C876F6"/>
    <w:lvl w:ilvl="0" w:tplc="9F02B95A">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E0"/>
    <w:rsid w:val="00140E1E"/>
    <w:rsid w:val="001C7F1B"/>
    <w:rsid w:val="002413C9"/>
    <w:rsid w:val="0025557A"/>
    <w:rsid w:val="002A4CED"/>
    <w:rsid w:val="003D67FF"/>
    <w:rsid w:val="00570DC7"/>
    <w:rsid w:val="00617600"/>
    <w:rsid w:val="006848DD"/>
    <w:rsid w:val="00753CD3"/>
    <w:rsid w:val="007A44A3"/>
    <w:rsid w:val="00850A62"/>
    <w:rsid w:val="0087402D"/>
    <w:rsid w:val="00886DEC"/>
    <w:rsid w:val="008924E0"/>
    <w:rsid w:val="008C4867"/>
    <w:rsid w:val="00927C3D"/>
    <w:rsid w:val="00AF129C"/>
    <w:rsid w:val="00B15271"/>
    <w:rsid w:val="00C35B0F"/>
    <w:rsid w:val="00CA301D"/>
    <w:rsid w:val="00D2099E"/>
    <w:rsid w:val="00DA242C"/>
    <w:rsid w:val="00DB02E5"/>
    <w:rsid w:val="00E66C8F"/>
    <w:rsid w:val="00FD0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92F59"/>
  <w15:chartTrackingRefBased/>
  <w15:docId w15:val="{ABF419F0-B3F4-41FD-B3E6-F09A32AF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4E0"/>
    <w:pPr>
      <w:spacing w:after="0" w:line="240" w:lineRule="auto"/>
    </w:pPr>
    <w:rPr>
      <w:rFonts w:ascii="Arial" w:eastAsia="Times New Roman" w:hAnsi="Arial" w:cs="Arial"/>
      <w:sz w:val="24"/>
      <w:szCs w:val="24"/>
    </w:rPr>
  </w:style>
  <w:style w:type="paragraph" w:styleId="Heading1">
    <w:name w:val="heading 1"/>
    <w:basedOn w:val="Normal"/>
    <w:next w:val="Normal"/>
    <w:link w:val="Heading1Char"/>
    <w:autoRedefine/>
    <w:qFormat/>
    <w:rsid w:val="008924E0"/>
    <w:pPr>
      <w:numPr>
        <w:numId w:val="4"/>
      </w:numPr>
      <w:autoSpaceDE w:val="0"/>
      <w:autoSpaceDN w:val="0"/>
      <w:adjustRightInd w:val="0"/>
      <w:spacing w:before="120" w:after="120" w:line="480" w:lineRule="auto"/>
      <w:jc w:val="center"/>
      <w:outlineLvl w:val="0"/>
    </w:pPr>
    <w:rPr>
      <w:b/>
      <w:bCs/>
      <w:caps/>
      <w:color w:val="000000" w:themeColor="text1"/>
      <w:sz w:val="28"/>
    </w:rPr>
  </w:style>
  <w:style w:type="paragraph" w:styleId="Heading2">
    <w:name w:val="heading 2"/>
    <w:basedOn w:val="Normal"/>
    <w:next w:val="Normal"/>
    <w:link w:val="Heading2Char"/>
    <w:autoRedefine/>
    <w:qFormat/>
    <w:rsid w:val="008924E0"/>
    <w:pPr>
      <w:keepNext/>
      <w:spacing w:before="240" w:after="60" w:line="480" w:lineRule="auto"/>
      <w:jc w:val="center"/>
      <w:outlineLvl w:val="1"/>
    </w:pPr>
    <w:rPr>
      <w:b/>
      <w:bCs/>
      <w:iCs/>
      <w:sz w:val="28"/>
      <w:szCs w:val="28"/>
    </w:rPr>
  </w:style>
  <w:style w:type="paragraph" w:styleId="Heading3">
    <w:name w:val="heading 3"/>
    <w:basedOn w:val="Normal"/>
    <w:next w:val="Normal"/>
    <w:link w:val="Heading3Char"/>
    <w:autoRedefine/>
    <w:qFormat/>
    <w:rsid w:val="008924E0"/>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8924E0"/>
    <w:pPr>
      <w:keepNext/>
      <w:keepLines/>
      <w:numPr>
        <w:ilvl w:val="3"/>
        <w:numId w:val="2"/>
      </w:numPr>
      <w:spacing w:before="40"/>
      <w:outlineLvl w:val="3"/>
    </w:pPr>
    <w:rPr>
      <w:rFonts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8924E0"/>
    <w:pPr>
      <w:keepNext/>
      <w:keepLines/>
      <w:numPr>
        <w:ilvl w:val="4"/>
        <w:numId w:val="2"/>
      </w:numPr>
      <w:spacing w:before="40"/>
      <w:outlineLvl w:val="4"/>
    </w:pPr>
    <w:rPr>
      <w:rFonts w:eastAsiaTheme="majorEastAsia" w:cstheme="majorBidi"/>
      <w:color w:val="2F5496" w:themeColor="accent1" w:themeShade="BF"/>
    </w:rPr>
  </w:style>
  <w:style w:type="paragraph" w:styleId="Heading6">
    <w:name w:val="heading 6"/>
    <w:basedOn w:val="Normal"/>
    <w:next w:val="Normal"/>
    <w:link w:val="Heading6Char"/>
    <w:semiHidden/>
    <w:unhideWhenUsed/>
    <w:qFormat/>
    <w:rsid w:val="008924E0"/>
    <w:pPr>
      <w:keepNext/>
      <w:keepLines/>
      <w:numPr>
        <w:ilvl w:val="5"/>
        <w:numId w:val="2"/>
      </w:numPr>
      <w:spacing w:before="40"/>
      <w:outlineLvl w:val="5"/>
    </w:pPr>
    <w:rPr>
      <w:rFonts w:eastAsiaTheme="majorEastAsia" w:cstheme="majorBidi"/>
      <w:color w:val="1F3763" w:themeColor="accent1" w:themeShade="7F"/>
    </w:rPr>
  </w:style>
  <w:style w:type="paragraph" w:styleId="Heading7">
    <w:name w:val="heading 7"/>
    <w:basedOn w:val="Normal"/>
    <w:next w:val="Normal"/>
    <w:link w:val="Heading7Char"/>
    <w:semiHidden/>
    <w:unhideWhenUsed/>
    <w:qFormat/>
    <w:rsid w:val="008924E0"/>
    <w:pPr>
      <w:keepNext/>
      <w:keepLines/>
      <w:numPr>
        <w:ilvl w:val="6"/>
        <w:numId w:val="2"/>
      </w:numPr>
      <w:spacing w:before="40"/>
      <w:outlineLvl w:val="6"/>
    </w:pPr>
    <w:rPr>
      <w:rFonts w:eastAsiaTheme="majorEastAsia" w:cstheme="majorBidi"/>
      <w:i/>
      <w:iCs/>
      <w:color w:val="1F3763" w:themeColor="accent1" w:themeShade="7F"/>
    </w:rPr>
  </w:style>
  <w:style w:type="paragraph" w:styleId="Heading8">
    <w:name w:val="heading 8"/>
    <w:basedOn w:val="Normal"/>
    <w:next w:val="Normal"/>
    <w:link w:val="Heading8Char"/>
    <w:semiHidden/>
    <w:unhideWhenUsed/>
    <w:qFormat/>
    <w:rsid w:val="008924E0"/>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8924E0"/>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24E0"/>
    <w:rPr>
      <w:rFonts w:ascii="Arial" w:eastAsia="Times New Roman" w:hAnsi="Arial" w:cs="Arial"/>
      <w:b/>
      <w:bCs/>
      <w:caps/>
      <w:color w:val="000000" w:themeColor="text1"/>
      <w:sz w:val="28"/>
      <w:szCs w:val="24"/>
    </w:rPr>
  </w:style>
  <w:style w:type="character" w:customStyle="1" w:styleId="Heading2Char">
    <w:name w:val="Heading 2 Char"/>
    <w:basedOn w:val="DefaultParagraphFont"/>
    <w:link w:val="Heading2"/>
    <w:rsid w:val="008924E0"/>
    <w:rPr>
      <w:rFonts w:ascii="Arial" w:eastAsia="Times New Roman" w:hAnsi="Arial" w:cs="Arial"/>
      <w:b/>
      <w:bCs/>
      <w:iCs/>
      <w:sz w:val="28"/>
      <w:szCs w:val="28"/>
    </w:rPr>
  </w:style>
  <w:style w:type="character" w:customStyle="1" w:styleId="Heading3Char">
    <w:name w:val="Heading 3 Char"/>
    <w:basedOn w:val="DefaultParagraphFont"/>
    <w:link w:val="Heading3"/>
    <w:rsid w:val="008924E0"/>
    <w:rPr>
      <w:rFonts w:ascii="Arial" w:eastAsia="Times New Roman" w:hAnsi="Arial" w:cs="Arial"/>
      <w:b/>
      <w:bCs/>
      <w:i/>
      <w:sz w:val="24"/>
      <w:szCs w:val="26"/>
    </w:rPr>
  </w:style>
  <w:style w:type="character" w:customStyle="1" w:styleId="Heading4Char">
    <w:name w:val="Heading 4 Char"/>
    <w:basedOn w:val="DefaultParagraphFont"/>
    <w:link w:val="Heading4"/>
    <w:semiHidden/>
    <w:rsid w:val="008924E0"/>
    <w:rPr>
      <w:rFonts w:ascii="Arial" w:eastAsiaTheme="majorEastAsia" w:hAnsi="Arial" w:cstheme="majorBidi"/>
      <w:i/>
      <w:iCs/>
      <w:color w:val="2F5496" w:themeColor="accent1" w:themeShade="BF"/>
      <w:sz w:val="24"/>
      <w:szCs w:val="24"/>
    </w:rPr>
  </w:style>
  <w:style w:type="character" w:customStyle="1" w:styleId="Heading5Char">
    <w:name w:val="Heading 5 Char"/>
    <w:basedOn w:val="DefaultParagraphFont"/>
    <w:link w:val="Heading5"/>
    <w:semiHidden/>
    <w:rsid w:val="008924E0"/>
    <w:rPr>
      <w:rFonts w:ascii="Arial" w:eastAsiaTheme="majorEastAsia" w:hAnsi="Arial" w:cstheme="majorBidi"/>
      <w:color w:val="2F5496" w:themeColor="accent1" w:themeShade="BF"/>
      <w:sz w:val="24"/>
      <w:szCs w:val="24"/>
    </w:rPr>
  </w:style>
  <w:style w:type="character" w:customStyle="1" w:styleId="Heading6Char">
    <w:name w:val="Heading 6 Char"/>
    <w:basedOn w:val="DefaultParagraphFont"/>
    <w:link w:val="Heading6"/>
    <w:semiHidden/>
    <w:rsid w:val="008924E0"/>
    <w:rPr>
      <w:rFonts w:ascii="Arial" w:eastAsiaTheme="majorEastAsia" w:hAnsi="Arial" w:cstheme="majorBidi"/>
      <w:color w:val="1F3763" w:themeColor="accent1" w:themeShade="7F"/>
      <w:sz w:val="24"/>
      <w:szCs w:val="24"/>
    </w:rPr>
  </w:style>
  <w:style w:type="character" w:customStyle="1" w:styleId="Heading7Char">
    <w:name w:val="Heading 7 Char"/>
    <w:basedOn w:val="DefaultParagraphFont"/>
    <w:link w:val="Heading7"/>
    <w:semiHidden/>
    <w:rsid w:val="008924E0"/>
    <w:rPr>
      <w:rFonts w:ascii="Arial" w:eastAsiaTheme="majorEastAsia" w:hAnsi="Arial" w:cstheme="majorBidi"/>
      <w:i/>
      <w:iCs/>
      <w:color w:val="1F3763" w:themeColor="accent1" w:themeShade="7F"/>
      <w:sz w:val="24"/>
      <w:szCs w:val="24"/>
    </w:rPr>
  </w:style>
  <w:style w:type="character" w:customStyle="1" w:styleId="Heading8Char">
    <w:name w:val="Heading 8 Char"/>
    <w:basedOn w:val="DefaultParagraphFont"/>
    <w:link w:val="Heading8"/>
    <w:semiHidden/>
    <w:rsid w:val="008924E0"/>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semiHidden/>
    <w:rsid w:val="008924E0"/>
    <w:rPr>
      <w:rFonts w:ascii="Arial" w:eastAsiaTheme="majorEastAsia" w:hAnsi="Arial" w:cstheme="majorBidi"/>
      <w:i/>
      <w:iCs/>
      <w:color w:val="272727" w:themeColor="text1" w:themeTint="D8"/>
      <w:sz w:val="21"/>
      <w:szCs w:val="21"/>
    </w:rPr>
  </w:style>
  <w:style w:type="paragraph" w:styleId="Footer">
    <w:name w:val="footer"/>
    <w:basedOn w:val="Normal"/>
    <w:link w:val="FooterChar"/>
    <w:uiPriority w:val="99"/>
    <w:rsid w:val="008924E0"/>
    <w:pPr>
      <w:tabs>
        <w:tab w:val="center" w:pos="4320"/>
        <w:tab w:val="right" w:pos="8640"/>
      </w:tabs>
    </w:pPr>
  </w:style>
  <w:style w:type="character" w:customStyle="1" w:styleId="FooterChar">
    <w:name w:val="Footer Char"/>
    <w:basedOn w:val="DefaultParagraphFont"/>
    <w:link w:val="Footer"/>
    <w:uiPriority w:val="99"/>
    <w:rsid w:val="008924E0"/>
    <w:rPr>
      <w:rFonts w:ascii="Arial" w:eastAsia="Times New Roman" w:hAnsi="Arial" w:cs="Arial"/>
      <w:sz w:val="24"/>
      <w:szCs w:val="24"/>
    </w:rPr>
  </w:style>
  <w:style w:type="paragraph" w:styleId="Header">
    <w:name w:val="header"/>
    <w:basedOn w:val="Normal"/>
    <w:link w:val="HeaderChar"/>
    <w:rsid w:val="008924E0"/>
    <w:pPr>
      <w:tabs>
        <w:tab w:val="center" w:pos="4320"/>
        <w:tab w:val="right" w:pos="8640"/>
      </w:tabs>
    </w:pPr>
  </w:style>
  <w:style w:type="character" w:customStyle="1" w:styleId="HeaderChar">
    <w:name w:val="Header Char"/>
    <w:basedOn w:val="DefaultParagraphFont"/>
    <w:link w:val="Header"/>
    <w:rsid w:val="008924E0"/>
    <w:rPr>
      <w:rFonts w:ascii="Arial" w:eastAsia="Times New Roman" w:hAnsi="Arial" w:cs="Arial"/>
      <w:sz w:val="24"/>
      <w:szCs w:val="24"/>
    </w:rPr>
  </w:style>
  <w:style w:type="paragraph" w:customStyle="1" w:styleId="Level1">
    <w:name w:val="Level 1"/>
    <w:rsid w:val="008924E0"/>
    <w:pPr>
      <w:autoSpaceDE w:val="0"/>
      <w:autoSpaceDN w:val="0"/>
      <w:adjustRightInd w:val="0"/>
      <w:spacing w:after="0" w:line="240" w:lineRule="auto"/>
      <w:ind w:left="720"/>
    </w:pPr>
    <w:rPr>
      <w:rFonts w:ascii="Times New Roman" w:eastAsia="Times New Roman" w:hAnsi="Times New Roman" w:cs="Arial"/>
      <w:sz w:val="24"/>
      <w:szCs w:val="24"/>
    </w:rPr>
  </w:style>
  <w:style w:type="character" w:customStyle="1" w:styleId="SYSHYPERTEXT">
    <w:name w:val="SYS_HYPERTEXT"/>
    <w:rsid w:val="008924E0"/>
    <w:rPr>
      <w:noProof/>
      <w:color w:val="0000FF"/>
      <w:u w:val="single"/>
    </w:rPr>
  </w:style>
  <w:style w:type="character" w:customStyle="1" w:styleId="QuickFormat2">
    <w:name w:val="QuickFormat2"/>
    <w:rsid w:val="008924E0"/>
    <w:rPr>
      <w:rFonts w:ascii="Arial" w:hAnsi="Arial" w:cs="Arial"/>
    </w:rPr>
  </w:style>
  <w:style w:type="character" w:customStyle="1" w:styleId="QuickFormat3">
    <w:name w:val="QuickFormat3"/>
    <w:rsid w:val="008924E0"/>
    <w:rPr>
      <w:rFonts w:ascii="Arial" w:hAnsi="Arial" w:cs="Arial"/>
      <w:b/>
      <w:bCs/>
      <w:i/>
      <w:iCs/>
    </w:rPr>
  </w:style>
  <w:style w:type="paragraph" w:styleId="Title">
    <w:name w:val="Title"/>
    <w:basedOn w:val="Normal"/>
    <w:link w:val="TitleChar"/>
    <w:autoRedefine/>
    <w:qFormat/>
    <w:rsid w:val="008924E0"/>
    <w:pPr>
      <w:autoSpaceDE w:val="0"/>
      <w:autoSpaceDN w:val="0"/>
      <w:adjustRightInd w:val="0"/>
      <w:jc w:val="center"/>
    </w:pPr>
    <w:rPr>
      <w:sz w:val="28"/>
      <w:szCs w:val="28"/>
    </w:rPr>
  </w:style>
  <w:style w:type="character" w:customStyle="1" w:styleId="TitleChar">
    <w:name w:val="Title Char"/>
    <w:basedOn w:val="DefaultParagraphFont"/>
    <w:link w:val="Title"/>
    <w:rsid w:val="008924E0"/>
    <w:rPr>
      <w:rFonts w:ascii="Arial" w:eastAsia="Times New Roman" w:hAnsi="Arial" w:cs="Arial"/>
      <w:sz w:val="28"/>
      <w:szCs w:val="28"/>
    </w:rPr>
  </w:style>
  <w:style w:type="paragraph" w:styleId="BodyText">
    <w:name w:val="Body Text"/>
    <w:basedOn w:val="Normal"/>
    <w:link w:val="BodyTextChar"/>
    <w:rsid w:val="008924E0"/>
    <w:pPr>
      <w:autoSpaceDE w:val="0"/>
      <w:autoSpaceDN w:val="0"/>
      <w:adjustRightInd w:val="0"/>
    </w:pPr>
    <w:rPr>
      <w:sz w:val="22"/>
      <w:szCs w:val="22"/>
    </w:rPr>
  </w:style>
  <w:style w:type="character" w:customStyle="1" w:styleId="BodyTextChar">
    <w:name w:val="Body Text Char"/>
    <w:basedOn w:val="DefaultParagraphFont"/>
    <w:link w:val="BodyText"/>
    <w:rsid w:val="008924E0"/>
    <w:rPr>
      <w:rFonts w:ascii="Arial" w:eastAsia="Times New Roman" w:hAnsi="Arial" w:cs="Arial"/>
    </w:rPr>
  </w:style>
  <w:style w:type="paragraph" w:styleId="Subtitle">
    <w:name w:val="Subtitle"/>
    <w:basedOn w:val="Normal"/>
    <w:link w:val="SubtitleChar"/>
    <w:autoRedefine/>
    <w:qFormat/>
    <w:rsid w:val="008924E0"/>
    <w:pPr>
      <w:autoSpaceDE w:val="0"/>
      <w:autoSpaceDN w:val="0"/>
      <w:adjustRightInd w:val="0"/>
    </w:pPr>
    <w:rPr>
      <w:b/>
      <w:bCs/>
    </w:rPr>
  </w:style>
  <w:style w:type="character" w:customStyle="1" w:styleId="SubtitleChar">
    <w:name w:val="Subtitle Char"/>
    <w:basedOn w:val="DefaultParagraphFont"/>
    <w:link w:val="Subtitle"/>
    <w:rsid w:val="008924E0"/>
    <w:rPr>
      <w:rFonts w:ascii="Arial" w:eastAsia="Times New Roman" w:hAnsi="Arial" w:cs="Arial"/>
      <w:b/>
      <w:bCs/>
      <w:sz w:val="24"/>
      <w:szCs w:val="24"/>
    </w:rPr>
  </w:style>
  <w:style w:type="paragraph" w:styleId="BodyTextIndent">
    <w:name w:val="Body Text Indent"/>
    <w:basedOn w:val="Normal"/>
    <w:link w:val="BodyTextIndentChar"/>
    <w:rsid w:val="008924E0"/>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8924E0"/>
    <w:rPr>
      <w:rFonts w:ascii="Arial" w:eastAsia="Times New Roman" w:hAnsi="Arial" w:cs="Arial"/>
      <w:sz w:val="32"/>
      <w:szCs w:val="32"/>
    </w:rPr>
  </w:style>
  <w:style w:type="paragraph" w:customStyle="1" w:styleId="QuickFormat6">
    <w:name w:val="QuickFormat6"/>
    <w:rsid w:val="008924E0"/>
    <w:pPr>
      <w:autoSpaceDE w:val="0"/>
      <w:autoSpaceDN w:val="0"/>
      <w:adjustRightInd w:val="0"/>
      <w:spacing w:after="0" w:line="240" w:lineRule="auto"/>
    </w:pPr>
    <w:rPr>
      <w:rFonts w:ascii="Times New Roman" w:eastAsia="Times New Roman" w:hAnsi="Times New Roman" w:cs="Arial"/>
      <w:sz w:val="24"/>
      <w:szCs w:val="24"/>
    </w:rPr>
  </w:style>
  <w:style w:type="character" w:styleId="PageNumber">
    <w:name w:val="page number"/>
    <w:basedOn w:val="DefaultParagraphFont"/>
    <w:rsid w:val="008924E0"/>
  </w:style>
  <w:style w:type="paragraph" w:styleId="BodyText2">
    <w:name w:val="Body Text 2"/>
    <w:basedOn w:val="Normal"/>
    <w:link w:val="BodyText2Char"/>
    <w:rsid w:val="008924E0"/>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character" w:customStyle="1" w:styleId="BodyText2Char">
    <w:name w:val="Body Text 2 Char"/>
    <w:basedOn w:val="DefaultParagraphFont"/>
    <w:link w:val="BodyText2"/>
    <w:rsid w:val="008924E0"/>
    <w:rPr>
      <w:rFonts w:ascii="Arial" w:eastAsia="Times New Roman" w:hAnsi="Arial" w:cs="Arial"/>
      <w:noProof/>
      <w:sz w:val="24"/>
      <w:szCs w:val="24"/>
    </w:rPr>
  </w:style>
  <w:style w:type="paragraph" w:styleId="BodyTextIndent2">
    <w:name w:val="Body Text Indent 2"/>
    <w:basedOn w:val="Normal"/>
    <w:link w:val="BodyTextIndent2Char"/>
    <w:rsid w:val="008924E0"/>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character" w:customStyle="1" w:styleId="BodyTextIndent2Char">
    <w:name w:val="Body Text Indent 2 Char"/>
    <w:basedOn w:val="DefaultParagraphFont"/>
    <w:link w:val="BodyTextIndent2"/>
    <w:rsid w:val="008924E0"/>
    <w:rPr>
      <w:rFonts w:ascii="Arial" w:eastAsia="Times New Roman" w:hAnsi="Arial" w:cs="Arial"/>
      <w:sz w:val="17"/>
      <w:szCs w:val="17"/>
    </w:rPr>
  </w:style>
  <w:style w:type="paragraph" w:styleId="BodyTextIndent3">
    <w:name w:val="Body Text Indent 3"/>
    <w:basedOn w:val="Normal"/>
    <w:link w:val="BodyTextIndent3Char"/>
    <w:rsid w:val="008924E0"/>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character" w:customStyle="1" w:styleId="BodyTextIndent3Char">
    <w:name w:val="Body Text Indent 3 Char"/>
    <w:basedOn w:val="DefaultParagraphFont"/>
    <w:link w:val="BodyTextIndent3"/>
    <w:rsid w:val="008924E0"/>
    <w:rPr>
      <w:rFonts w:ascii="Arial" w:eastAsia="Times New Roman" w:hAnsi="Arial" w:cs="Arial"/>
      <w:sz w:val="20"/>
      <w:szCs w:val="24"/>
    </w:rPr>
  </w:style>
  <w:style w:type="paragraph" w:styleId="BlockText">
    <w:name w:val="Block Text"/>
    <w:basedOn w:val="Normal"/>
    <w:rsid w:val="008924E0"/>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8924E0"/>
    <w:pPr>
      <w:spacing w:after="0" w:line="240" w:lineRule="auto"/>
    </w:pPr>
    <w:rPr>
      <w:rFonts w:ascii="Times New Roman" w:eastAsia="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8924E0"/>
    <w:pPr>
      <w:ind w:left="480" w:hanging="480"/>
    </w:pPr>
  </w:style>
  <w:style w:type="character" w:styleId="Hyperlink">
    <w:name w:val="Hyperlink"/>
    <w:uiPriority w:val="99"/>
    <w:qFormat/>
    <w:rsid w:val="008924E0"/>
    <w:rPr>
      <w:rFonts w:ascii="Arial" w:hAnsi="Arial"/>
      <w:color w:val="auto"/>
      <w:sz w:val="24"/>
      <w:u w:val="none"/>
    </w:rPr>
  </w:style>
  <w:style w:type="paragraph" w:styleId="TOC1">
    <w:name w:val="toc 1"/>
    <w:basedOn w:val="Normal"/>
    <w:next w:val="Normal"/>
    <w:autoRedefine/>
    <w:uiPriority w:val="39"/>
    <w:rsid w:val="00886DEC"/>
    <w:pPr>
      <w:tabs>
        <w:tab w:val="right" w:leader="dot" w:pos="8630"/>
      </w:tabs>
    </w:pPr>
    <w:rPr>
      <w:rFonts w:ascii="Times New Roman" w:hAnsi="Times New Roman" w:cs="Times New Roman"/>
      <w:noProof/>
    </w:rPr>
  </w:style>
  <w:style w:type="paragraph" w:styleId="TOC2">
    <w:name w:val="toc 2"/>
    <w:basedOn w:val="Normal"/>
    <w:next w:val="Normal"/>
    <w:autoRedefine/>
    <w:uiPriority w:val="39"/>
    <w:rsid w:val="008924E0"/>
    <w:pPr>
      <w:ind w:left="240"/>
    </w:pPr>
  </w:style>
  <w:style w:type="paragraph" w:styleId="TOC3">
    <w:name w:val="toc 3"/>
    <w:basedOn w:val="Normal"/>
    <w:next w:val="Normal"/>
    <w:autoRedefine/>
    <w:uiPriority w:val="39"/>
    <w:rsid w:val="008924E0"/>
    <w:pPr>
      <w:ind w:left="480"/>
    </w:pPr>
  </w:style>
  <w:style w:type="paragraph" w:styleId="TOC4">
    <w:name w:val="toc 4"/>
    <w:basedOn w:val="Normal"/>
    <w:next w:val="Normal"/>
    <w:autoRedefine/>
    <w:semiHidden/>
    <w:rsid w:val="008924E0"/>
    <w:pPr>
      <w:ind w:left="720"/>
    </w:pPr>
  </w:style>
  <w:style w:type="paragraph" w:styleId="TOC5">
    <w:name w:val="toc 5"/>
    <w:basedOn w:val="Normal"/>
    <w:next w:val="Normal"/>
    <w:autoRedefine/>
    <w:semiHidden/>
    <w:rsid w:val="008924E0"/>
    <w:pPr>
      <w:ind w:left="960"/>
    </w:pPr>
  </w:style>
  <w:style w:type="paragraph" w:styleId="TOC6">
    <w:name w:val="toc 6"/>
    <w:basedOn w:val="Normal"/>
    <w:next w:val="Normal"/>
    <w:autoRedefine/>
    <w:semiHidden/>
    <w:rsid w:val="008924E0"/>
    <w:pPr>
      <w:ind w:left="1200"/>
    </w:pPr>
  </w:style>
  <w:style w:type="paragraph" w:styleId="TOC7">
    <w:name w:val="toc 7"/>
    <w:basedOn w:val="Normal"/>
    <w:next w:val="Normal"/>
    <w:autoRedefine/>
    <w:semiHidden/>
    <w:rsid w:val="008924E0"/>
    <w:pPr>
      <w:ind w:left="1440"/>
    </w:pPr>
  </w:style>
  <w:style w:type="paragraph" w:styleId="TOC8">
    <w:name w:val="toc 8"/>
    <w:basedOn w:val="Normal"/>
    <w:next w:val="Normal"/>
    <w:autoRedefine/>
    <w:semiHidden/>
    <w:rsid w:val="008924E0"/>
    <w:pPr>
      <w:ind w:left="1680"/>
    </w:pPr>
  </w:style>
  <w:style w:type="paragraph" w:styleId="TOC9">
    <w:name w:val="toc 9"/>
    <w:basedOn w:val="Normal"/>
    <w:next w:val="Normal"/>
    <w:autoRedefine/>
    <w:semiHidden/>
    <w:rsid w:val="008924E0"/>
    <w:pPr>
      <w:ind w:left="1920"/>
    </w:pPr>
  </w:style>
  <w:style w:type="paragraph" w:customStyle="1" w:styleId="thesistext">
    <w:name w:val="thesis text"/>
    <w:basedOn w:val="Normal"/>
    <w:autoRedefine/>
    <w:rsid w:val="008924E0"/>
    <w:pPr>
      <w:spacing w:after="240"/>
      <w:ind w:firstLine="540"/>
    </w:pPr>
    <w:rPr>
      <w:lang w:eastAsia="es-ES"/>
    </w:rPr>
  </w:style>
  <w:style w:type="paragraph" w:customStyle="1" w:styleId="StyleHeading1Centered">
    <w:name w:val="Style Heading 1 + Centered"/>
    <w:basedOn w:val="Heading1"/>
    <w:link w:val="StyleHeading1CenteredChar"/>
    <w:rsid w:val="008924E0"/>
    <w:rPr>
      <w:caps w:val="0"/>
      <w:szCs w:val="28"/>
    </w:rPr>
  </w:style>
  <w:style w:type="character" w:customStyle="1" w:styleId="StyleHeading1CenteredChar">
    <w:name w:val="Style Heading 1 + Centered Char"/>
    <w:link w:val="StyleHeading1Centered"/>
    <w:rsid w:val="008924E0"/>
    <w:rPr>
      <w:rFonts w:ascii="Arial" w:eastAsia="Times New Roman" w:hAnsi="Arial" w:cs="Arial"/>
      <w:b/>
      <w:bCs/>
      <w:color w:val="000000" w:themeColor="text1"/>
      <w:sz w:val="28"/>
      <w:szCs w:val="28"/>
    </w:rPr>
  </w:style>
  <w:style w:type="paragraph" w:styleId="TOCHeading">
    <w:name w:val="TOC Heading"/>
    <w:basedOn w:val="Heading1"/>
    <w:next w:val="Normal"/>
    <w:autoRedefine/>
    <w:uiPriority w:val="39"/>
    <w:unhideWhenUsed/>
    <w:qFormat/>
    <w:rsid w:val="008924E0"/>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8924E0"/>
    <w:rPr>
      <w:rFonts w:asciiTheme="majorHAnsi" w:hAnsiTheme="majorHAnsi"/>
      <w:b/>
      <w:bCs/>
    </w:rPr>
  </w:style>
  <w:style w:type="character" w:styleId="IntenseEmphasis">
    <w:name w:val="Intense Emphasis"/>
    <w:basedOn w:val="DefaultParagraphFont"/>
    <w:uiPriority w:val="21"/>
    <w:qFormat/>
    <w:rsid w:val="008924E0"/>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8924E0"/>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8924E0"/>
    <w:rPr>
      <w:rFonts w:ascii="Arial" w:eastAsia="Times New Roman" w:hAnsi="Arial" w:cs="Arial"/>
      <w:i/>
      <w:iCs/>
      <w:color w:val="000000" w:themeColor="text1"/>
      <w:sz w:val="24"/>
      <w:szCs w:val="24"/>
    </w:rPr>
  </w:style>
  <w:style w:type="character" w:styleId="SubtleReference">
    <w:name w:val="Subtle Reference"/>
    <w:basedOn w:val="DefaultParagraphFont"/>
    <w:uiPriority w:val="31"/>
    <w:qFormat/>
    <w:rsid w:val="008924E0"/>
    <w:rPr>
      <w:rFonts w:asciiTheme="majorHAnsi" w:hAnsiTheme="majorHAnsi"/>
      <w:smallCaps/>
      <w:color w:val="5A5A5A" w:themeColor="text1" w:themeTint="A5"/>
    </w:rPr>
  </w:style>
  <w:style w:type="character" w:styleId="IntenseReference">
    <w:name w:val="Intense Reference"/>
    <w:basedOn w:val="DefaultParagraphFont"/>
    <w:uiPriority w:val="32"/>
    <w:qFormat/>
    <w:rsid w:val="008924E0"/>
    <w:rPr>
      <w:b/>
      <w:bCs/>
      <w:smallCaps/>
      <w:color w:val="000000" w:themeColor="text1"/>
      <w:spacing w:val="5"/>
    </w:rPr>
  </w:style>
  <w:style w:type="character" w:styleId="Emphasis">
    <w:name w:val="Emphasis"/>
    <w:basedOn w:val="DefaultParagraphFont"/>
    <w:uiPriority w:val="20"/>
    <w:qFormat/>
    <w:rsid w:val="008924E0"/>
    <w:rPr>
      <w:rFonts w:asciiTheme="majorHAnsi" w:hAnsiTheme="majorHAnsi"/>
      <w:i/>
      <w:iCs/>
    </w:rPr>
  </w:style>
  <w:style w:type="paragraph" w:styleId="NoSpacing">
    <w:name w:val="No Spacing"/>
    <w:autoRedefine/>
    <w:uiPriority w:val="1"/>
    <w:qFormat/>
    <w:rsid w:val="008924E0"/>
    <w:pPr>
      <w:spacing w:after="0" w:line="240" w:lineRule="auto"/>
    </w:pPr>
    <w:rPr>
      <w:rFonts w:asciiTheme="majorHAnsi" w:eastAsia="Times New Roman" w:hAnsiTheme="majorHAnsi" w:cs="Arial"/>
      <w:sz w:val="24"/>
      <w:szCs w:val="24"/>
    </w:rPr>
  </w:style>
  <w:style w:type="character" w:styleId="SubtleEmphasis">
    <w:name w:val="Subtle Emphasis"/>
    <w:basedOn w:val="DefaultParagraphFont"/>
    <w:uiPriority w:val="19"/>
    <w:qFormat/>
    <w:rsid w:val="008924E0"/>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8924E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924E0"/>
    <w:rPr>
      <w:rFonts w:ascii="Arial" w:eastAsia="Times New Roman" w:hAnsi="Arial" w:cs="Arial"/>
      <w:i/>
      <w:iCs/>
      <w:color w:val="404040" w:themeColor="text1" w:themeTint="BF"/>
      <w:sz w:val="24"/>
      <w:szCs w:val="24"/>
    </w:rPr>
  </w:style>
  <w:style w:type="paragraph" w:styleId="ListParagraph">
    <w:name w:val="List Paragraph"/>
    <w:basedOn w:val="Normal"/>
    <w:autoRedefine/>
    <w:uiPriority w:val="34"/>
    <w:qFormat/>
    <w:rsid w:val="008924E0"/>
    <w:pPr>
      <w:ind w:left="720"/>
      <w:contextualSpacing/>
    </w:pPr>
  </w:style>
  <w:style w:type="character" w:styleId="FollowedHyperlink">
    <w:name w:val="FollowedHyperlink"/>
    <w:basedOn w:val="DefaultParagraphFont"/>
    <w:semiHidden/>
    <w:unhideWhenUsed/>
    <w:rsid w:val="008924E0"/>
    <w:rPr>
      <w:color w:val="954F72" w:themeColor="followedHyperlink"/>
      <w:u w:val="single"/>
    </w:rPr>
  </w:style>
  <w:style w:type="numbering" w:customStyle="1" w:styleId="Caption2">
    <w:name w:val="Caption2"/>
    <w:basedOn w:val="NoList"/>
    <w:uiPriority w:val="99"/>
    <w:rsid w:val="008924E0"/>
    <w:pPr>
      <w:numPr>
        <w:numId w:val="1"/>
      </w:numPr>
    </w:pPr>
  </w:style>
  <w:style w:type="paragraph" w:customStyle="1" w:styleId="Chapter">
    <w:name w:val="Chapter"/>
    <w:basedOn w:val="Heading1"/>
    <w:next w:val="Heading1"/>
    <w:link w:val="ChapterChar"/>
    <w:autoRedefine/>
    <w:rsid w:val="008924E0"/>
  </w:style>
  <w:style w:type="paragraph" w:styleId="Caption">
    <w:name w:val="caption"/>
    <w:basedOn w:val="Normal"/>
    <w:next w:val="Normal"/>
    <w:autoRedefine/>
    <w:unhideWhenUsed/>
    <w:qFormat/>
    <w:rsid w:val="008924E0"/>
    <w:pPr>
      <w:keepNext/>
      <w:spacing w:before="120" w:after="120" w:line="480" w:lineRule="auto"/>
    </w:pPr>
    <w:rPr>
      <w:rFonts w:ascii="Times New Roman" w:hAnsi="Times New Roman" w:cs="Times New Roman"/>
      <w:iCs/>
      <w:color w:val="000000" w:themeColor="text1"/>
      <w:szCs w:val="22"/>
    </w:rPr>
  </w:style>
  <w:style w:type="character" w:customStyle="1" w:styleId="ChapterChar">
    <w:name w:val="Chapter Char"/>
    <w:basedOn w:val="StyleHeading1CenteredChar"/>
    <w:link w:val="Chapter"/>
    <w:rsid w:val="008924E0"/>
    <w:rPr>
      <w:rFonts w:ascii="Arial" w:eastAsia="Times New Roman" w:hAnsi="Arial" w:cs="Arial"/>
      <w:b/>
      <w:bCs/>
      <w:caps/>
      <w:color w:val="000000" w:themeColor="text1"/>
      <w:sz w:val="28"/>
      <w:szCs w:val="24"/>
    </w:rPr>
  </w:style>
  <w:style w:type="numbering" w:styleId="111111">
    <w:name w:val="Outline List 2"/>
    <w:basedOn w:val="NoList"/>
    <w:semiHidden/>
    <w:unhideWhenUsed/>
    <w:rsid w:val="008924E0"/>
    <w:pPr>
      <w:numPr>
        <w:numId w:val="3"/>
      </w:numPr>
    </w:pPr>
  </w:style>
  <w:style w:type="table" w:styleId="GridTable5Dark">
    <w:name w:val="Grid Table 5 Dark"/>
    <w:basedOn w:val="TableNormal"/>
    <w:uiPriority w:val="50"/>
    <w:rsid w:val="008924E0"/>
    <w:pPr>
      <w:spacing w:after="0" w:line="240" w:lineRule="auto"/>
    </w:pPr>
    <w:rPr>
      <w:rFonts w:ascii="Times New Roman" w:eastAsia="Times New Roman" w:hAnsi="Times New Roman" w:cs="Arial"/>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8924E0"/>
    <w:pPr>
      <w:spacing w:after="0" w:line="240" w:lineRule="auto"/>
    </w:pPr>
    <w:rPr>
      <w:rFonts w:ascii="Times New Roman" w:eastAsia="Times New Roman" w:hAnsi="Times New Roman" w:cs="Arial"/>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ltHeading1">
    <w:name w:val="AltHeading1"/>
    <w:basedOn w:val="Heading1"/>
    <w:autoRedefine/>
    <w:qFormat/>
    <w:rsid w:val="008924E0"/>
    <w:pPr>
      <w:numPr>
        <w:numId w:val="0"/>
      </w:numPr>
      <w:spacing w:before="0" w:after="0"/>
    </w:pPr>
    <w:rPr>
      <w:rFonts w:ascii="Times New Roman" w:hAnsi="Times New Roman" w:cs="Times New Roman"/>
      <w:bCs w:val="0"/>
      <w:szCs w:val="28"/>
    </w:rPr>
  </w:style>
  <w:style w:type="character" w:styleId="CommentReference">
    <w:name w:val="annotation reference"/>
    <w:basedOn w:val="DefaultParagraphFont"/>
    <w:uiPriority w:val="99"/>
    <w:semiHidden/>
    <w:unhideWhenUsed/>
    <w:rsid w:val="008924E0"/>
    <w:rPr>
      <w:sz w:val="16"/>
      <w:szCs w:val="16"/>
    </w:rPr>
  </w:style>
  <w:style w:type="paragraph" w:styleId="CommentText">
    <w:name w:val="annotation text"/>
    <w:basedOn w:val="Normal"/>
    <w:link w:val="CommentTextChar"/>
    <w:uiPriority w:val="99"/>
    <w:semiHidden/>
    <w:unhideWhenUsed/>
    <w:rsid w:val="008924E0"/>
    <w:rPr>
      <w:sz w:val="20"/>
      <w:szCs w:val="20"/>
    </w:rPr>
  </w:style>
  <w:style w:type="character" w:customStyle="1" w:styleId="CommentTextChar">
    <w:name w:val="Comment Text Char"/>
    <w:basedOn w:val="DefaultParagraphFont"/>
    <w:link w:val="CommentText"/>
    <w:uiPriority w:val="99"/>
    <w:semiHidden/>
    <w:rsid w:val="008924E0"/>
    <w:rPr>
      <w:rFonts w:ascii="Arial" w:eastAsia="Times New Roman" w:hAnsi="Arial" w:cs="Arial"/>
      <w:sz w:val="20"/>
      <w:szCs w:val="20"/>
    </w:rPr>
  </w:style>
  <w:style w:type="paragraph" w:styleId="CommentSubject">
    <w:name w:val="annotation subject"/>
    <w:basedOn w:val="CommentText"/>
    <w:next w:val="CommentText"/>
    <w:link w:val="CommentSubjectChar"/>
    <w:semiHidden/>
    <w:unhideWhenUsed/>
    <w:rsid w:val="008924E0"/>
    <w:rPr>
      <w:b/>
      <w:bCs/>
    </w:rPr>
  </w:style>
  <w:style w:type="character" w:customStyle="1" w:styleId="CommentSubjectChar">
    <w:name w:val="Comment Subject Char"/>
    <w:basedOn w:val="CommentTextChar"/>
    <w:link w:val="CommentSubject"/>
    <w:semiHidden/>
    <w:rsid w:val="008924E0"/>
    <w:rPr>
      <w:rFonts w:ascii="Arial" w:eastAsia="Times New Roman" w:hAnsi="Arial" w:cs="Arial"/>
      <w:b/>
      <w:bCs/>
      <w:sz w:val="20"/>
      <w:szCs w:val="20"/>
    </w:rPr>
  </w:style>
  <w:style w:type="paragraph" w:styleId="BalloonText">
    <w:name w:val="Balloon Text"/>
    <w:basedOn w:val="Normal"/>
    <w:link w:val="BalloonTextChar"/>
    <w:semiHidden/>
    <w:unhideWhenUsed/>
    <w:rsid w:val="008924E0"/>
    <w:rPr>
      <w:rFonts w:ascii="Segoe UI" w:hAnsi="Segoe UI" w:cs="Segoe UI"/>
      <w:sz w:val="18"/>
      <w:szCs w:val="18"/>
    </w:rPr>
  </w:style>
  <w:style w:type="character" w:customStyle="1" w:styleId="BalloonTextChar">
    <w:name w:val="Balloon Text Char"/>
    <w:basedOn w:val="DefaultParagraphFont"/>
    <w:link w:val="BalloonText"/>
    <w:semiHidden/>
    <w:rsid w:val="008924E0"/>
    <w:rPr>
      <w:rFonts w:ascii="Segoe UI" w:eastAsia="Times New Roman" w:hAnsi="Segoe UI" w:cs="Segoe UI"/>
      <w:sz w:val="18"/>
      <w:szCs w:val="18"/>
    </w:rPr>
  </w:style>
  <w:style w:type="paragraph" w:styleId="Revision">
    <w:name w:val="Revision"/>
    <w:hidden/>
    <w:uiPriority w:val="99"/>
    <w:semiHidden/>
    <w:rsid w:val="008924E0"/>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3.emf"/><Relationship Id="rId17" Type="http://schemas.openxmlformats.org/officeDocument/2006/relationships/hyperlink" Target="https://doi.org/10.1167/12.11.18" TargetMode="External"/><Relationship Id="rId2" Type="http://schemas.openxmlformats.org/officeDocument/2006/relationships/styles" Target="styles.xml"/><Relationship Id="rId16" Type="http://schemas.openxmlformats.org/officeDocument/2006/relationships/hyperlink" Target="https://doi.org/10.1167/jov.21.2.3"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yperlink" Target="https://doi.org/10.1167/18.7.6" TargetMode="External"/><Relationship Id="rId10" Type="http://schemas.openxmlformats.org/officeDocument/2006/relationships/image" Target="media/image1.png"/><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40</Pages>
  <Words>7139</Words>
  <Characters>40698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Jessica</cp:lastModifiedBy>
  <cp:revision>20</cp:revision>
  <cp:lastPrinted>2021-04-17T21:57:00Z</cp:lastPrinted>
  <dcterms:created xsi:type="dcterms:W3CDTF">2021-04-17T21:07:00Z</dcterms:created>
  <dcterms:modified xsi:type="dcterms:W3CDTF">2021-04-20T02:31:00Z</dcterms:modified>
</cp:coreProperties>
</file>